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931" w:rsidRPr="00B86931" w:rsidRDefault="00B86931" w:rsidP="00690E53">
      <w:pPr>
        <w:bidi/>
        <w:rPr>
          <w:rFonts w:ascii="David" w:hAnsi="David" w:cs="David"/>
          <w:sz w:val="24"/>
          <w:szCs w:val="24"/>
          <w:rtl/>
        </w:rPr>
      </w:pPr>
      <w:r w:rsidRPr="00B86931">
        <w:rPr>
          <w:rFonts w:ascii="David" w:hAnsi="David" w:cs="David" w:hint="cs"/>
          <w:sz w:val="24"/>
          <w:szCs w:val="24"/>
          <w:rtl/>
        </w:rPr>
        <w:t>הודעה לעיתונות:</w:t>
      </w:r>
    </w:p>
    <w:tbl>
      <w:tblPr>
        <w:tblpPr w:leftFromText="180" w:rightFromText="180" w:vertAnchor="page" w:horzAnchor="margin" w:tblpXSpec="center" w:tblpY="612"/>
        <w:bidiVisual/>
        <w:tblW w:w="8789" w:type="dxa"/>
        <w:tblLayout w:type="fixed"/>
        <w:tblLook w:val="0000" w:firstRow="0" w:lastRow="0" w:firstColumn="0" w:lastColumn="0" w:noHBand="0" w:noVBand="0"/>
      </w:tblPr>
      <w:tblGrid>
        <w:gridCol w:w="3109"/>
        <w:gridCol w:w="2596"/>
        <w:gridCol w:w="3084"/>
      </w:tblGrid>
      <w:tr w:rsidR="00250756" w:rsidRPr="00250756" w:rsidTr="004E21A1">
        <w:tc>
          <w:tcPr>
            <w:tcW w:w="3109" w:type="dxa"/>
            <w:tcBorders>
              <w:top w:val="nil"/>
              <w:left w:val="nil"/>
              <w:bottom w:val="nil"/>
              <w:right w:val="nil"/>
            </w:tcBorders>
            <w:vAlign w:val="center"/>
          </w:tcPr>
          <w:p w:rsidR="00250756" w:rsidRPr="00250756" w:rsidRDefault="00250756" w:rsidP="00690E53">
            <w:pPr>
              <w:bidi/>
              <w:spacing w:after="200" w:line="276" w:lineRule="auto"/>
              <w:jc w:val="center"/>
              <w:rPr>
                <w:rFonts w:ascii="David" w:eastAsiaTheme="minorHAnsi" w:hAnsi="David" w:cs="David"/>
                <w:b/>
                <w:bCs/>
                <w:sz w:val="28"/>
                <w:szCs w:val="28"/>
                <w:lang w:eastAsia="en-US"/>
              </w:rPr>
            </w:pPr>
            <w:r w:rsidRPr="00250756">
              <w:rPr>
                <w:rFonts w:ascii="David" w:eastAsiaTheme="minorHAnsi" w:hAnsi="David" w:cs="David"/>
                <w:b/>
                <w:bCs/>
                <w:sz w:val="28"/>
                <w:szCs w:val="28"/>
                <w:rtl/>
                <w:lang w:eastAsia="en-US"/>
              </w:rPr>
              <w:t>בנק ישראל</w:t>
            </w:r>
          </w:p>
          <w:p w:rsidR="00250756" w:rsidRPr="00250756" w:rsidRDefault="00250756" w:rsidP="00690E53">
            <w:pPr>
              <w:bidi/>
              <w:spacing w:after="200" w:line="276" w:lineRule="auto"/>
              <w:ind w:right="-101"/>
              <w:jc w:val="center"/>
              <w:rPr>
                <w:rFonts w:ascii="David" w:eastAsiaTheme="minorHAnsi" w:hAnsi="David" w:cs="David"/>
                <w:sz w:val="22"/>
                <w:szCs w:val="22"/>
                <w:lang w:eastAsia="en-US"/>
              </w:rPr>
            </w:pPr>
            <w:r w:rsidRPr="00250756">
              <w:rPr>
                <w:rFonts w:ascii="David" w:eastAsiaTheme="minorHAnsi" w:hAnsi="David" w:cs="David"/>
                <w:sz w:val="24"/>
                <w:szCs w:val="24"/>
                <w:rtl/>
                <w:lang w:eastAsia="en-US"/>
              </w:rPr>
              <w:t>דוברות והסברה כלכלית</w:t>
            </w:r>
          </w:p>
        </w:tc>
        <w:tc>
          <w:tcPr>
            <w:tcW w:w="2596" w:type="dxa"/>
            <w:tcBorders>
              <w:top w:val="nil"/>
              <w:left w:val="nil"/>
              <w:bottom w:val="nil"/>
              <w:right w:val="nil"/>
            </w:tcBorders>
          </w:tcPr>
          <w:p w:rsidR="00250756" w:rsidRPr="00250756" w:rsidRDefault="00250756" w:rsidP="00690E53">
            <w:pPr>
              <w:bidi/>
              <w:spacing w:after="200" w:line="276" w:lineRule="auto"/>
              <w:jc w:val="center"/>
              <w:rPr>
                <w:rFonts w:ascii="David" w:eastAsiaTheme="minorHAnsi" w:hAnsi="David" w:cs="David"/>
                <w:sz w:val="22"/>
                <w:szCs w:val="22"/>
                <w:lang w:eastAsia="en-US"/>
              </w:rPr>
            </w:pPr>
            <w:r w:rsidRPr="00250756">
              <w:rPr>
                <w:rFonts w:ascii="David" w:eastAsiaTheme="minorHAnsi" w:hAnsi="David" w:cs="David"/>
                <w:noProof/>
                <w:sz w:val="22"/>
                <w:szCs w:val="22"/>
                <w:lang w:eastAsia="en-US"/>
              </w:rPr>
              <w:drawing>
                <wp:inline distT="0" distB="0" distL="0" distR="0" wp14:anchorId="0EE0CD5F" wp14:editId="6133652A">
                  <wp:extent cx="887105" cy="887105"/>
                  <wp:effectExtent l="0" t="0" r="8255" b="8255"/>
                  <wp:docPr id="5" name="תמונה 5" descr="לוגו בנק ישראל" title="לוגו בנק ישרא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34r\AppData\Local\Microsoft\Windows\Temporary Internet Files\Content.Word\תמונת לוגו חדש.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7100" cy="887100"/>
                          </a:xfrm>
                          <a:prstGeom prst="rect">
                            <a:avLst/>
                          </a:prstGeom>
                          <a:noFill/>
                          <a:ln>
                            <a:noFill/>
                          </a:ln>
                        </pic:spPr>
                      </pic:pic>
                    </a:graphicData>
                  </a:graphic>
                </wp:inline>
              </w:drawing>
            </w:r>
          </w:p>
        </w:tc>
        <w:tc>
          <w:tcPr>
            <w:tcW w:w="3084" w:type="dxa"/>
            <w:tcBorders>
              <w:top w:val="nil"/>
              <w:left w:val="nil"/>
              <w:bottom w:val="nil"/>
              <w:right w:val="nil"/>
            </w:tcBorders>
            <w:vAlign w:val="center"/>
          </w:tcPr>
          <w:p w:rsidR="00250756" w:rsidRPr="00250756" w:rsidRDefault="00250756" w:rsidP="00690E53">
            <w:pPr>
              <w:bidi/>
              <w:spacing w:after="200" w:line="480" w:lineRule="auto"/>
              <w:jc w:val="right"/>
              <w:rPr>
                <w:rFonts w:ascii="David" w:eastAsiaTheme="minorHAnsi" w:hAnsi="David" w:cs="David"/>
                <w:sz w:val="24"/>
                <w:szCs w:val="24"/>
                <w:rtl/>
                <w:lang w:eastAsia="en-US"/>
              </w:rPr>
            </w:pPr>
            <w:r w:rsidRPr="00250756">
              <w:rPr>
                <w:rFonts w:ascii="David" w:eastAsiaTheme="minorHAnsi" w:hAnsi="David" w:cs="David"/>
                <w:sz w:val="24"/>
                <w:szCs w:val="24"/>
                <w:rtl/>
                <w:lang w:eastAsia="en-US"/>
              </w:rPr>
              <w:t>‏</w:t>
            </w:r>
          </w:p>
          <w:p w:rsidR="00250756" w:rsidRPr="00250756" w:rsidRDefault="00250756" w:rsidP="000A5B78">
            <w:pPr>
              <w:bidi/>
              <w:spacing w:after="200" w:line="480" w:lineRule="auto"/>
              <w:jc w:val="right"/>
              <w:rPr>
                <w:rFonts w:ascii="David" w:eastAsiaTheme="minorHAnsi" w:hAnsi="David" w:cs="David"/>
                <w:sz w:val="24"/>
                <w:szCs w:val="24"/>
                <w:lang w:eastAsia="en-US"/>
              </w:rPr>
            </w:pPr>
            <w:r w:rsidRPr="00250756">
              <w:rPr>
                <w:rFonts w:ascii="David" w:eastAsiaTheme="minorHAnsi" w:hAnsi="David" w:cs="David"/>
                <w:sz w:val="24"/>
                <w:szCs w:val="24"/>
                <w:rtl/>
                <w:lang w:eastAsia="en-US"/>
              </w:rPr>
              <w:t>ירושלים,</w:t>
            </w:r>
            <w:r w:rsidRPr="00250756">
              <w:rPr>
                <w:rFonts w:ascii="David" w:eastAsiaTheme="minorHAnsi" w:hAnsi="David" w:cs="David" w:hint="cs"/>
                <w:sz w:val="24"/>
                <w:szCs w:val="24"/>
                <w:rtl/>
                <w:lang w:eastAsia="en-US"/>
              </w:rPr>
              <w:t xml:space="preserve"> </w:t>
            </w:r>
            <w:r w:rsidR="00650022">
              <w:rPr>
                <w:rFonts w:ascii="David" w:eastAsiaTheme="minorHAnsi" w:hAnsi="David" w:cs="David" w:hint="eastAsia"/>
                <w:sz w:val="24"/>
                <w:szCs w:val="24"/>
                <w:rtl/>
                <w:lang w:eastAsia="en-US"/>
              </w:rPr>
              <w:t>‏</w:t>
            </w:r>
            <w:r w:rsidR="00716A0D">
              <w:rPr>
                <w:rFonts w:ascii="David" w:eastAsiaTheme="minorHAnsi" w:hAnsi="David" w:cs="David" w:hint="eastAsia"/>
                <w:sz w:val="24"/>
                <w:szCs w:val="24"/>
                <w:rtl/>
                <w:lang w:eastAsia="en-US"/>
              </w:rPr>
              <w:t>‏</w:t>
            </w:r>
            <w:r w:rsidR="000A5B78">
              <w:rPr>
                <w:rFonts w:ascii="David" w:eastAsiaTheme="minorHAnsi" w:hAnsi="David" w:cs="David" w:hint="cs"/>
                <w:sz w:val="24"/>
                <w:szCs w:val="24"/>
                <w:rtl/>
                <w:lang w:eastAsia="en-US"/>
              </w:rPr>
              <w:t>כ'</w:t>
            </w:r>
            <w:r w:rsidR="00A82B66">
              <w:rPr>
                <w:rFonts w:ascii="David" w:eastAsiaTheme="minorHAnsi" w:hAnsi="David" w:cs="David"/>
                <w:sz w:val="24"/>
                <w:szCs w:val="24"/>
                <w:rtl/>
                <w:lang w:eastAsia="en-US"/>
              </w:rPr>
              <w:t xml:space="preserve"> </w:t>
            </w:r>
            <w:r w:rsidR="00A82B66">
              <w:rPr>
                <w:rFonts w:ascii="David" w:eastAsiaTheme="minorHAnsi" w:hAnsi="David" w:cs="David" w:hint="cs"/>
                <w:sz w:val="24"/>
                <w:szCs w:val="24"/>
                <w:rtl/>
                <w:lang w:eastAsia="en-US"/>
              </w:rPr>
              <w:t>ב</w:t>
            </w:r>
            <w:r w:rsidR="007051A5">
              <w:rPr>
                <w:rFonts w:ascii="David" w:eastAsiaTheme="minorHAnsi" w:hAnsi="David" w:cs="David" w:hint="cs"/>
                <w:sz w:val="24"/>
                <w:szCs w:val="24"/>
                <w:rtl/>
                <w:lang w:eastAsia="en-US"/>
              </w:rPr>
              <w:t>תמוז</w:t>
            </w:r>
            <w:r w:rsidR="00A82B66">
              <w:rPr>
                <w:rFonts w:ascii="David" w:eastAsiaTheme="minorHAnsi" w:hAnsi="David" w:cs="David"/>
                <w:sz w:val="24"/>
                <w:szCs w:val="24"/>
                <w:rtl/>
                <w:lang w:eastAsia="en-US"/>
              </w:rPr>
              <w:t xml:space="preserve"> </w:t>
            </w:r>
            <w:proofErr w:type="spellStart"/>
            <w:r w:rsidR="00A82B66">
              <w:rPr>
                <w:rFonts w:ascii="David" w:eastAsiaTheme="minorHAnsi" w:hAnsi="David" w:cs="David" w:hint="cs"/>
                <w:sz w:val="24"/>
                <w:szCs w:val="24"/>
                <w:rtl/>
                <w:lang w:eastAsia="en-US"/>
              </w:rPr>
              <w:t>ה</w:t>
            </w:r>
            <w:r w:rsidR="0082301C">
              <w:rPr>
                <w:rFonts w:ascii="David" w:eastAsiaTheme="minorHAnsi" w:hAnsi="David" w:cs="David" w:hint="cs"/>
                <w:sz w:val="24"/>
                <w:szCs w:val="24"/>
                <w:rtl/>
                <w:lang w:eastAsia="en-US"/>
              </w:rPr>
              <w:t>תשפ"ו</w:t>
            </w:r>
            <w:proofErr w:type="spellEnd"/>
          </w:p>
          <w:p w:rsidR="00250756" w:rsidRPr="00250756" w:rsidRDefault="003E2CED" w:rsidP="000A5B78">
            <w:pPr>
              <w:bidi/>
              <w:spacing w:after="200" w:line="480" w:lineRule="auto"/>
              <w:rPr>
                <w:rFonts w:ascii="David" w:eastAsiaTheme="minorHAnsi" w:hAnsi="David" w:cs="David"/>
                <w:sz w:val="24"/>
                <w:szCs w:val="24"/>
                <w:rtl/>
                <w:lang w:eastAsia="en-US"/>
              </w:rPr>
            </w:pPr>
            <w:r>
              <w:rPr>
                <w:rFonts w:ascii="David" w:eastAsiaTheme="minorHAnsi" w:hAnsi="David" w:cs="David" w:hint="cs"/>
                <w:sz w:val="24"/>
                <w:szCs w:val="24"/>
                <w:rtl/>
                <w:lang w:eastAsia="en-US"/>
              </w:rPr>
              <w:t xml:space="preserve">      </w:t>
            </w:r>
            <w:r w:rsidR="000A5B78">
              <w:rPr>
                <w:rFonts w:ascii="David" w:eastAsiaTheme="minorHAnsi" w:hAnsi="David" w:cs="David" w:hint="cs"/>
                <w:sz w:val="24"/>
                <w:szCs w:val="24"/>
                <w:rtl/>
                <w:lang w:eastAsia="en-US"/>
              </w:rPr>
              <w:t>5</w:t>
            </w:r>
            <w:r w:rsidR="007051A5">
              <w:rPr>
                <w:rFonts w:ascii="David" w:eastAsiaTheme="minorHAnsi" w:hAnsi="David" w:cs="David"/>
                <w:sz w:val="24"/>
                <w:szCs w:val="24"/>
                <w:rtl/>
                <w:lang w:eastAsia="en-US"/>
              </w:rPr>
              <w:t xml:space="preserve"> </w:t>
            </w:r>
            <w:r w:rsidR="000A5B78">
              <w:rPr>
                <w:rFonts w:ascii="David" w:eastAsiaTheme="minorHAnsi" w:hAnsi="David" w:cs="David" w:hint="cs"/>
                <w:sz w:val="24"/>
                <w:szCs w:val="24"/>
                <w:rtl/>
                <w:lang w:eastAsia="en-US"/>
              </w:rPr>
              <w:t>ביולי</w:t>
            </w:r>
            <w:r w:rsidR="007051A5">
              <w:rPr>
                <w:rFonts w:ascii="David" w:eastAsiaTheme="minorHAnsi" w:hAnsi="David" w:cs="David"/>
                <w:sz w:val="24"/>
                <w:szCs w:val="24"/>
                <w:rtl/>
                <w:lang w:eastAsia="en-US"/>
              </w:rPr>
              <w:t xml:space="preserve"> </w:t>
            </w:r>
            <w:r w:rsidR="007051A5">
              <w:rPr>
                <w:rFonts w:ascii="David" w:eastAsiaTheme="minorHAnsi" w:hAnsi="David" w:cs="David" w:hint="cs"/>
                <w:sz w:val="24"/>
                <w:szCs w:val="24"/>
                <w:rtl/>
                <w:lang w:eastAsia="en-US"/>
              </w:rPr>
              <w:t>202</w:t>
            </w:r>
            <w:r>
              <w:rPr>
                <w:rFonts w:ascii="David" w:eastAsiaTheme="minorHAnsi" w:hAnsi="David" w:cs="David" w:hint="cs"/>
                <w:sz w:val="24"/>
                <w:szCs w:val="24"/>
                <w:rtl/>
                <w:lang w:eastAsia="en-US"/>
              </w:rPr>
              <w:t>6</w:t>
            </w:r>
          </w:p>
        </w:tc>
      </w:tr>
    </w:tbl>
    <w:p w:rsidR="00694239" w:rsidRPr="0067464D" w:rsidRDefault="00694239" w:rsidP="00690E53">
      <w:pPr>
        <w:bidi/>
        <w:spacing w:line="360" w:lineRule="auto"/>
        <w:ind w:right="-101"/>
        <w:jc w:val="center"/>
        <w:rPr>
          <w:rFonts w:cs="David"/>
          <w:sz w:val="24"/>
          <w:szCs w:val="24"/>
          <w:u w:val="single"/>
          <w:rtl/>
        </w:rPr>
      </w:pPr>
    </w:p>
    <w:p w:rsidR="00E041FC" w:rsidRPr="00802462" w:rsidRDefault="00802462" w:rsidP="00A51B0B">
      <w:pPr>
        <w:bidi/>
        <w:spacing w:line="360" w:lineRule="auto"/>
        <w:jc w:val="center"/>
        <w:rPr>
          <w:rFonts w:cs="David"/>
          <w:b/>
          <w:bCs/>
          <w:sz w:val="28"/>
          <w:szCs w:val="28"/>
          <w:rtl/>
        </w:rPr>
      </w:pPr>
      <w:r>
        <w:rPr>
          <w:rStyle w:val="af6"/>
          <w:rFonts w:hint="cs"/>
          <w:rtl/>
        </w:rPr>
        <w:t>בנק</w:t>
      </w:r>
      <w:bookmarkStart w:id="0" w:name="_GoBack"/>
      <w:bookmarkEnd w:id="0"/>
      <w:r>
        <w:rPr>
          <w:rStyle w:val="af6"/>
          <w:rFonts w:hint="cs"/>
          <w:rtl/>
        </w:rPr>
        <w:t xml:space="preserve"> ישראל מפרסם את סקירת </w:t>
      </w:r>
      <w:r w:rsidR="00A51B0B">
        <w:rPr>
          <w:rStyle w:val="af6"/>
          <w:rFonts w:hint="cs"/>
          <w:rtl/>
        </w:rPr>
        <w:t xml:space="preserve">הממונה </w:t>
      </w:r>
      <w:r w:rsidR="00164FF1">
        <w:rPr>
          <w:rStyle w:val="af6"/>
          <w:rFonts w:hint="cs"/>
          <w:rtl/>
        </w:rPr>
        <w:t>ע</w:t>
      </w:r>
      <w:r w:rsidR="00A51B0B">
        <w:rPr>
          <w:rStyle w:val="af6"/>
          <w:rFonts w:hint="cs"/>
          <w:rtl/>
        </w:rPr>
        <w:t>ל</w:t>
      </w:r>
      <w:r w:rsidR="00164FF1">
        <w:rPr>
          <w:rStyle w:val="af6"/>
          <w:rFonts w:hint="cs"/>
          <w:rtl/>
        </w:rPr>
        <w:t xml:space="preserve"> </w:t>
      </w:r>
      <w:r w:rsidR="00A51B0B">
        <w:rPr>
          <w:rStyle w:val="af6"/>
          <w:rFonts w:hint="cs"/>
          <w:rtl/>
        </w:rPr>
        <w:t>שיתוף</w:t>
      </w:r>
      <w:r w:rsidR="00A51B0B" w:rsidRPr="00802462">
        <w:rPr>
          <w:rStyle w:val="af6"/>
          <w:rFonts w:hint="cs"/>
          <w:rtl/>
        </w:rPr>
        <w:t xml:space="preserve"> </w:t>
      </w:r>
      <w:r w:rsidR="00164FF1">
        <w:rPr>
          <w:rStyle w:val="af6"/>
          <w:rFonts w:hint="cs"/>
          <w:rtl/>
        </w:rPr>
        <w:t>ב</w:t>
      </w:r>
      <w:r w:rsidR="00E041FC" w:rsidRPr="00802462">
        <w:rPr>
          <w:rStyle w:val="af6"/>
          <w:rFonts w:hint="cs"/>
          <w:rtl/>
        </w:rPr>
        <w:t>נתוני אשראי</w:t>
      </w:r>
      <w:r>
        <w:rPr>
          <w:rFonts w:cs="David" w:hint="cs"/>
          <w:b/>
          <w:bCs/>
          <w:sz w:val="28"/>
          <w:szCs w:val="28"/>
          <w:rtl/>
        </w:rPr>
        <w:t xml:space="preserve"> לשנת 2025</w:t>
      </w:r>
    </w:p>
    <w:p w:rsidR="00A51B0B" w:rsidRDefault="00A51B0B" w:rsidP="00E041FC">
      <w:pPr>
        <w:bidi/>
        <w:spacing w:line="360" w:lineRule="auto"/>
        <w:rPr>
          <w:rFonts w:ascii="David" w:hAnsi="David" w:cs="David"/>
          <w:sz w:val="24"/>
          <w:szCs w:val="24"/>
          <w:rtl/>
        </w:rPr>
      </w:pPr>
    </w:p>
    <w:p w:rsidR="00A51B0B" w:rsidRPr="003E2CED" w:rsidRDefault="00A51B0B" w:rsidP="00164FF1">
      <w:pPr>
        <w:pStyle w:val="af0"/>
        <w:numPr>
          <w:ilvl w:val="0"/>
          <w:numId w:val="3"/>
        </w:numPr>
        <w:bidi/>
        <w:spacing w:line="360" w:lineRule="auto"/>
        <w:rPr>
          <w:rFonts w:ascii="David" w:hAnsi="David" w:cs="David"/>
          <w:b/>
          <w:bCs/>
          <w:sz w:val="24"/>
          <w:szCs w:val="24"/>
          <w:rtl/>
        </w:rPr>
      </w:pPr>
      <w:r w:rsidRPr="003E2CED">
        <w:rPr>
          <w:rFonts w:ascii="David" w:hAnsi="David" w:cs="David"/>
          <w:b/>
          <w:bCs/>
          <w:sz w:val="24"/>
          <w:szCs w:val="24"/>
          <w:rtl/>
        </w:rPr>
        <w:t>מהסק</w:t>
      </w:r>
      <w:r>
        <w:rPr>
          <w:rFonts w:ascii="David" w:hAnsi="David" w:cs="David" w:hint="cs"/>
          <w:b/>
          <w:bCs/>
          <w:sz w:val="24"/>
          <w:szCs w:val="24"/>
          <w:rtl/>
        </w:rPr>
        <w:t>י</w:t>
      </w:r>
      <w:r w:rsidRPr="003E2CED">
        <w:rPr>
          <w:rFonts w:ascii="David" w:hAnsi="David" w:cs="David"/>
          <w:b/>
          <w:bCs/>
          <w:sz w:val="24"/>
          <w:szCs w:val="24"/>
          <w:rtl/>
        </w:rPr>
        <w:t>ר</w:t>
      </w:r>
      <w:r>
        <w:rPr>
          <w:rFonts w:ascii="David" w:hAnsi="David" w:cs="David" w:hint="cs"/>
          <w:b/>
          <w:bCs/>
          <w:sz w:val="24"/>
          <w:szCs w:val="24"/>
          <w:rtl/>
        </w:rPr>
        <w:t>ה</w:t>
      </w:r>
      <w:r w:rsidRPr="003E2CED">
        <w:rPr>
          <w:rFonts w:ascii="David" w:hAnsi="David" w:cs="David"/>
          <w:b/>
          <w:bCs/>
          <w:sz w:val="24"/>
          <w:szCs w:val="24"/>
          <w:rtl/>
        </w:rPr>
        <w:t xml:space="preserve"> עולה כי קיימת יציבות </w:t>
      </w:r>
      <w:r>
        <w:rPr>
          <w:rFonts w:ascii="David" w:hAnsi="David" w:cs="David" w:hint="cs"/>
          <w:b/>
          <w:bCs/>
          <w:sz w:val="24"/>
          <w:szCs w:val="24"/>
          <w:rtl/>
        </w:rPr>
        <w:t>בהתפלגות דירוגי האשראי באוכלוסיית מאגר נתוני אשראי וכ-80 אחוזים מהציבור בעלי דירוג אשראי טוב עד מצוין</w:t>
      </w:r>
      <w:r w:rsidRPr="003E2CED">
        <w:rPr>
          <w:rFonts w:ascii="David" w:hAnsi="David" w:cs="David"/>
          <w:b/>
          <w:bCs/>
          <w:sz w:val="24"/>
          <w:szCs w:val="24"/>
          <w:rtl/>
        </w:rPr>
        <w:t xml:space="preserve">. </w:t>
      </w:r>
    </w:p>
    <w:p w:rsidR="00A51B0B" w:rsidRDefault="00A51B0B" w:rsidP="003E2CED">
      <w:pPr>
        <w:pStyle w:val="af0"/>
        <w:numPr>
          <w:ilvl w:val="0"/>
          <w:numId w:val="3"/>
        </w:numPr>
        <w:bidi/>
        <w:spacing w:line="360" w:lineRule="auto"/>
        <w:rPr>
          <w:rFonts w:ascii="David" w:hAnsi="David" w:cs="David"/>
          <w:sz w:val="24"/>
          <w:szCs w:val="24"/>
        </w:rPr>
      </w:pPr>
      <w:r w:rsidRPr="00A51B0B">
        <w:rPr>
          <w:rFonts w:ascii="David" w:hAnsi="David" w:cs="David" w:hint="cs"/>
          <w:b/>
          <w:bCs/>
          <w:sz w:val="24"/>
          <w:szCs w:val="24"/>
          <w:rtl/>
        </w:rPr>
        <w:t xml:space="preserve">בנק ישראל פיתח דוח דיגיטלי אישי המרכז במקום אחד את </w:t>
      </w:r>
      <w:r w:rsidRPr="00A51B0B">
        <w:rPr>
          <w:rFonts w:ascii="David" w:hAnsi="David" w:cs="David"/>
          <w:b/>
          <w:bCs/>
          <w:sz w:val="24"/>
          <w:szCs w:val="24"/>
          <w:rtl/>
        </w:rPr>
        <w:t>נתוני האשראי האישיים של</w:t>
      </w:r>
      <w:r w:rsidRPr="00A51B0B">
        <w:rPr>
          <w:rFonts w:ascii="David" w:hAnsi="David" w:cs="David" w:hint="cs"/>
          <w:b/>
          <w:bCs/>
          <w:sz w:val="24"/>
          <w:szCs w:val="24"/>
          <w:rtl/>
        </w:rPr>
        <w:t xml:space="preserve"> הלק</w:t>
      </w:r>
      <w:r w:rsidRPr="00A51B0B">
        <w:rPr>
          <w:rFonts w:ascii="David" w:hAnsi="David" w:cs="David"/>
          <w:b/>
          <w:bCs/>
          <w:sz w:val="24"/>
          <w:szCs w:val="24"/>
          <w:rtl/>
        </w:rPr>
        <w:t>ו</w:t>
      </w:r>
      <w:r w:rsidRPr="00A51B0B">
        <w:rPr>
          <w:rFonts w:ascii="David" w:hAnsi="David" w:cs="David" w:hint="cs"/>
          <w:b/>
          <w:bCs/>
          <w:sz w:val="24"/>
          <w:szCs w:val="24"/>
          <w:rtl/>
        </w:rPr>
        <w:t>ח</w:t>
      </w:r>
      <w:r>
        <w:rPr>
          <w:rFonts w:ascii="David" w:hAnsi="David" w:cs="David" w:hint="cs"/>
          <w:b/>
          <w:bCs/>
          <w:sz w:val="24"/>
          <w:szCs w:val="24"/>
          <w:rtl/>
        </w:rPr>
        <w:t>.</w:t>
      </w:r>
    </w:p>
    <w:p w:rsidR="00124633" w:rsidRPr="00124633" w:rsidRDefault="00124633" w:rsidP="00C95A5B">
      <w:pPr>
        <w:pStyle w:val="af0"/>
        <w:numPr>
          <w:ilvl w:val="0"/>
          <w:numId w:val="3"/>
        </w:numPr>
        <w:bidi/>
        <w:spacing w:line="360" w:lineRule="auto"/>
        <w:rPr>
          <w:rFonts w:ascii="David" w:hAnsi="David" w:cs="David"/>
          <w:b/>
          <w:bCs/>
          <w:sz w:val="24"/>
          <w:szCs w:val="24"/>
        </w:rPr>
      </w:pPr>
      <w:r w:rsidRPr="003E2CED">
        <w:rPr>
          <w:rFonts w:ascii="David" w:hAnsi="David" w:cs="David" w:hint="eastAsia"/>
          <w:b/>
          <w:bCs/>
          <w:sz w:val="24"/>
          <w:szCs w:val="24"/>
          <w:rtl/>
        </w:rPr>
        <w:t>בנק</w:t>
      </w:r>
      <w:r w:rsidRPr="003E2CED">
        <w:rPr>
          <w:rFonts w:ascii="David" w:hAnsi="David" w:cs="David"/>
          <w:b/>
          <w:bCs/>
          <w:sz w:val="24"/>
          <w:szCs w:val="24"/>
          <w:rtl/>
        </w:rPr>
        <w:t xml:space="preserve"> ישראל פועל בימים אלו </w:t>
      </w:r>
      <w:r w:rsidR="000105AB">
        <w:rPr>
          <w:rFonts w:ascii="David" w:hAnsi="David" w:cs="David" w:hint="cs"/>
          <w:b/>
          <w:bCs/>
          <w:sz w:val="24"/>
          <w:szCs w:val="24"/>
          <w:rtl/>
        </w:rPr>
        <w:t xml:space="preserve">על מנת </w:t>
      </w:r>
      <w:r>
        <w:rPr>
          <w:rFonts w:ascii="David" w:hAnsi="David" w:cs="David" w:hint="cs"/>
          <w:b/>
          <w:bCs/>
          <w:sz w:val="24"/>
          <w:szCs w:val="24"/>
          <w:rtl/>
        </w:rPr>
        <w:t>ל</w:t>
      </w:r>
      <w:r w:rsidRPr="003E2CED">
        <w:rPr>
          <w:rFonts w:ascii="David" w:hAnsi="David" w:cs="David" w:hint="eastAsia"/>
          <w:b/>
          <w:bCs/>
          <w:sz w:val="24"/>
          <w:szCs w:val="24"/>
          <w:rtl/>
        </w:rPr>
        <w:t>הרחיב</w:t>
      </w:r>
      <w:r w:rsidRPr="003E2CED">
        <w:rPr>
          <w:rFonts w:ascii="David" w:hAnsi="David" w:cs="David"/>
          <w:b/>
          <w:bCs/>
          <w:sz w:val="24"/>
          <w:szCs w:val="24"/>
          <w:rtl/>
        </w:rPr>
        <w:t xml:space="preserve"> </w:t>
      </w:r>
      <w:r w:rsidRPr="003E2CED">
        <w:rPr>
          <w:rFonts w:ascii="David" w:hAnsi="David" w:cs="David" w:hint="eastAsia"/>
          <w:b/>
          <w:bCs/>
          <w:sz w:val="24"/>
          <w:szCs w:val="24"/>
          <w:rtl/>
        </w:rPr>
        <w:t>את</w:t>
      </w:r>
      <w:r w:rsidRPr="003E2CED">
        <w:rPr>
          <w:rFonts w:ascii="David" w:hAnsi="David" w:cs="David"/>
          <w:b/>
          <w:bCs/>
          <w:sz w:val="24"/>
          <w:szCs w:val="24"/>
          <w:rtl/>
        </w:rPr>
        <w:t xml:space="preserve"> </w:t>
      </w:r>
      <w:r w:rsidRPr="003E2CED">
        <w:rPr>
          <w:rFonts w:ascii="David" w:hAnsi="David" w:cs="David" w:hint="eastAsia"/>
          <w:b/>
          <w:bCs/>
          <w:sz w:val="24"/>
          <w:szCs w:val="24"/>
          <w:rtl/>
        </w:rPr>
        <w:t>מאגר</w:t>
      </w:r>
      <w:r w:rsidRPr="003E2CED">
        <w:rPr>
          <w:rFonts w:ascii="David" w:hAnsi="David" w:cs="David"/>
          <w:b/>
          <w:bCs/>
          <w:sz w:val="24"/>
          <w:szCs w:val="24"/>
          <w:rtl/>
        </w:rPr>
        <w:t xml:space="preserve"> </w:t>
      </w:r>
      <w:r w:rsidR="007D16A7">
        <w:rPr>
          <w:rFonts w:ascii="David" w:hAnsi="David" w:cs="David" w:hint="cs"/>
          <w:b/>
          <w:bCs/>
          <w:sz w:val="24"/>
          <w:szCs w:val="24"/>
          <w:rtl/>
        </w:rPr>
        <w:t xml:space="preserve">נתוני </w:t>
      </w:r>
      <w:r w:rsidRPr="003E2CED">
        <w:rPr>
          <w:rFonts w:ascii="David" w:hAnsi="David" w:cs="David" w:hint="eastAsia"/>
          <w:b/>
          <w:bCs/>
          <w:sz w:val="24"/>
          <w:szCs w:val="24"/>
          <w:rtl/>
        </w:rPr>
        <w:t>האשראי</w:t>
      </w:r>
      <w:r w:rsidRPr="003E2CED">
        <w:rPr>
          <w:rFonts w:ascii="David" w:hAnsi="David" w:cs="David"/>
          <w:b/>
          <w:bCs/>
          <w:sz w:val="24"/>
          <w:szCs w:val="24"/>
          <w:rtl/>
        </w:rPr>
        <w:t xml:space="preserve"> </w:t>
      </w:r>
      <w:r w:rsidRPr="003E2CED">
        <w:rPr>
          <w:rFonts w:ascii="David" w:hAnsi="David" w:cs="David" w:hint="eastAsia"/>
          <w:b/>
          <w:bCs/>
          <w:sz w:val="24"/>
          <w:szCs w:val="24"/>
          <w:rtl/>
        </w:rPr>
        <w:t>גם</w:t>
      </w:r>
      <w:r w:rsidRPr="003E2CED">
        <w:rPr>
          <w:rFonts w:ascii="David" w:hAnsi="David" w:cs="David"/>
          <w:b/>
          <w:bCs/>
          <w:sz w:val="24"/>
          <w:szCs w:val="24"/>
          <w:rtl/>
        </w:rPr>
        <w:t xml:space="preserve"> </w:t>
      </w:r>
      <w:r w:rsidR="007D16A7">
        <w:rPr>
          <w:rFonts w:ascii="David" w:hAnsi="David" w:cs="David" w:hint="cs"/>
          <w:b/>
          <w:bCs/>
          <w:sz w:val="24"/>
          <w:szCs w:val="24"/>
          <w:rtl/>
        </w:rPr>
        <w:t xml:space="preserve">לגבי </w:t>
      </w:r>
      <w:r w:rsidRPr="003E2CED">
        <w:rPr>
          <w:rFonts w:ascii="David" w:hAnsi="David" w:cs="David" w:hint="eastAsia"/>
          <w:b/>
          <w:bCs/>
          <w:sz w:val="24"/>
          <w:szCs w:val="24"/>
          <w:rtl/>
        </w:rPr>
        <w:t>תאגידים</w:t>
      </w:r>
      <w:r w:rsidR="007D16A7">
        <w:rPr>
          <w:rFonts w:ascii="David" w:hAnsi="David" w:cs="David" w:hint="cs"/>
          <w:b/>
          <w:bCs/>
          <w:sz w:val="24"/>
          <w:szCs w:val="24"/>
          <w:rtl/>
        </w:rPr>
        <w:t xml:space="preserve"> ולא רק יחידים</w:t>
      </w:r>
      <w:r>
        <w:rPr>
          <w:rFonts w:ascii="David" w:hAnsi="David" w:cs="David" w:hint="cs"/>
          <w:b/>
          <w:bCs/>
          <w:sz w:val="24"/>
          <w:szCs w:val="24"/>
          <w:rtl/>
        </w:rPr>
        <w:t>.</w:t>
      </w:r>
      <w:r w:rsidRPr="003E2CED">
        <w:rPr>
          <w:rFonts w:ascii="David" w:hAnsi="David" w:cs="David"/>
          <w:b/>
          <w:bCs/>
          <w:sz w:val="24"/>
          <w:szCs w:val="24"/>
          <w:rtl/>
        </w:rPr>
        <w:t xml:space="preserve"> </w:t>
      </w:r>
      <w:r w:rsidRPr="00B77C5A">
        <w:rPr>
          <w:rFonts w:ascii="David" w:hAnsi="David" w:cs="David"/>
          <w:b/>
          <w:bCs/>
          <w:sz w:val="24"/>
          <w:szCs w:val="24"/>
          <w:rtl/>
        </w:rPr>
        <w:t xml:space="preserve">המאגר </w:t>
      </w:r>
      <w:r w:rsidR="005C05BE">
        <w:rPr>
          <w:rFonts w:ascii="David" w:hAnsi="David" w:cs="David" w:hint="cs"/>
          <w:b/>
          <w:bCs/>
          <w:sz w:val="24"/>
          <w:szCs w:val="24"/>
          <w:rtl/>
        </w:rPr>
        <w:t>צפוי ל</w:t>
      </w:r>
      <w:r w:rsidRPr="00B77C5A">
        <w:rPr>
          <w:rFonts w:ascii="David" w:hAnsi="David" w:cs="David"/>
          <w:b/>
          <w:bCs/>
          <w:sz w:val="24"/>
          <w:szCs w:val="24"/>
          <w:rtl/>
        </w:rPr>
        <w:t>שפר את התחרות בשוק האשראי לעסקים קטנים ובינוניים</w:t>
      </w:r>
      <w:r w:rsidR="009774FD">
        <w:rPr>
          <w:rFonts w:ascii="David" w:hAnsi="David" w:cs="David" w:hint="cs"/>
          <w:b/>
          <w:bCs/>
          <w:sz w:val="24"/>
          <w:szCs w:val="24"/>
          <w:rtl/>
        </w:rPr>
        <w:t>,</w:t>
      </w:r>
      <w:r w:rsidRPr="00B77C5A">
        <w:rPr>
          <w:rFonts w:ascii="David" w:hAnsi="David" w:cs="David"/>
          <w:b/>
          <w:bCs/>
          <w:sz w:val="24"/>
          <w:szCs w:val="24"/>
          <w:rtl/>
        </w:rPr>
        <w:t xml:space="preserve"> </w:t>
      </w:r>
      <w:r w:rsidR="005C05BE">
        <w:rPr>
          <w:rFonts w:ascii="David" w:hAnsi="David" w:cs="David" w:hint="cs"/>
          <w:b/>
          <w:bCs/>
          <w:sz w:val="24"/>
          <w:szCs w:val="24"/>
          <w:rtl/>
        </w:rPr>
        <w:t>ול</w:t>
      </w:r>
      <w:r w:rsidRPr="00B77C5A">
        <w:rPr>
          <w:rFonts w:ascii="David" w:hAnsi="David" w:cs="David"/>
          <w:b/>
          <w:bCs/>
          <w:sz w:val="24"/>
          <w:szCs w:val="24"/>
          <w:rtl/>
        </w:rPr>
        <w:t xml:space="preserve">אפשר גם לנותני אשראי קטנים </w:t>
      </w:r>
      <w:proofErr w:type="spellStart"/>
      <w:r w:rsidRPr="00B77C5A">
        <w:rPr>
          <w:rFonts w:ascii="David" w:hAnsi="David" w:cs="David"/>
          <w:b/>
          <w:bCs/>
          <w:sz w:val="24"/>
          <w:szCs w:val="24"/>
          <w:rtl/>
        </w:rPr>
        <w:t>וחוץ־בנקאיים</w:t>
      </w:r>
      <w:proofErr w:type="spellEnd"/>
      <w:r w:rsidRPr="00B77C5A">
        <w:rPr>
          <w:rFonts w:ascii="David" w:hAnsi="David" w:cs="David"/>
          <w:b/>
          <w:bCs/>
          <w:sz w:val="24"/>
          <w:szCs w:val="24"/>
          <w:rtl/>
        </w:rPr>
        <w:t xml:space="preserve"> להתחרות על עסקים אלו</w:t>
      </w:r>
      <w:r>
        <w:rPr>
          <w:rFonts w:ascii="David" w:hAnsi="David" w:cs="David" w:hint="cs"/>
          <w:b/>
          <w:bCs/>
          <w:sz w:val="24"/>
          <w:szCs w:val="24"/>
          <w:rtl/>
        </w:rPr>
        <w:t>.</w:t>
      </w:r>
    </w:p>
    <w:p w:rsidR="00A51B0B" w:rsidRPr="00A51B0B" w:rsidRDefault="00A51B0B" w:rsidP="003E2CED">
      <w:pPr>
        <w:pStyle w:val="af0"/>
        <w:bidi/>
        <w:spacing w:line="360" w:lineRule="auto"/>
        <w:rPr>
          <w:rFonts w:ascii="David" w:hAnsi="David" w:cs="David"/>
          <w:sz w:val="24"/>
          <w:szCs w:val="24"/>
          <w:rtl/>
        </w:rPr>
      </w:pPr>
      <w:r w:rsidRPr="00A51B0B">
        <w:rPr>
          <w:rFonts w:ascii="David" w:hAnsi="David" w:cs="David"/>
          <w:b/>
          <w:bCs/>
          <w:sz w:val="24"/>
          <w:szCs w:val="24"/>
          <w:rtl/>
        </w:rPr>
        <w:t xml:space="preserve"> </w:t>
      </w:r>
    </w:p>
    <w:p w:rsidR="00E041FC" w:rsidRPr="00E041FC" w:rsidRDefault="00E041FC" w:rsidP="003E2CED">
      <w:pPr>
        <w:bidi/>
        <w:spacing w:line="360" w:lineRule="auto"/>
        <w:jc w:val="both"/>
        <w:rPr>
          <w:rFonts w:ascii="David" w:hAnsi="David" w:cs="David"/>
          <w:sz w:val="24"/>
          <w:szCs w:val="24"/>
          <w:lang w:eastAsia="en-US"/>
        </w:rPr>
      </w:pPr>
      <w:r w:rsidRPr="00E041FC">
        <w:rPr>
          <w:rFonts w:ascii="David" w:hAnsi="David" w:cs="David"/>
          <w:sz w:val="24"/>
          <w:szCs w:val="24"/>
          <w:rtl/>
        </w:rPr>
        <w:t>בנק ישראל מפרסם היום את הסקירה השנתית של הממונה על שיתוף בנתוני אשראי לשנת 2025, המשקפת את התפתחותה של מערכת נתוני אשראי בשוק האשראי בישראל, ואת תרומתה להגברת התחרות</w:t>
      </w:r>
      <w:r w:rsidR="00F017F2">
        <w:rPr>
          <w:rFonts w:ascii="David" w:hAnsi="David" w:cs="David" w:hint="cs"/>
          <w:sz w:val="24"/>
          <w:szCs w:val="24"/>
          <w:rtl/>
        </w:rPr>
        <w:t>,</w:t>
      </w:r>
      <w:r w:rsidRPr="00E041FC">
        <w:rPr>
          <w:rFonts w:ascii="David" w:hAnsi="David" w:cs="David"/>
          <w:sz w:val="24"/>
          <w:szCs w:val="24"/>
          <w:rtl/>
        </w:rPr>
        <w:t xml:space="preserve"> לחיזוק כוחו של הצרכן ולהעמקת ההוגנות בשוק הפיננסי.</w:t>
      </w:r>
    </w:p>
    <w:p w:rsidR="00E041FC" w:rsidRPr="00E041FC" w:rsidRDefault="00E041FC" w:rsidP="003E2CED">
      <w:pPr>
        <w:bidi/>
        <w:spacing w:line="360" w:lineRule="auto"/>
        <w:jc w:val="both"/>
        <w:rPr>
          <w:rFonts w:ascii="David" w:hAnsi="David" w:cs="David"/>
          <w:sz w:val="24"/>
          <w:szCs w:val="24"/>
          <w:rtl/>
        </w:rPr>
      </w:pPr>
    </w:p>
    <w:p w:rsidR="00E041FC" w:rsidRPr="00E041FC" w:rsidRDefault="00E041FC" w:rsidP="003E2CED">
      <w:pPr>
        <w:bidi/>
        <w:spacing w:line="360" w:lineRule="auto"/>
        <w:jc w:val="both"/>
        <w:rPr>
          <w:rFonts w:ascii="David" w:hAnsi="David" w:cs="David"/>
          <w:sz w:val="24"/>
          <w:szCs w:val="24"/>
          <w:rtl/>
        </w:rPr>
      </w:pPr>
      <w:r w:rsidRPr="00E041FC">
        <w:rPr>
          <w:rFonts w:ascii="David" w:hAnsi="David" w:cs="David"/>
          <w:sz w:val="24"/>
          <w:szCs w:val="24"/>
          <w:rtl/>
        </w:rPr>
        <w:t xml:space="preserve">במרכז הפעילות עומדת ההבנה כי מידע פיננסי נגיש ואמין הוא מפתח לשוק אשראי תחרותי והוגן. מערכת נתוני אשראי נועדה לצמצם פערי מידע בין לקוחות לבין נותני אשראי, ולאפשר לכל צרכן לתכנן את ההתנהלות הפיננסית לקבלת תנאים טובים יותר. בתוך כך, המערכת ממשיכה לבסס את מעמדה כתשתית מרכזית בשוק האשראי </w:t>
      </w:r>
      <w:r w:rsidRPr="00A52597">
        <w:rPr>
          <w:rFonts w:ascii="David" w:hAnsi="David" w:cs="David"/>
          <w:sz w:val="24"/>
          <w:szCs w:val="24"/>
          <w:rtl/>
        </w:rPr>
        <w:t>שלתוצריה יש השפעה ניכרת בתהליך מתן אשראי</w:t>
      </w:r>
      <w:r>
        <w:rPr>
          <w:rFonts w:ascii="David" w:hAnsi="David" w:cs="David"/>
          <w:sz w:val="24"/>
          <w:szCs w:val="24"/>
          <w:rtl/>
        </w:rPr>
        <w:t>, התורמים</w:t>
      </w:r>
      <w:r w:rsidRPr="00E041FC">
        <w:rPr>
          <w:rFonts w:ascii="David" w:hAnsi="David" w:cs="David"/>
          <w:sz w:val="24"/>
          <w:szCs w:val="24"/>
          <w:rtl/>
        </w:rPr>
        <w:t xml:space="preserve"> ללקוחות, לגופים הפיננסיים ולמדיניות הכלכלית.</w:t>
      </w:r>
    </w:p>
    <w:p w:rsidR="00E041FC" w:rsidRPr="00E041FC" w:rsidRDefault="00E041FC" w:rsidP="003E2CED">
      <w:pPr>
        <w:bidi/>
        <w:spacing w:line="360" w:lineRule="auto"/>
        <w:jc w:val="both"/>
        <w:rPr>
          <w:rFonts w:ascii="David" w:hAnsi="David" w:cs="David"/>
          <w:sz w:val="24"/>
          <w:szCs w:val="24"/>
          <w:rtl/>
        </w:rPr>
      </w:pPr>
    </w:p>
    <w:p w:rsidR="00E041FC" w:rsidRPr="00E041FC" w:rsidRDefault="00E041FC" w:rsidP="003E2CED">
      <w:pPr>
        <w:bidi/>
        <w:spacing w:line="360" w:lineRule="auto"/>
        <w:jc w:val="both"/>
        <w:rPr>
          <w:rFonts w:ascii="David" w:hAnsi="David" w:cs="David"/>
          <w:sz w:val="24"/>
          <w:szCs w:val="24"/>
        </w:rPr>
      </w:pPr>
      <w:r w:rsidRPr="00E041FC">
        <w:rPr>
          <w:rFonts w:ascii="David" w:hAnsi="David" w:cs="David"/>
          <w:sz w:val="24"/>
          <w:szCs w:val="24"/>
          <w:rtl/>
        </w:rPr>
        <w:t xml:space="preserve">בשנת 2025 עמד במוקד </w:t>
      </w:r>
      <w:r w:rsidRPr="00A52597">
        <w:rPr>
          <w:rFonts w:ascii="David" w:hAnsi="David" w:cs="David"/>
          <w:sz w:val="24"/>
          <w:szCs w:val="24"/>
          <w:rtl/>
        </w:rPr>
        <w:t>עבודת הממונה</w:t>
      </w:r>
      <w:r w:rsidRPr="00E041FC">
        <w:rPr>
          <w:rFonts w:ascii="David" w:hAnsi="David" w:cs="David"/>
          <w:sz w:val="24"/>
          <w:szCs w:val="24"/>
          <w:rtl/>
        </w:rPr>
        <w:t xml:space="preserve"> גם ההיבט ההסברתי, מתוך הבנה כי מימוש הפוטנציאל של המערכת תלוי ביכולת הציבור להבין את המידע העומד לרשותו. בהתאם לכך, הורחבה הפעילות </w:t>
      </w:r>
      <w:proofErr w:type="spellStart"/>
      <w:r w:rsidRPr="00E041FC">
        <w:rPr>
          <w:rFonts w:ascii="David" w:hAnsi="David" w:cs="David"/>
          <w:sz w:val="24"/>
          <w:szCs w:val="24"/>
          <w:rtl/>
        </w:rPr>
        <w:t>להנגשת</w:t>
      </w:r>
      <w:proofErr w:type="spellEnd"/>
      <w:r w:rsidRPr="00E041FC">
        <w:rPr>
          <w:rFonts w:ascii="David" w:hAnsi="David" w:cs="David"/>
          <w:sz w:val="24"/>
          <w:szCs w:val="24"/>
          <w:rtl/>
        </w:rPr>
        <w:t xml:space="preserve"> המידע ולשיפור חוויית המשתמש, בין היתר באמצעות הדוח הדיגיטלי האישי, המאפשר לכל אזרח לצפות בנתוני האשראי שלו באופן ברור, נוח ומלווה בהסברים. מהלך זה נועד לצמצם פערי ידע ולאפשר גם לציבור ללא רקע פיננסי להבין את מצבו </w:t>
      </w:r>
      <w:r w:rsidRPr="00A52597">
        <w:rPr>
          <w:rFonts w:ascii="David" w:hAnsi="David" w:cs="David"/>
          <w:sz w:val="24"/>
          <w:szCs w:val="24"/>
          <w:rtl/>
        </w:rPr>
        <w:t>בתחום</w:t>
      </w:r>
      <w:r w:rsidRPr="00E041FC">
        <w:rPr>
          <w:rFonts w:ascii="David" w:hAnsi="David" w:cs="David"/>
          <w:sz w:val="24"/>
          <w:szCs w:val="24"/>
          <w:rtl/>
        </w:rPr>
        <w:t xml:space="preserve"> האשראי </w:t>
      </w:r>
      <w:r w:rsidRPr="00A52597">
        <w:rPr>
          <w:rFonts w:ascii="David" w:hAnsi="David" w:cs="David"/>
          <w:sz w:val="24"/>
          <w:szCs w:val="24"/>
          <w:rtl/>
        </w:rPr>
        <w:t>ולהחליט באופן מושכל</w:t>
      </w:r>
      <w:r w:rsidRPr="00E041FC">
        <w:rPr>
          <w:rFonts w:ascii="David" w:hAnsi="David" w:cs="David"/>
          <w:sz w:val="24"/>
          <w:szCs w:val="24"/>
          <w:rtl/>
        </w:rPr>
        <w:t xml:space="preserve"> יותר.</w:t>
      </w:r>
    </w:p>
    <w:p w:rsidR="00E041FC" w:rsidRPr="00E041FC" w:rsidRDefault="00E041FC" w:rsidP="003E2CED">
      <w:pPr>
        <w:bidi/>
        <w:spacing w:line="360" w:lineRule="auto"/>
        <w:jc w:val="both"/>
        <w:rPr>
          <w:rFonts w:ascii="David" w:hAnsi="David" w:cs="David"/>
          <w:sz w:val="24"/>
          <w:szCs w:val="24"/>
          <w:rtl/>
        </w:rPr>
      </w:pPr>
    </w:p>
    <w:p w:rsidR="00E041FC" w:rsidRPr="00E041FC" w:rsidRDefault="00E041FC" w:rsidP="003E2CED">
      <w:pPr>
        <w:bidi/>
        <w:spacing w:line="360" w:lineRule="auto"/>
        <w:jc w:val="both"/>
        <w:rPr>
          <w:rFonts w:ascii="David" w:hAnsi="David" w:cs="David"/>
          <w:sz w:val="24"/>
          <w:szCs w:val="24"/>
          <w:rtl/>
        </w:rPr>
      </w:pPr>
      <w:r w:rsidRPr="00E041FC">
        <w:rPr>
          <w:rFonts w:ascii="David" w:hAnsi="David" w:cs="David"/>
          <w:b/>
          <w:bCs/>
          <w:sz w:val="24"/>
          <w:szCs w:val="24"/>
          <w:rtl/>
        </w:rPr>
        <w:t>מנכ"ל בנק ישראל, מר יורם כהן</w:t>
      </w:r>
      <w:r w:rsidRPr="003E2CED">
        <w:rPr>
          <w:rFonts w:ascii="David" w:hAnsi="David" w:cs="David"/>
          <w:sz w:val="24"/>
          <w:szCs w:val="24"/>
          <w:rtl/>
        </w:rPr>
        <w:t>:</w:t>
      </w:r>
      <w:r w:rsidRPr="00E041FC">
        <w:rPr>
          <w:rFonts w:ascii="David" w:hAnsi="David" w:cs="David"/>
          <w:sz w:val="24"/>
          <w:szCs w:val="24"/>
          <w:rtl/>
        </w:rPr>
        <w:t xml:space="preserve"> </w:t>
      </w:r>
      <w:r w:rsidR="00124633">
        <w:rPr>
          <w:rFonts w:ascii="David" w:hAnsi="David" w:cs="David" w:hint="cs"/>
          <w:sz w:val="24"/>
          <w:szCs w:val="24"/>
          <w:rtl/>
        </w:rPr>
        <w:t>"</w:t>
      </w:r>
      <w:r w:rsidRPr="00E041FC">
        <w:rPr>
          <w:rFonts w:ascii="David" w:hAnsi="David" w:cs="David"/>
          <w:sz w:val="24"/>
          <w:szCs w:val="24"/>
          <w:rtl/>
        </w:rPr>
        <w:t>שוק אשראי תחרותי והוגן נשען על תשתית מידע אמינה ונגישה לכלל השחקנים. מערכת נתוני אשראי הופכת את המידע הפיננסי מחסם לגשר, היא מאפשרת ללקוחות לשפר את התנהלותם הפיננסית, ומסייעת לנותני אשראי לפעול בתנאים שוויוניים. בנק ישראל ימשיך לפעול לקידום המערכת, לשיפור השירות לציבור ולהבטחת הגנה מתקדמת על המידע האישי</w:t>
      </w:r>
      <w:r w:rsidR="00124633">
        <w:rPr>
          <w:rFonts w:ascii="David" w:hAnsi="David" w:cs="David" w:hint="cs"/>
          <w:sz w:val="24"/>
          <w:szCs w:val="24"/>
          <w:rtl/>
        </w:rPr>
        <w:t>"</w:t>
      </w:r>
      <w:r w:rsidRPr="00E041FC">
        <w:rPr>
          <w:rFonts w:ascii="David" w:hAnsi="David" w:cs="David"/>
          <w:sz w:val="24"/>
          <w:szCs w:val="24"/>
          <w:rtl/>
        </w:rPr>
        <w:t>.</w:t>
      </w:r>
    </w:p>
    <w:p w:rsidR="00E041FC" w:rsidRPr="00E041FC" w:rsidRDefault="00E041FC" w:rsidP="003E2CED">
      <w:pPr>
        <w:bidi/>
        <w:spacing w:line="360" w:lineRule="auto"/>
        <w:jc w:val="both"/>
        <w:rPr>
          <w:rFonts w:ascii="David" w:hAnsi="David" w:cs="David"/>
          <w:sz w:val="24"/>
          <w:szCs w:val="24"/>
          <w:rtl/>
        </w:rPr>
      </w:pPr>
    </w:p>
    <w:p w:rsidR="000105AB" w:rsidRDefault="00E041FC" w:rsidP="00C95A5B">
      <w:pPr>
        <w:bidi/>
        <w:spacing w:line="360" w:lineRule="auto"/>
        <w:jc w:val="both"/>
        <w:rPr>
          <w:rFonts w:ascii="David" w:hAnsi="David" w:cs="David"/>
          <w:sz w:val="24"/>
          <w:szCs w:val="24"/>
          <w:rtl/>
        </w:rPr>
      </w:pPr>
      <w:r w:rsidRPr="00E041FC">
        <w:rPr>
          <w:rFonts w:ascii="David" w:hAnsi="David" w:cs="David"/>
          <w:b/>
          <w:bCs/>
          <w:sz w:val="24"/>
          <w:szCs w:val="24"/>
          <w:rtl/>
        </w:rPr>
        <w:t>הממונה על שיתוף בנתוני אשראי, רו"ח אייל חדד</w:t>
      </w:r>
      <w:r w:rsidRPr="003E2CED">
        <w:rPr>
          <w:rFonts w:ascii="David" w:hAnsi="David" w:cs="David"/>
          <w:sz w:val="24"/>
          <w:szCs w:val="24"/>
          <w:rtl/>
        </w:rPr>
        <w:t>:</w:t>
      </w:r>
      <w:r w:rsidRPr="00E041FC">
        <w:rPr>
          <w:rFonts w:ascii="David" w:hAnsi="David" w:cs="David"/>
          <w:sz w:val="24"/>
          <w:szCs w:val="24"/>
          <w:rtl/>
        </w:rPr>
        <w:t xml:space="preserve"> </w:t>
      </w:r>
      <w:r w:rsidR="00124633">
        <w:rPr>
          <w:rFonts w:ascii="David" w:hAnsi="David" w:cs="David" w:hint="cs"/>
          <w:sz w:val="24"/>
          <w:szCs w:val="24"/>
          <w:rtl/>
        </w:rPr>
        <w:t>"</w:t>
      </w:r>
      <w:r w:rsidRPr="00E041FC">
        <w:rPr>
          <w:rFonts w:ascii="David" w:hAnsi="David" w:cs="David"/>
          <w:sz w:val="24"/>
          <w:szCs w:val="24"/>
          <w:rtl/>
        </w:rPr>
        <w:t>מערכת נתוני אשראי נועדה</w:t>
      </w:r>
      <w:r w:rsidR="00124633">
        <w:rPr>
          <w:rFonts w:ascii="David" w:hAnsi="David" w:cs="David" w:hint="cs"/>
          <w:sz w:val="24"/>
          <w:szCs w:val="24"/>
          <w:rtl/>
        </w:rPr>
        <w:t xml:space="preserve"> לקדם את התחרות בשוק האשראי בישראל, </w:t>
      </w:r>
      <w:r w:rsidR="00124633" w:rsidRPr="000C60F3">
        <w:rPr>
          <w:rFonts w:ascii="David" w:hAnsi="David" w:cs="David" w:hint="cs"/>
          <w:sz w:val="24"/>
          <w:szCs w:val="24"/>
          <w:rtl/>
        </w:rPr>
        <w:t>וכך מעידים מחקרים שבוצעו בחטיבת המחקר של בנק ישראל.</w:t>
      </w:r>
      <w:r w:rsidR="00124633">
        <w:rPr>
          <w:rFonts w:ascii="David" w:hAnsi="David" w:cs="David" w:hint="cs"/>
          <w:sz w:val="24"/>
          <w:szCs w:val="24"/>
          <w:rtl/>
        </w:rPr>
        <w:t xml:space="preserve"> </w:t>
      </w:r>
      <w:r w:rsidR="00124633" w:rsidRPr="00124633">
        <w:rPr>
          <w:rFonts w:ascii="David" w:hAnsi="David" w:cs="David"/>
          <w:sz w:val="24"/>
          <w:szCs w:val="24"/>
          <w:rtl/>
        </w:rPr>
        <w:t>סקירה זו מציגה תמונת מצב עדכנית של פעילות המערכת, הישגיה ואתגריה, ונועדה לשמש כלי מקצועי להמשך פיתוחה וחיזוקה של מערכת נתוני האשראי בשנים הבאות</w:t>
      </w:r>
      <w:r w:rsidR="00124633">
        <w:rPr>
          <w:rFonts w:ascii="David" w:hAnsi="David" w:cs="David" w:hint="cs"/>
          <w:sz w:val="24"/>
          <w:szCs w:val="24"/>
          <w:rtl/>
        </w:rPr>
        <w:t xml:space="preserve">. </w:t>
      </w:r>
      <w:r w:rsidRPr="00E041FC">
        <w:rPr>
          <w:rFonts w:ascii="David" w:hAnsi="David" w:cs="David"/>
          <w:sz w:val="24"/>
          <w:szCs w:val="24"/>
          <w:rtl/>
        </w:rPr>
        <w:t>השנה</w:t>
      </w:r>
      <w:r w:rsidR="00124633">
        <w:rPr>
          <w:rFonts w:ascii="David" w:hAnsi="David" w:cs="David" w:hint="cs"/>
          <w:sz w:val="24"/>
          <w:szCs w:val="24"/>
          <w:rtl/>
        </w:rPr>
        <w:t xml:space="preserve"> </w:t>
      </w:r>
      <w:r w:rsidR="000F5266">
        <w:rPr>
          <w:rFonts w:ascii="David" w:hAnsi="David" w:cs="David" w:hint="cs"/>
          <w:sz w:val="24"/>
          <w:szCs w:val="24"/>
          <w:rtl/>
        </w:rPr>
        <w:t>הדגשנו</w:t>
      </w:r>
      <w:r>
        <w:rPr>
          <w:rFonts w:ascii="David" w:hAnsi="David" w:cs="David"/>
          <w:sz w:val="24"/>
          <w:szCs w:val="24"/>
          <w:rtl/>
        </w:rPr>
        <w:t xml:space="preserve"> </w:t>
      </w:r>
      <w:r w:rsidR="000F5266">
        <w:rPr>
          <w:rFonts w:ascii="David" w:hAnsi="David" w:cs="David" w:hint="cs"/>
          <w:sz w:val="24"/>
          <w:szCs w:val="24"/>
          <w:rtl/>
        </w:rPr>
        <w:t>ב</w:t>
      </w:r>
      <w:r>
        <w:rPr>
          <w:rFonts w:ascii="David" w:hAnsi="David" w:cs="David"/>
          <w:sz w:val="24"/>
          <w:szCs w:val="24"/>
          <w:rtl/>
        </w:rPr>
        <w:t xml:space="preserve">מיוחד </w:t>
      </w:r>
      <w:r w:rsidR="000F5266">
        <w:rPr>
          <w:rFonts w:ascii="David" w:hAnsi="David" w:cs="David" w:hint="cs"/>
          <w:sz w:val="24"/>
          <w:szCs w:val="24"/>
          <w:rtl/>
        </w:rPr>
        <w:t>את</w:t>
      </w:r>
      <w:r w:rsidR="000F5266">
        <w:rPr>
          <w:rFonts w:ascii="David" w:hAnsi="David" w:cs="David"/>
          <w:sz w:val="24"/>
          <w:szCs w:val="24"/>
          <w:rtl/>
        </w:rPr>
        <w:t xml:space="preserve"> </w:t>
      </w:r>
      <w:r>
        <w:rPr>
          <w:rFonts w:ascii="David" w:hAnsi="David" w:cs="David"/>
          <w:sz w:val="24"/>
          <w:szCs w:val="24"/>
          <w:rtl/>
        </w:rPr>
        <w:t>חיזוק ההסברה לציבו</w:t>
      </w:r>
      <w:r w:rsidRPr="00E041FC">
        <w:rPr>
          <w:rFonts w:ascii="David" w:hAnsi="David" w:cs="David"/>
          <w:sz w:val="24"/>
          <w:szCs w:val="24"/>
          <w:rtl/>
        </w:rPr>
        <w:t>ר, ובמרכזה הדוח הדיגיטלי האישי</w:t>
      </w:r>
      <w:r w:rsidR="000F5266">
        <w:rPr>
          <w:rFonts w:ascii="David" w:hAnsi="David" w:cs="David" w:hint="cs"/>
          <w:sz w:val="24"/>
          <w:szCs w:val="24"/>
          <w:rtl/>
        </w:rPr>
        <w:t>,</w:t>
      </w:r>
      <w:r w:rsidR="00124633">
        <w:rPr>
          <w:rFonts w:ascii="David" w:hAnsi="David" w:cs="David" w:hint="cs"/>
          <w:sz w:val="24"/>
          <w:szCs w:val="24"/>
          <w:rtl/>
        </w:rPr>
        <w:t xml:space="preserve"> כדי לאפשר לאזרחים למצות את היתרונות </w:t>
      </w:r>
      <w:r w:rsidR="006E0A2E">
        <w:rPr>
          <w:rFonts w:ascii="David" w:hAnsi="David" w:cs="David" w:hint="cs"/>
          <w:sz w:val="24"/>
          <w:szCs w:val="24"/>
          <w:rtl/>
        </w:rPr>
        <w:t>ש</w:t>
      </w:r>
      <w:r w:rsidR="00124633">
        <w:rPr>
          <w:rFonts w:ascii="David" w:hAnsi="David" w:cs="David" w:hint="cs"/>
          <w:sz w:val="24"/>
          <w:szCs w:val="24"/>
          <w:rtl/>
        </w:rPr>
        <w:t xml:space="preserve">במערכת ולהכיר את ריכוז התחייבויות האשראי שלהם. </w:t>
      </w:r>
    </w:p>
    <w:p w:rsidR="00E041FC" w:rsidRPr="00E041FC" w:rsidRDefault="00124633" w:rsidP="00C95A5B">
      <w:pPr>
        <w:bidi/>
        <w:spacing w:line="360" w:lineRule="auto"/>
        <w:jc w:val="both"/>
        <w:rPr>
          <w:rFonts w:ascii="David" w:hAnsi="David" w:cs="David"/>
          <w:sz w:val="24"/>
          <w:szCs w:val="24"/>
          <w:rtl/>
        </w:rPr>
      </w:pPr>
      <w:r>
        <w:rPr>
          <w:rFonts w:ascii="David" w:hAnsi="David" w:cs="David" w:hint="cs"/>
          <w:sz w:val="24"/>
          <w:szCs w:val="24"/>
          <w:rtl/>
        </w:rPr>
        <w:t xml:space="preserve">בשנה </w:t>
      </w:r>
      <w:r w:rsidR="009774FD">
        <w:rPr>
          <w:rFonts w:ascii="David" w:hAnsi="David" w:cs="David" w:hint="cs"/>
          <w:sz w:val="24"/>
          <w:szCs w:val="24"/>
          <w:rtl/>
        </w:rPr>
        <w:t>ה</w:t>
      </w:r>
      <w:r>
        <w:rPr>
          <w:rFonts w:ascii="David" w:hAnsi="David" w:cs="David" w:hint="cs"/>
          <w:sz w:val="24"/>
          <w:szCs w:val="24"/>
          <w:rtl/>
        </w:rPr>
        <w:t xml:space="preserve">חולפת פעלנו </w:t>
      </w:r>
      <w:r w:rsidR="000105AB">
        <w:rPr>
          <w:rFonts w:ascii="David" w:hAnsi="David" w:cs="David" w:hint="cs"/>
          <w:sz w:val="24"/>
          <w:szCs w:val="24"/>
          <w:rtl/>
        </w:rPr>
        <w:t xml:space="preserve">לאפשר את </w:t>
      </w:r>
      <w:r w:rsidRPr="00124633">
        <w:rPr>
          <w:rFonts w:ascii="David" w:hAnsi="David" w:cs="David"/>
          <w:sz w:val="24"/>
          <w:szCs w:val="24"/>
          <w:rtl/>
        </w:rPr>
        <w:t xml:space="preserve">הרחבת המאגר הקמעונאי </w:t>
      </w:r>
      <w:r>
        <w:rPr>
          <w:rFonts w:ascii="David" w:hAnsi="David" w:cs="David" w:hint="cs"/>
          <w:sz w:val="24"/>
          <w:szCs w:val="24"/>
          <w:rtl/>
        </w:rPr>
        <w:t>ל</w:t>
      </w:r>
      <w:r w:rsidRPr="00124633">
        <w:rPr>
          <w:rFonts w:ascii="David" w:hAnsi="David" w:cs="David"/>
          <w:sz w:val="24"/>
          <w:szCs w:val="24"/>
          <w:rtl/>
        </w:rPr>
        <w:t xml:space="preserve">מאגר לתאגידים. מאגר זה יסייע בעיקר לעסקים הקטנים והבינוניים שמהווים את עמוד השדרה של הכלכלה בישראל ותורמים יותר ממחצית התוצר, ותשפר את </w:t>
      </w:r>
      <w:r w:rsidRPr="00124633">
        <w:rPr>
          <w:rFonts w:ascii="David" w:hAnsi="David" w:cs="David"/>
          <w:sz w:val="24"/>
          <w:szCs w:val="24"/>
          <w:rtl/>
        </w:rPr>
        <w:lastRenderedPageBreak/>
        <w:t xml:space="preserve">הנגישות ותנאי האשראי שלהם. עסקים אלו חווים קשיי מימון ניכרים ורבים מהם נותרים ללא מענה מימוני – מצב המקשה על הישרדותם. למאגר פוטנציאל לחסוך לעסקים אלו כ-1.5 מיליארד ש"ח בשנה ולקדם בכך את תרומתם לכלכלה, לצמיחה ולתעסוקה. המאגר </w:t>
      </w:r>
      <w:r w:rsidR="00CF535A">
        <w:rPr>
          <w:rFonts w:ascii="David" w:hAnsi="David" w:cs="David" w:hint="cs"/>
          <w:sz w:val="24"/>
          <w:szCs w:val="24"/>
          <w:rtl/>
        </w:rPr>
        <w:t>צפוי ל</w:t>
      </w:r>
      <w:r w:rsidRPr="00124633">
        <w:rPr>
          <w:rFonts w:ascii="David" w:hAnsi="David" w:cs="David"/>
          <w:sz w:val="24"/>
          <w:szCs w:val="24"/>
          <w:rtl/>
        </w:rPr>
        <w:t>שפר את התחרות בשוק האשראי לעסקים קטנים ובינוניים</w:t>
      </w:r>
      <w:r w:rsidR="006E0A2E">
        <w:rPr>
          <w:rFonts w:ascii="David" w:hAnsi="David" w:cs="David" w:hint="cs"/>
          <w:sz w:val="24"/>
          <w:szCs w:val="24"/>
          <w:rtl/>
        </w:rPr>
        <w:t>,</w:t>
      </w:r>
      <w:r w:rsidRPr="00124633">
        <w:rPr>
          <w:rFonts w:ascii="David" w:hAnsi="David" w:cs="David"/>
          <w:sz w:val="24"/>
          <w:szCs w:val="24"/>
          <w:rtl/>
        </w:rPr>
        <w:t xml:space="preserve"> </w:t>
      </w:r>
      <w:r w:rsidR="006E0A2E">
        <w:rPr>
          <w:rFonts w:ascii="David" w:hAnsi="David" w:cs="David" w:hint="cs"/>
          <w:sz w:val="24"/>
          <w:szCs w:val="24"/>
          <w:rtl/>
        </w:rPr>
        <w:t>ו</w:t>
      </w:r>
      <w:r w:rsidR="00CF535A">
        <w:rPr>
          <w:rFonts w:ascii="David" w:hAnsi="David" w:cs="David" w:hint="cs"/>
          <w:sz w:val="24"/>
          <w:szCs w:val="24"/>
          <w:rtl/>
        </w:rPr>
        <w:t>ל</w:t>
      </w:r>
      <w:r w:rsidRPr="00124633">
        <w:rPr>
          <w:rFonts w:ascii="David" w:hAnsi="David" w:cs="David"/>
          <w:sz w:val="24"/>
          <w:szCs w:val="24"/>
          <w:rtl/>
        </w:rPr>
        <w:t xml:space="preserve">אפשר גם לנותני אשראי קטנים </w:t>
      </w:r>
      <w:proofErr w:type="spellStart"/>
      <w:r w:rsidRPr="00124633">
        <w:rPr>
          <w:rFonts w:ascii="David" w:hAnsi="David" w:cs="David"/>
          <w:sz w:val="24"/>
          <w:szCs w:val="24"/>
          <w:rtl/>
        </w:rPr>
        <w:t>וח</w:t>
      </w:r>
      <w:r>
        <w:rPr>
          <w:rFonts w:ascii="David" w:hAnsi="David" w:cs="David"/>
          <w:sz w:val="24"/>
          <w:szCs w:val="24"/>
          <w:rtl/>
        </w:rPr>
        <w:t>וץ־בנקאיים</w:t>
      </w:r>
      <w:proofErr w:type="spellEnd"/>
      <w:r>
        <w:rPr>
          <w:rFonts w:ascii="David" w:hAnsi="David" w:cs="David"/>
          <w:sz w:val="24"/>
          <w:szCs w:val="24"/>
          <w:rtl/>
        </w:rPr>
        <w:t xml:space="preserve"> להתחרות על עסקים אלו</w:t>
      </w:r>
      <w:r>
        <w:rPr>
          <w:rFonts w:ascii="David" w:hAnsi="David" w:cs="David" w:hint="cs"/>
          <w:sz w:val="24"/>
          <w:szCs w:val="24"/>
          <w:rtl/>
        </w:rPr>
        <w:t>".</w:t>
      </w:r>
    </w:p>
    <w:p w:rsidR="00E041FC" w:rsidRPr="00E041FC" w:rsidRDefault="00E041FC" w:rsidP="00E041FC">
      <w:pPr>
        <w:bidi/>
        <w:spacing w:line="360" w:lineRule="auto"/>
        <w:rPr>
          <w:rFonts w:ascii="David" w:hAnsi="David" w:cs="David"/>
          <w:sz w:val="24"/>
          <w:szCs w:val="24"/>
          <w:rtl/>
        </w:rPr>
      </w:pPr>
    </w:p>
    <w:p w:rsidR="00E041FC" w:rsidRPr="00E041FC" w:rsidRDefault="00E041FC" w:rsidP="00E041FC">
      <w:pPr>
        <w:bidi/>
        <w:spacing w:line="360" w:lineRule="auto"/>
        <w:rPr>
          <w:rFonts w:ascii="David" w:hAnsi="David" w:cs="David"/>
          <w:sz w:val="24"/>
          <w:szCs w:val="24"/>
          <w:rtl/>
        </w:rPr>
      </w:pPr>
      <w:r w:rsidRPr="00E041FC">
        <w:rPr>
          <w:rFonts w:ascii="David" w:hAnsi="David" w:cs="David"/>
          <w:sz w:val="24"/>
          <w:szCs w:val="24"/>
          <w:rtl/>
        </w:rPr>
        <w:t>מצורפת הסקירה השנתית.</w:t>
      </w:r>
    </w:p>
    <w:p w:rsidR="00C40795" w:rsidRDefault="00C40795" w:rsidP="00C40795">
      <w:pPr>
        <w:bidi/>
        <w:spacing w:line="360" w:lineRule="auto"/>
        <w:rPr>
          <w:rFonts w:cs="David"/>
          <w:sz w:val="24"/>
          <w:szCs w:val="24"/>
          <w:rtl/>
        </w:rPr>
      </w:pPr>
    </w:p>
    <w:p w:rsidR="00446CA1" w:rsidRPr="0067464D" w:rsidRDefault="00446CA1" w:rsidP="00690E53">
      <w:pPr>
        <w:bidi/>
        <w:spacing w:line="360" w:lineRule="auto"/>
        <w:rPr>
          <w:rFonts w:cs="David"/>
          <w:sz w:val="24"/>
          <w:szCs w:val="24"/>
          <w:rtl/>
        </w:rPr>
      </w:pPr>
    </w:p>
    <w:sectPr w:rsidR="00446CA1" w:rsidRPr="0067464D" w:rsidSect="00694239">
      <w:headerReference w:type="even" r:id="rId9"/>
      <w:headerReference w:type="default" r:id="rId10"/>
      <w:footerReference w:type="even" r:id="rId11"/>
      <w:footerReference w:type="default" r:id="rId12"/>
      <w:headerReference w:type="first" r:id="rId13"/>
      <w:footerReference w:type="first" r:id="rId14"/>
      <w:pgSz w:w="11906" w:h="16838"/>
      <w:pgMar w:top="624" w:right="1077" w:bottom="624" w:left="1077" w:header="709" w:footer="22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D2D" w:rsidRDefault="00F45D2D" w:rsidP="00C04A6B">
      <w:r>
        <w:separator/>
      </w:r>
    </w:p>
  </w:endnote>
  <w:endnote w:type="continuationSeparator" w:id="0">
    <w:p w:rsidR="00F45D2D" w:rsidRDefault="00F45D2D" w:rsidP="00C04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A18" w:rsidRDefault="00E84A18">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A18" w:rsidRDefault="00E84A18">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A18" w:rsidRDefault="00E84A1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D2D" w:rsidRDefault="00F45D2D" w:rsidP="00C04A6B">
      <w:r>
        <w:separator/>
      </w:r>
    </w:p>
  </w:footnote>
  <w:footnote w:type="continuationSeparator" w:id="0">
    <w:p w:rsidR="00F45D2D" w:rsidRDefault="00F45D2D" w:rsidP="00C04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A18" w:rsidRDefault="00E84A18">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A18" w:rsidRDefault="00E84A18">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A18" w:rsidRDefault="00E84A1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801FB"/>
    <w:multiLevelType w:val="hybridMultilevel"/>
    <w:tmpl w:val="759C7C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E453638"/>
    <w:multiLevelType w:val="hybridMultilevel"/>
    <w:tmpl w:val="637CF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6801FF"/>
    <w:multiLevelType w:val="hybridMultilevel"/>
    <w:tmpl w:val="66204CEC"/>
    <w:lvl w:ilvl="0" w:tplc="FB9065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923"/>
    <w:rsid w:val="00001531"/>
    <w:rsid w:val="000105AB"/>
    <w:rsid w:val="0001222D"/>
    <w:rsid w:val="00016D86"/>
    <w:rsid w:val="000261BE"/>
    <w:rsid w:val="00027F15"/>
    <w:rsid w:val="000315B5"/>
    <w:rsid w:val="000355D0"/>
    <w:rsid w:val="00040540"/>
    <w:rsid w:val="00046872"/>
    <w:rsid w:val="00050D65"/>
    <w:rsid w:val="00053D76"/>
    <w:rsid w:val="000578C8"/>
    <w:rsid w:val="00060CD7"/>
    <w:rsid w:val="00071CA9"/>
    <w:rsid w:val="00075233"/>
    <w:rsid w:val="00075BC2"/>
    <w:rsid w:val="00077867"/>
    <w:rsid w:val="00090558"/>
    <w:rsid w:val="00090D2F"/>
    <w:rsid w:val="00096E44"/>
    <w:rsid w:val="000A3731"/>
    <w:rsid w:val="000A5B78"/>
    <w:rsid w:val="000B7847"/>
    <w:rsid w:val="000C2B2A"/>
    <w:rsid w:val="000C60F3"/>
    <w:rsid w:val="000D098E"/>
    <w:rsid w:val="000D1783"/>
    <w:rsid w:val="000D5480"/>
    <w:rsid w:val="000D7291"/>
    <w:rsid w:val="000E4486"/>
    <w:rsid w:val="000E49CA"/>
    <w:rsid w:val="000E6BDB"/>
    <w:rsid w:val="000F1DAD"/>
    <w:rsid w:val="000F5266"/>
    <w:rsid w:val="000F5CC1"/>
    <w:rsid w:val="00112D81"/>
    <w:rsid w:val="00115086"/>
    <w:rsid w:val="001159FC"/>
    <w:rsid w:val="00115A82"/>
    <w:rsid w:val="00117379"/>
    <w:rsid w:val="00121A5F"/>
    <w:rsid w:val="001230E3"/>
    <w:rsid w:val="00124633"/>
    <w:rsid w:val="00124D6B"/>
    <w:rsid w:val="00132908"/>
    <w:rsid w:val="00133AB1"/>
    <w:rsid w:val="00133C19"/>
    <w:rsid w:val="00140E0F"/>
    <w:rsid w:val="0014375A"/>
    <w:rsid w:val="0015310E"/>
    <w:rsid w:val="00156760"/>
    <w:rsid w:val="00157EDF"/>
    <w:rsid w:val="00164FF1"/>
    <w:rsid w:val="0016750A"/>
    <w:rsid w:val="00167A3A"/>
    <w:rsid w:val="001723F1"/>
    <w:rsid w:val="00177686"/>
    <w:rsid w:val="00180E8A"/>
    <w:rsid w:val="001843E5"/>
    <w:rsid w:val="00192212"/>
    <w:rsid w:val="001A29D0"/>
    <w:rsid w:val="001A2C93"/>
    <w:rsid w:val="001A36A8"/>
    <w:rsid w:val="001A3C78"/>
    <w:rsid w:val="001B39FB"/>
    <w:rsid w:val="001B6C5E"/>
    <w:rsid w:val="001C6F0C"/>
    <w:rsid w:val="001D2A57"/>
    <w:rsid w:val="001D7646"/>
    <w:rsid w:val="001E5A00"/>
    <w:rsid w:val="001E6258"/>
    <w:rsid w:val="001E7337"/>
    <w:rsid w:val="001F2946"/>
    <w:rsid w:val="001F3D99"/>
    <w:rsid w:val="00201ECB"/>
    <w:rsid w:val="002022E3"/>
    <w:rsid w:val="00203AE5"/>
    <w:rsid w:val="00210869"/>
    <w:rsid w:val="0023501E"/>
    <w:rsid w:val="002360BD"/>
    <w:rsid w:val="002438E2"/>
    <w:rsid w:val="0024679B"/>
    <w:rsid w:val="00250756"/>
    <w:rsid w:val="0026568F"/>
    <w:rsid w:val="00266A17"/>
    <w:rsid w:val="00277F68"/>
    <w:rsid w:val="00292718"/>
    <w:rsid w:val="002A4BDC"/>
    <w:rsid w:val="002A5C19"/>
    <w:rsid w:val="002A6574"/>
    <w:rsid w:val="002B1C21"/>
    <w:rsid w:val="002B3FB0"/>
    <w:rsid w:val="002B4AEC"/>
    <w:rsid w:val="002B4D76"/>
    <w:rsid w:val="002B686C"/>
    <w:rsid w:val="002B6B7C"/>
    <w:rsid w:val="002C1E8B"/>
    <w:rsid w:val="002D01AB"/>
    <w:rsid w:val="002D368D"/>
    <w:rsid w:val="002E1E36"/>
    <w:rsid w:val="002E493E"/>
    <w:rsid w:val="002E4CFF"/>
    <w:rsid w:val="002E7747"/>
    <w:rsid w:val="002F0F35"/>
    <w:rsid w:val="002F2100"/>
    <w:rsid w:val="00300B3A"/>
    <w:rsid w:val="00301DF4"/>
    <w:rsid w:val="003044F6"/>
    <w:rsid w:val="0031697F"/>
    <w:rsid w:val="00322023"/>
    <w:rsid w:val="003241A7"/>
    <w:rsid w:val="003329C4"/>
    <w:rsid w:val="003364E6"/>
    <w:rsid w:val="003433C9"/>
    <w:rsid w:val="00344613"/>
    <w:rsid w:val="00351908"/>
    <w:rsid w:val="003537B9"/>
    <w:rsid w:val="003544E1"/>
    <w:rsid w:val="00357F2D"/>
    <w:rsid w:val="00365742"/>
    <w:rsid w:val="0036708A"/>
    <w:rsid w:val="00374714"/>
    <w:rsid w:val="00375D59"/>
    <w:rsid w:val="003822B2"/>
    <w:rsid w:val="003901E0"/>
    <w:rsid w:val="00397697"/>
    <w:rsid w:val="00397D52"/>
    <w:rsid w:val="003A4403"/>
    <w:rsid w:val="003B0A85"/>
    <w:rsid w:val="003B5057"/>
    <w:rsid w:val="003E0C33"/>
    <w:rsid w:val="003E1908"/>
    <w:rsid w:val="003E2CED"/>
    <w:rsid w:val="003F4C15"/>
    <w:rsid w:val="003F76FD"/>
    <w:rsid w:val="004024FA"/>
    <w:rsid w:val="004031B1"/>
    <w:rsid w:val="00411CD8"/>
    <w:rsid w:val="00413158"/>
    <w:rsid w:val="00416426"/>
    <w:rsid w:val="00416F89"/>
    <w:rsid w:val="00417AAF"/>
    <w:rsid w:val="00420F93"/>
    <w:rsid w:val="00424756"/>
    <w:rsid w:val="0043095C"/>
    <w:rsid w:val="00431CBC"/>
    <w:rsid w:val="004330A6"/>
    <w:rsid w:val="004341A0"/>
    <w:rsid w:val="00436D8C"/>
    <w:rsid w:val="004402C2"/>
    <w:rsid w:val="00440CA2"/>
    <w:rsid w:val="00446CA1"/>
    <w:rsid w:val="0044713E"/>
    <w:rsid w:val="00447E2D"/>
    <w:rsid w:val="0045046D"/>
    <w:rsid w:val="004516E2"/>
    <w:rsid w:val="004566C7"/>
    <w:rsid w:val="00456EC0"/>
    <w:rsid w:val="00456FB5"/>
    <w:rsid w:val="004625EB"/>
    <w:rsid w:val="00465A54"/>
    <w:rsid w:val="00482F53"/>
    <w:rsid w:val="004B5D8D"/>
    <w:rsid w:val="004B74BD"/>
    <w:rsid w:val="004C1337"/>
    <w:rsid w:val="004C46FB"/>
    <w:rsid w:val="004C6029"/>
    <w:rsid w:val="004D3EF8"/>
    <w:rsid w:val="004E21A1"/>
    <w:rsid w:val="004E5DC4"/>
    <w:rsid w:val="004F06E0"/>
    <w:rsid w:val="004F3747"/>
    <w:rsid w:val="00502068"/>
    <w:rsid w:val="00502803"/>
    <w:rsid w:val="005044A0"/>
    <w:rsid w:val="005356A3"/>
    <w:rsid w:val="00541291"/>
    <w:rsid w:val="00543C49"/>
    <w:rsid w:val="00543F25"/>
    <w:rsid w:val="00544C37"/>
    <w:rsid w:val="00563AAB"/>
    <w:rsid w:val="00565C6D"/>
    <w:rsid w:val="00566EB9"/>
    <w:rsid w:val="005709DB"/>
    <w:rsid w:val="005717BC"/>
    <w:rsid w:val="00582D1F"/>
    <w:rsid w:val="00592303"/>
    <w:rsid w:val="00593FDD"/>
    <w:rsid w:val="00595552"/>
    <w:rsid w:val="005A042E"/>
    <w:rsid w:val="005A2BB4"/>
    <w:rsid w:val="005B0E08"/>
    <w:rsid w:val="005B3926"/>
    <w:rsid w:val="005B790C"/>
    <w:rsid w:val="005C05BE"/>
    <w:rsid w:val="005C0B27"/>
    <w:rsid w:val="005C480F"/>
    <w:rsid w:val="005C4BF8"/>
    <w:rsid w:val="005C6DF4"/>
    <w:rsid w:val="005C6F0A"/>
    <w:rsid w:val="005C7505"/>
    <w:rsid w:val="005D1B42"/>
    <w:rsid w:val="005D474E"/>
    <w:rsid w:val="005E6556"/>
    <w:rsid w:val="005F19C3"/>
    <w:rsid w:val="00614095"/>
    <w:rsid w:val="00614B30"/>
    <w:rsid w:val="00616C24"/>
    <w:rsid w:val="0062534F"/>
    <w:rsid w:val="00643919"/>
    <w:rsid w:val="00650022"/>
    <w:rsid w:val="006532E6"/>
    <w:rsid w:val="00656520"/>
    <w:rsid w:val="00660C5A"/>
    <w:rsid w:val="00662271"/>
    <w:rsid w:val="00664A34"/>
    <w:rsid w:val="00664BC2"/>
    <w:rsid w:val="00665B58"/>
    <w:rsid w:val="0066745F"/>
    <w:rsid w:val="0067168F"/>
    <w:rsid w:val="0067464D"/>
    <w:rsid w:val="006800B3"/>
    <w:rsid w:val="006805BD"/>
    <w:rsid w:val="00684AFE"/>
    <w:rsid w:val="00685174"/>
    <w:rsid w:val="0068710B"/>
    <w:rsid w:val="0069025D"/>
    <w:rsid w:val="00690E53"/>
    <w:rsid w:val="0069359A"/>
    <w:rsid w:val="00694239"/>
    <w:rsid w:val="00694AA0"/>
    <w:rsid w:val="0069531F"/>
    <w:rsid w:val="006B0260"/>
    <w:rsid w:val="006B06E8"/>
    <w:rsid w:val="006B24FF"/>
    <w:rsid w:val="006B4F6C"/>
    <w:rsid w:val="006B53C3"/>
    <w:rsid w:val="006B7E33"/>
    <w:rsid w:val="006C01FB"/>
    <w:rsid w:val="006C039C"/>
    <w:rsid w:val="006C1D47"/>
    <w:rsid w:val="006C335C"/>
    <w:rsid w:val="006C5E66"/>
    <w:rsid w:val="006D0F8B"/>
    <w:rsid w:val="006D10C4"/>
    <w:rsid w:val="006D6FBD"/>
    <w:rsid w:val="006E0A2E"/>
    <w:rsid w:val="006E1923"/>
    <w:rsid w:val="0070423F"/>
    <w:rsid w:val="007051A5"/>
    <w:rsid w:val="0071361C"/>
    <w:rsid w:val="00713751"/>
    <w:rsid w:val="007160E1"/>
    <w:rsid w:val="00716A0D"/>
    <w:rsid w:val="007224B8"/>
    <w:rsid w:val="00722FF8"/>
    <w:rsid w:val="00723C59"/>
    <w:rsid w:val="00724CD4"/>
    <w:rsid w:val="0072782F"/>
    <w:rsid w:val="00736E4D"/>
    <w:rsid w:val="0074502E"/>
    <w:rsid w:val="00747556"/>
    <w:rsid w:val="007510C2"/>
    <w:rsid w:val="00751AA3"/>
    <w:rsid w:val="0075204C"/>
    <w:rsid w:val="00754284"/>
    <w:rsid w:val="00754444"/>
    <w:rsid w:val="00755825"/>
    <w:rsid w:val="00760A29"/>
    <w:rsid w:val="007614EB"/>
    <w:rsid w:val="00762D5A"/>
    <w:rsid w:val="00772CD4"/>
    <w:rsid w:val="0077472D"/>
    <w:rsid w:val="00796511"/>
    <w:rsid w:val="007A1FC2"/>
    <w:rsid w:val="007A3B7F"/>
    <w:rsid w:val="007B1767"/>
    <w:rsid w:val="007B411C"/>
    <w:rsid w:val="007B7525"/>
    <w:rsid w:val="007B7991"/>
    <w:rsid w:val="007C21A5"/>
    <w:rsid w:val="007C2318"/>
    <w:rsid w:val="007C377F"/>
    <w:rsid w:val="007D16A7"/>
    <w:rsid w:val="007E18EE"/>
    <w:rsid w:val="007E29F7"/>
    <w:rsid w:val="007E4473"/>
    <w:rsid w:val="007E56C5"/>
    <w:rsid w:val="007F4F34"/>
    <w:rsid w:val="008006AD"/>
    <w:rsid w:val="008007E6"/>
    <w:rsid w:val="00801FEF"/>
    <w:rsid w:val="00802462"/>
    <w:rsid w:val="00802B68"/>
    <w:rsid w:val="00804DD2"/>
    <w:rsid w:val="00804DEE"/>
    <w:rsid w:val="00815E62"/>
    <w:rsid w:val="0082256D"/>
    <w:rsid w:val="0082301C"/>
    <w:rsid w:val="00826810"/>
    <w:rsid w:val="00827156"/>
    <w:rsid w:val="00827F42"/>
    <w:rsid w:val="00830628"/>
    <w:rsid w:val="008315E7"/>
    <w:rsid w:val="00832014"/>
    <w:rsid w:val="00834569"/>
    <w:rsid w:val="00846F03"/>
    <w:rsid w:val="0084737E"/>
    <w:rsid w:val="008515DC"/>
    <w:rsid w:val="00852D44"/>
    <w:rsid w:val="00856D64"/>
    <w:rsid w:val="00856F3E"/>
    <w:rsid w:val="0086330B"/>
    <w:rsid w:val="00870E8D"/>
    <w:rsid w:val="00881DB9"/>
    <w:rsid w:val="00881EF7"/>
    <w:rsid w:val="00882C4C"/>
    <w:rsid w:val="008869A9"/>
    <w:rsid w:val="008918CC"/>
    <w:rsid w:val="008930B2"/>
    <w:rsid w:val="00895DD5"/>
    <w:rsid w:val="00896B26"/>
    <w:rsid w:val="00896CB8"/>
    <w:rsid w:val="008A065A"/>
    <w:rsid w:val="008A5898"/>
    <w:rsid w:val="008A7F95"/>
    <w:rsid w:val="008B42F8"/>
    <w:rsid w:val="008B55E9"/>
    <w:rsid w:val="008B7B09"/>
    <w:rsid w:val="008B7CEE"/>
    <w:rsid w:val="008C25D0"/>
    <w:rsid w:val="008C31B4"/>
    <w:rsid w:val="008C412E"/>
    <w:rsid w:val="008C436A"/>
    <w:rsid w:val="008C50B4"/>
    <w:rsid w:val="008C6B15"/>
    <w:rsid w:val="008C6BA3"/>
    <w:rsid w:val="008D3E93"/>
    <w:rsid w:val="008E34D7"/>
    <w:rsid w:val="008F1C78"/>
    <w:rsid w:val="008F3402"/>
    <w:rsid w:val="008F7B5E"/>
    <w:rsid w:val="00902867"/>
    <w:rsid w:val="00905C1D"/>
    <w:rsid w:val="00916014"/>
    <w:rsid w:val="009172CF"/>
    <w:rsid w:val="00917850"/>
    <w:rsid w:val="00917BC0"/>
    <w:rsid w:val="00930322"/>
    <w:rsid w:val="00931246"/>
    <w:rsid w:val="00934266"/>
    <w:rsid w:val="00941794"/>
    <w:rsid w:val="00942809"/>
    <w:rsid w:val="009533C0"/>
    <w:rsid w:val="00961EFC"/>
    <w:rsid w:val="0097043C"/>
    <w:rsid w:val="00972F84"/>
    <w:rsid w:val="00975DB4"/>
    <w:rsid w:val="00976AAD"/>
    <w:rsid w:val="009774FD"/>
    <w:rsid w:val="009818C2"/>
    <w:rsid w:val="00986B50"/>
    <w:rsid w:val="009878E0"/>
    <w:rsid w:val="00993A0F"/>
    <w:rsid w:val="00997F0F"/>
    <w:rsid w:val="009A1B95"/>
    <w:rsid w:val="009A4D7F"/>
    <w:rsid w:val="009B1670"/>
    <w:rsid w:val="009B38CF"/>
    <w:rsid w:val="009B3C2A"/>
    <w:rsid w:val="009B4BDA"/>
    <w:rsid w:val="009B6D22"/>
    <w:rsid w:val="009C16BD"/>
    <w:rsid w:val="009D15FB"/>
    <w:rsid w:val="009D2543"/>
    <w:rsid w:val="009D30D2"/>
    <w:rsid w:val="009D32EA"/>
    <w:rsid w:val="009D55FC"/>
    <w:rsid w:val="009E2546"/>
    <w:rsid w:val="009E62A7"/>
    <w:rsid w:val="009F1BAB"/>
    <w:rsid w:val="009F44A0"/>
    <w:rsid w:val="009F5787"/>
    <w:rsid w:val="009F6E22"/>
    <w:rsid w:val="009F789B"/>
    <w:rsid w:val="00A027E1"/>
    <w:rsid w:val="00A175C0"/>
    <w:rsid w:val="00A21471"/>
    <w:rsid w:val="00A26B40"/>
    <w:rsid w:val="00A31FDF"/>
    <w:rsid w:val="00A33480"/>
    <w:rsid w:val="00A34DCD"/>
    <w:rsid w:val="00A3630B"/>
    <w:rsid w:val="00A37469"/>
    <w:rsid w:val="00A42E8D"/>
    <w:rsid w:val="00A51B0B"/>
    <w:rsid w:val="00A52597"/>
    <w:rsid w:val="00A57161"/>
    <w:rsid w:val="00A57984"/>
    <w:rsid w:val="00A705D2"/>
    <w:rsid w:val="00A70622"/>
    <w:rsid w:val="00A73465"/>
    <w:rsid w:val="00A8180D"/>
    <w:rsid w:val="00A81BCB"/>
    <w:rsid w:val="00A824EF"/>
    <w:rsid w:val="00A82B66"/>
    <w:rsid w:val="00A94AEC"/>
    <w:rsid w:val="00AA1546"/>
    <w:rsid w:val="00AA51B0"/>
    <w:rsid w:val="00AA5C25"/>
    <w:rsid w:val="00AB409F"/>
    <w:rsid w:val="00AB71AF"/>
    <w:rsid w:val="00AC06FA"/>
    <w:rsid w:val="00AC075A"/>
    <w:rsid w:val="00AC136D"/>
    <w:rsid w:val="00AC5CDC"/>
    <w:rsid w:val="00AD689A"/>
    <w:rsid w:val="00AD759C"/>
    <w:rsid w:val="00AE0809"/>
    <w:rsid w:val="00AE1D53"/>
    <w:rsid w:val="00AE4ED6"/>
    <w:rsid w:val="00AE4FD2"/>
    <w:rsid w:val="00AE591E"/>
    <w:rsid w:val="00AF1813"/>
    <w:rsid w:val="00AF1C72"/>
    <w:rsid w:val="00AF1E89"/>
    <w:rsid w:val="00B0467B"/>
    <w:rsid w:val="00B058F3"/>
    <w:rsid w:val="00B17A25"/>
    <w:rsid w:val="00B2503D"/>
    <w:rsid w:val="00B311C2"/>
    <w:rsid w:val="00B33F24"/>
    <w:rsid w:val="00B357CE"/>
    <w:rsid w:val="00B40C5C"/>
    <w:rsid w:val="00B45525"/>
    <w:rsid w:val="00B50A27"/>
    <w:rsid w:val="00B53E37"/>
    <w:rsid w:val="00B766ED"/>
    <w:rsid w:val="00B84370"/>
    <w:rsid w:val="00B84BD7"/>
    <w:rsid w:val="00B86931"/>
    <w:rsid w:val="00B87681"/>
    <w:rsid w:val="00B975F4"/>
    <w:rsid w:val="00BA3D2E"/>
    <w:rsid w:val="00BB3EDB"/>
    <w:rsid w:val="00BB4339"/>
    <w:rsid w:val="00BC0B38"/>
    <w:rsid w:val="00BC20AE"/>
    <w:rsid w:val="00BC2A5D"/>
    <w:rsid w:val="00BC2FC6"/>
    <w:rsid w:val="00BC56AF"/>
    <w:rsid w:val="00BC5C64"/>
    <w:rsid w:val="00BD4188"/>
    <w:rsid w:val="00BD5F9E"/>
    <w:rsid w:val="00BD73BD"/>
    <w:rsid w:val="00BE235C"/>
    <w:rsid w:val="00BE2681"/>
    <w:rsid w:val="00BE49A2"/>
    <w:rsid w:val="00BE65E9"/>
    <w:rsid w:val="00BE761C"/>
    <w:rsid w:val="00BE7C6B"/>
    <w:rsid w:val="00BF10B0"/>
    <w:rsid w:val="00C0119B"/>
    <w:rsid w:val="00C02309"/>
    <w:rsid w:val="00C02BDE"/>
    <w:rsid w:val="00C02C4B"/>
    <w:rsid w:val="00C04A6B"/>
    <w:rsid w:val="00C13B0B"/>
    <w:rsid w:val="00C16423"/>
    <w:rsid w:val="00C202E0"/>
    <w:rsid w:val="00C25C1C"/>
    <w:rsid w:val="00C37694"/>
    <w:rsid w:val="00C40795"/>
    <w:rsid w:val="00C4391C"/>
    <w:rsid w:val="00C45C9C"/>
    <w:rsid w:val="00C50FB8"/>
    <w:rsid w:val="00C55186"/>
    <w:rsid w:val="00C6112D"/>
    <w:rsid w:val="00C656C3"/>
    <w:rsid w:val="00C73107"/>
    <w:rsid w:val="00C7679A"/>
    <w:rsid w:val="00C84B20"/>
    <w:rsid w:val="00C9548A"/>
    <w:rsid w:val="00C9582F"/>
    <w:rsid w:val="00C95A5B"/>
    <w:rsid w:val="00CA2B23"/>
    <w:rsid w:val="00CA4FF3"/>
    <w:rsid w:val="00CA6285"/>
    <w:rsid w:val="00CA6619"/>
    <w:rsid w:val="00CA67B2"/>
    <w:rsid w:val="00CB1B2B"/>
    <w:rsid w:val="00CB558E"/>
    <w:rsid w:val="00CC7597"/>
    <w:rsid w:val="00CF38C0"/>
    <w:rsid w:val="00CF535A"/>
    <w:rsid w:val="00D02C1F"/>
    <w:rsid w:val="00D11A32"/>
    <w:rsid w:val="00D146B9"/>
    <w:rsid w:val="00D173FE"/>
    <w:rsid w:val="00D24BD7"/>
    <w:rsid w:val="00D340F8"/>
    <w:rsid w:val="00D35F3D"/>
    <w:rsid w:val="00D3721C"/>
    <w:rsid w:val="00D37995"/>
    <w:rsid w:val="00D4096E"/>
    <w:rsid w:val="00D451FC"/>
    <w:rsid w:val="00D53F48"/>
    <w:rsid w:val="00D54D90"/>
    <w:rsid w:val="00D57149"/>
    <w:rsid w:val="00D63240"/>
    <w:rsid w:val="00D72614"/>
    <w:rsid w:val="00D76516"/>
    <w:rsid w:val="00D77E8D"/>
    <w:rsid w:val="00D85235"/>
    <w:rsid w:val="00D85776"/>
    <w:rsid w:val="00D85B79"/>
    <w:rsid w:val="00D87DC1"/>
    <w:rsid w:val="00D9772D"/>
    <w:rsid w:val="00DA3011"/>
    <w:rsid w:val="00DA50B7"/>
    <w:rsid w:val="00DA5820"/>
    <w:rsid w:val="00DB28EA"/>
    <w:rsid w:val="00DB4215"/>
    <w:rsid w:val="00DB7252"/>
    <w:rsid w:val="00DB73BD"/>
    <w:rsid w:val="00DC0A4B"/>
    <w:rsid w:val="00DD0FD9"/>
    <w:rsid w:val="00DD21B3"/>
    <w:rsid w:val="00DD5923"/>
    <w:rsid w:val="00DD7ADF"/>
    <w:rsid w:val="00DE0714"/>
    <w:rsid w:val="00DE6DE5"/>
    <w:rsid w:val="00DF4747"/>
    <w:rsid w:val="00E00192"/>
    <w:rsid w:val="00E00692"/>
    <w:rsid w:val="00E041FC"/>
    <w:rsid w:val="00E044B5"/>
    <w:rsid w:val="00E25FAD"/>
    <w:rsid w:val="00E337B1"/>
    <w:rsid w:val="00E4090A"/>
    <w:rsid w:val="00E44AD2"/>
    <w:rsid w:val="00E47793"/>
    <w:rsid w:val="00E52E4B"/>
    <w:rsid w:val="00E53653"/>
    <w:rsid w:val="00E53E39"/>
    <w:rsid w:val="00E55F96"/>
    <w:rsid w:val="00E61FB7"/>
    <w:rsid w:val="00E62567"/>
    <w:rsid w:val="00E759FD"/>
    <w:rsid w:val="00E76EF7"/>
    <w:rsid w:val="00E829B5"/>
    <w:rsid w:val="00E82ADA"/>
    <w:rsid w:val="00E832BA"/>
    <w:rsid w:val="00E84A18"/>
    <w:rsid w:val="00E85E11"/>
    <w:rsid w:val="00EB2021"/>
    <w:rsid w:val="00EB44E5"/>
    <w:rsid w:val="00EB6B70"/>
    <w:rsid w:val="00EC1B42"/>
    <w:rsid w:val="00EC44BF"/>
    <w:rsid w:val="00EC6664"/>
    <w:rsid w:val="00EC7226"/>
    <w:rsid w:val="00ED153D"/>
    <w:rsid w:val="00ED5A32"/>
    <w:rsid w:val="00ED6D62"/>
    <w:rsid w:val="00ED7248"/>
    <w:rsid w:val="00EE0431"/>
    <w:rsid w:val="00EE0853"/>
    <w:rsid w:val="00EE453E"/>
    <w:rsid w:val="00EE4624"/>
    <w:rsid w:val="00EF040B"/>
    <w:rsid w:val="00EF073D"/>
    <w:rsid w:val="00EF3626"/>
    <w:rsid w:val="00EF410B"/>
    <w:rsid w:val="00F017F2"/>
    <w:rsid w:val="00F0301D"/>
    <w:rsid w:val="00F072E9"/>
    <w:rsid w:val="00F1355B"/>
    <w:rsid w:val="00F32B6E"/>
    <w:rsid w:val="00F357D6"/>
    <w:rsid w:val="00F45D2D"/>
    <w:rsid w:val="00F5190F"/>
    <w:rsid w:val="00F60082"/>
    <w:rsid w:val="00F662C3"/>
    <w:rsid w:val="00F66303"/>
    <w:rsid w:val="00F66DDC"/>
    <w:rsid w:val="00F76404"/>
    <w:rsid w:val="00F76B4B"/>
    <w:rsid w:val="00F90B77"/>
    <w:rsid w:val="00F92824"/>
    <w:rsid w:val="00F92DFC"/>
    <w:rsid w:val="00F94EC2"/>
    <w:rsid w:val="00F96916"/>
    <w:rsid w:val="00FA270F"/>
    <w:rsid w:val="00FA53E0"/>
    <w:rsid w:val="00FB32F5"/>
    <w:rsid w:val="00FB3590"/>
    <w:rsid w:val="00FB36DE"/>
    <w:rsid w:val="00FB4C31"/>
    <w:rsid w:val="00FB697B"/>
    <w:rsid w:val="00FC6D59"/>
    <w:rsid w:val="00FD4587"/>
    <w:rsid w:val="00FD4DC2"/>
    <w:rsid w:val="00FE034E"/>
    <w:rsid w:val="00FE4176"/>
    <w:rsid w:val="00FF3586"/>
    <w:rsid w:val="00FF4461"/>
    <w:rsid w:val="00FF71CD"/>
    <w:rsid w:val="00FF728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5923"/>
    <w:pPr>
      <w:spacing w:after="0" w:line="240" w:lineRule="auto"/>
    </w:pPr>
    <w:rPr>
      <w:rFonts w:ascii="Times New Roman" w:eastAsia="Times New Roman" w:hAnsi="Times New Roman" w:cs="Miriam"/>
      <w:sz w:val="20"/>
      <w:szCs w:val="20"/>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923"/>
    <w:rPr>
      <w:rFonts w:ascii="Tahoma" w:hAnsi="Tahoma" w:cs="Tahoma"/>
      <w:sz w:val="16"/>
      <w:szCs w:val="16"/>
    </w:rPr>
  </w:style>
  <w:style w:type="character" w:customStyle="1" w:styleId="a4">
    <w:name w:val="טקסט בלונים תו"/>
    <w:basedOn w:val="a0"/>
    <w:link w:val="a3"/>
    <w:uiPriority w:val="99"/>
    <w:semiHidden/>
    <w:rsid w:val="00DD5923"/>
    <w:rPr>
      <w:rFonts w:ascii="Tahoma" w:eastAsia="Times New Roman" w:hAnsi="Tahoma" w:cs="Tahoma"/>
      <w:sz w:val="16"/>
      <w:szCs w:val="16"/>
      <w:lang w:eastAsia="he-IL"/>
    </w:rPr>
  </w:style>
  <w:style w:type="paragraph" w:styleId="a5">
    <w:name w:val="header"/>
    <w:basedOn w:val="a"/>
    <w:link w:val="a6"/>
    <w:uiPriority w:val="99"/>
    <w:unhideWhenUsed/>
    <w:rsid w:val="00C04A6B"/>
    <w:pPr>
      <w:tabs>
        <w:tab w:val="center" w:pos="4153"/>
        <w:tab w:val="right" w:pos="8306"/>
      </w:tabs>
    </w:pPr>
  </w:style>
  <w:style w:type="character" w:customStyle="1" w:styleId="a6">
    <w:name w:val="כותרת עליונה תו"/>
    <w:basedOn w:val="a0"/>
    <w:link w:val="a5"/>
    <w:uiPriority w:val="99"/>
    <w:rsid w:val="00C04A6B"/>
    <w:rPr>
      <w:rFonts w:ascii="Times New Roman" w:eastAsia="Times New Roman" w:hAnsi="Times New Roman" w:cs="Miriam"/>
      <w:sz w:val="20"/>
      <w:szCs w:val="20"/>
      <w:lang w:eastAsia="he-IL"/>
    </w:rPr>
  </w:style>
  <w:style w:type="paragraph" w:styleId="a7">
    <w:name w:val="footer"/>
    <w:basedOn w:val="a"/>
    <w:link w:val="a8"/>
    <w:uiPriority w:val="99"/>
    <w:unhideWhenUsed/>
    <w:rsid w:val="00C04A6B"/>
    <w:pPr>
      <w:tabs>
        <w:tab w:val="center" w:pos="4153"/>
        <w:tab w:val="right" w:pos="8306"/>
      </w:tabs>
    </w:pPr>
  </w:style>
  <w:style w:type="character" w:customStyle="1" w:styleId="a8">
    <w:name w:val="כותרת תחתונה תו"/>
    <w:basedOn w:val="a0"/>
    <w:link w:val="a7"/>
    <w:uiPriority w:val="99"/>
    <w:rsid w:val="00C04A6B"/>
    <w:rPr>
      <w:rFonts w:ascii="Times New Roman" w:eastAsia="Times New Roman" w:hAnsi="Times New Roman" w:cs="Miriam"/>
      <w:sz w:val="20"/>
      <w:szCs w:val="20"/>
      <w:lang w:eastAsia="he-IL"/>
    </w:rPr>
  </w:style>
  <w:style w:type="paragraph" w:styleId="a9">
    <w:name w:val="footnote text"/>
    <w:basedOn w:val="a"/>
    <w:link w:val="aa"/>
    <w:uiPriority w:val="99"/>
    <w:semiHidden/>
    <w:unhideWhenUsed/>
    <w:rsid w:val="00482F53"/>
  </w:style>
  <w:style w:type="character" w:customStyle="1" w:styleId="aa">
    <w:name w:val="טקסט הערת שוליים תו"/>
    <w:basedOn w:val="a0"/>
    <w:link w:val="a9"/>
    <w:uiPriority w:val="99"/>
    <w:semiHidden/>
    <w:rsid w:val="00482F53"/>
    <w:rPr>
      <w:rFonts w:ascii="Times New Roman" w:eastAsia="Times New Roman" w:hAnsi="Times New Roman" w:cs="Miriam"/>
      <w:sz w:val="20"/>
      <w:szCs w:val="20"/>
      <w:lang w:eastAsia="he-IL"/>
    </w:rPr>
  </w:style>
  <w:style w:type="character" w:styleId="ab">
    <w:name w:val="footnote reference"/>
    <w:basedOn w:val="a0"/>
    <w:uiPriority w:val="99"/>
    <w:semiHidden/>
    <w:unhideWhenUsed/>
    <w:rsid w:val="00482F53"/>
    <w:rPr>
      <w:vertAlign w:val="superscript"/>
    </w:rPr>
  </w:style>
  <w:style w:type="paragraph" w:styleId="ac">
    <w:name w:val="endnote text"/>
    <w:basedOn w:val="a"/>
    <w:link w:val="ad"/>
    <w:uiPriority w:val="99"/>
    <w:semiHidden/>
    <w:unhideWhenUsed/>
    <w:rsid w:val="00EC7226"/>
  </w:style>
  <w:style w:type="character" w:customStyle="1" w:styleId="ad">
    <w:name w:val="טקסט הערת סיום תו"/>
    <w:basedOn w:val="a0"/>
    <w:link w:val="ac"/>
    <w:uiPriority w:val="99"/>
    <w:semiHidden/>
    <w:rsid w:val="00EC7226"/>
    <w:rPr>
      <w:rFonts w:ascii="Times New Roman" w:eastAsia="Times New Roman" w:hAnsi="Times New Roman" w:cs="Miriam"/>
      <w:sz w:val="20"/>
      <w:szCs w:val="20"/>
      <w:lang w:eastAsia="he-IL"/>
    </w:rPr>
  </w:style>
  <w:style w:type="character" w:styleId="ae">
    <w:name w:val="endnote reference"/>
    <w:basedOn w:val="a0"/>
    <w:uiPriority w:val="99"/>
    <w:semiHidden/>
    <w:unhideWhenUsed/>
    <w:rsid w:val="00EC7226"/>
    <w:rPr>
      <w:vertAlign w:val="superscript"/>
    </w:rPr>
  </w:style>
  <w:style w:type="table" w:styleId="af">
    <w:name w:val="Table Grid"/>
    <w:basedOn w:val="a1"/>
    <w:uiPriority w:val="59"/>
    <w:rsid w:val="00DD0F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5709DB"/>
    <w:pPr>
      <w:ind w:left="720"/>
      <w:contextualSpacing/>
    </w:pPr>
  </w:style>
  <w:style w:type="character" w:styleId="af1">
    <w:name w:val="annotation reference"/>
    <w:basedOn w:val="a0"/>
    <w:uiPriority w:val="99"/>
    <w:semiHidden/>
    <w:unhideWhenUsed/>
    <w:rsid w:val="00132908"/>
    <w:rPr>
      <w:sz w:val="16"/>
      <w:szCs w:val="16"/>
    </w:rPr>
  </w:style>
  <w:style w:type="paragraph" w:styleId="af2">
    <w:name w:val="annotation text"/>
    <w:basedOn w:val="a"/>
    <w:link w:val="af3"/>
    <w:uiPriority w:val="99"/>
    <w:semiHidden/>
    <w:unhideWhenUsed/>
    <w:rsid w:val="00132908"/>
    <w:pPr>
      <w:bidi/>
      <w:spacing w:after="200"/>
    </w:pPr>
    <w:rPr>
      <w:rFonts w:cs="Times New Roman"/>
      <w:lang w:eastAsia="en-US"/>
    </w:rPr>
  </w:style>
  <w:style w:type="character" w:customStyle="1" w:styleId="af3">
    <w:name w:val="טקסט הערה תו"/>
    <w:basedOn w:val="a0"/>
    <w:link w:val="af2"/>
    <w:uiPriority w:val="99"/>
    <w:semiHidden/>
    <w:rsid w:val="00132908"/>
    <w:rPr>
      <w:rFonts w:ascii="Times New Roman" w:eastAsia="Times New Roman" w:hAnsi="Times New Roman" w:cs="Times New Roman"/>
      <w:sz w:val="20"/>
      <w:szCs w:val="20"/>
    </w:rPr>
  </w:style>
  <w:style w:type="paragraph" w:styleId="af4">
    <w:name w:val="annotation subject"/>
    <w:basedOn w:val="af2"/>
    <w:next w:val="af2"/>
    <w:link w:val="af5"/>
    <w:uiPriority w:val="99"/>
    <w:semiHidden/>
    <w:unhideWhenUsed/>
    <w:rsid w:val="00FD4587"/>
    <w:pPr>
      <w:bidi w:val="0"/>
      <w:spacing w:after="0"/>
    </w:pPr>
    <w:rPr>
      <w:rFonts w:cs="Miriam"/>
      <w:b/>
      <w:bCs/>
      <w:lang w:eastAsia="he-IL"/>
    </w:rPr>
  </w:style>
  <w:style w:type="character" w:customStyle="1" w:styleId="af5">
    <w:name w:val="נושא הערה תו"/>
    <w:basedOn w:val="af3"/>
    <w:link w:val="af4"/>
    <w:uiPriority w:val="99"/>
    <w:semiHidden/>
    <w:rsid w:val="00FD4587"/>
    <w:rPr>
      <w:rFonts w:ascii="Times New Roman" w:eastAsia="Times New Roman" w:hAnsi="Times New Roman" w:cs="Miriam"/>
      <w:b/>
      <w:bCs/>
      <w:sz w:val="20"/>
      <w:szCs w:val="20"/>
      <w:lang w:eastAsia="he-IL"/>
    </w:rPr>
  </w:style>
  <w:style w:type="character" w:styleId="Hyperlink">
    <w:name w:val="Hyperlink"/>
    <w:basedOn w:val="a0"/>
    <w:uiPriority w:val="99"/>
    <w:unhideWhenUsed/>
    <w:rsid w:val="008C6B15"/>
    <w:rPr>
      <w:color w:val="0000FF" w:themeColor="hyperlink"/>
      <w:u w:val="single"/>
    </w:rPr>
  </w:style>
  <w:style w:type="character" w:styleId="af6">
    <w:name w:val="Strong"/>
    <w:qFormat/>
    <w:rsid w:val="00E041FC"/>
    <w:rPr>
      <w:rFonts w:ascii="David" w:hAnsi="David" w:cs="David" w:hint="default"/>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190754">
      <w:bodyDiv w:val="1"/>
      <w:marLeft w:val="0"/>
      <w:marRight w:val="0"/>
      <w:marTop w:val="0"/>
      <w:marBottom w:val="0"/>
      <w:divBdr>
        <w:top w:val="none" w:sz="0" w:space="0" w:color="auto"/>
        <w:left w:val="none" w:sz="0" w:space="0" w:color="auto"/>
        <w:bottom w:val="none" w:sz="0" w:space="0" w:color="auto"/>
        <w:right w:val="none" w:sz="0" w:space="0" w:color="auto"/>
      </w:divBdr>
    </w:div>
    <w:div w:id="635985673">
      <w:bodyDiv w:val="1"/>
      <w:marLeft w:val="0"/>
      <w:marRight w:val="0"/>
      <w:marTop w:val="0"/>
      <w:marBottom w:val="0"/>
      <w:divBdr>
        <w:top w:val="none" w:sz="0" w:space="0" w:color="auto"/>
        <w:left w:val="none" w:sz="0" w:space="0" w:color="auto"/>
        <w:bottom w:val="none" w:sz="0" w:space="0" w:color="auto"/>
        <w:right w:val="none" w:sz="0" w:space="0" w:color="auto"/>
      </w:divBdr>
    </w:div>
    <w:div w:id="1165824949">
      <w:bodyDiv w:val="1"/>
      <w:marLeft w:val="0"/>
      <w:marRight w:val="0"/>
      <w:marTop w:val="0"/>
      <w:marBottom w:val="0"/>
      <w:divBdr>
        <w:top w:val="none" w:sz="0" w:space="0" w:color="auto"/>
        <w:left w:val="none" w:sz="0" w:space="0" w:color="auto"/>
        <w:bottom w:val="none" w:sz="0" w:space="0" w:color="auto"/>
        <w:right w:val="none" w:sz="0" w:space="0" w:color="auto"/>
      </w:divBdr>
      <w:divsChild>
        <w:div w:id="360593167">
          <w:marLeft w:val="0"/>
          <w:marRight w:val="0"/>
          <w:marTop w:val="0"/>
          <w:marBottom w:val="0"/>
          <w:divBdr>
            <w:top w:val="none" w:sz="0" w:space="0" w:color="auto"/>
            <w:left w:val="none" w:sz="0" w:space="0" w:color="auto"/>
            <w:bottom w:val="none" w:sz="0" w:space="0" w:color="auto"/>
            <w:right w:val="none" w:sz="0" w:space="0" w:color="auto"/>
          </w:divBdr>
        </w:div>
        <w:div w:id="1236164208">
          <w:marLeft w:val="0"/>
          <w:marRight w:val="0"/>
          <w:marTop w:val="0"/>
          <w:marBottom w:val="0"/>
          <w:divBdr>
            <w:top w:val="none" w:sz="0" w:space="0" w:color="auto"/>
            <w:left w:val="none" w:sz="0" w:space="0" w:color="auto"/>
            <w:bottom w:val="none" w:sz="0" w:space="0" w:color="auto"/>
            <w:right w:val="none" w:sz="0" w:space="0" w:color="auto"/>
          </w:divBdr>
        </w:div>
        <w:div w:id="1844542077">
          <w:marLeft w:val="0"/>
          <w:marRight w:val="0"/>
          <w:marTop w:val="0"/>
          <w:marBottom w:val="0"/>
          <w:divBdr>
            <w:top w:val="none" w:sz="0" w:space="0" w:color="auto"/>
            <w:left w:val="none" w:sz="0" w:space="0" w:color="auto"/>
            <w:bottom w:val="none" w:sz="0" w:space="0" w:color="auto"/>
            <w:right w:val="none" w:sz="0" w:space="0" w:color="auto"/>
          </w:divBdr>
        </w:div>
      </w:divsChild>
    </w:div>
    <w:div w:id="1511750717">
      <w:bodyDiv w:val="1"/>
      <w:marLeft w:val="0"/>
      <w:marRight w:val="0"/>
      <w:marTop w:val="0"/>
      <w:marBottom w:val="0"/>
      <w:divBdr>
        <w:top w:val="none" w:sz="0" w:space="0" w:color="auto"/>
        <w:left w:val="none" w:sz="0" w:space="0" w:color="auto"/>
        <w:bottom w:val="none" w:sz="0" w:space="0" w:color="auto"/>
        <w:right w:val="none" w:sz="0" w:space="0" w:color="auto"/>
      </w:divBdr>
    </w:div>
    <w:div w:id="1717578643">
      <w:bodyDiv w:val="1"/>
      <w:marLeft w:val="0"/>
      <w:marRight w:val="0"/>
      <w:marTop w:val="0"/>
      <w:marBottom w:val="0"/>
      <w:divBdr>
        <w:top w:val="none" w:sz="0" w:space="0" w:color="auto"/>
        <w:left w:val="none" w:sz="0" w:space="0" w:color="auto"/>
        <w:bottom w:val="none" w:sz="0" w:space="0" w:color="auto"/>
        <w:right w:val="none" w:sz="0" w:space="0" w:color="auto"/>
      </w:divBdr>
    </w:div>
    <w:div w:id="177150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6A10E-93CF-47FD-9EDE-FF629B41B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2481</Characters>
  <Application>Microsoft Office Word</Application>
  <DocSecurity>4</DocSecurity>
  <Lines>62</Lines>
  <Paragraphs>30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2026-07-08T08:37:00Z</dcterms:created>
  <dcterms:modified xsi:type="dcterms:W3CDTF">2026-07-08T08:37:00Z</dcterms:modified>
</cp:coreProperties>
</file>