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04034A" w:rsidTr="0029736D">
        <w:tc>
          <w:tcPr>
            <w:tcW w:w="3343" w:type="dxa"/>
            <w:tcBorders>
              <w:top w:val="nil"/>
              <w:left w:val="nil"/>
              <w:bottom w:val="nil"/>
              <w:right w:val="nil"/>
            </w:tcBorders>
            <w:vAlign w:val="center"/>
          </w:tcPr>
          <w:p w:rsidR="009005BA" w:rsidRPr="0004034A" w:rsidRDefault="009005BA" w:rsidP="0029736D">
            <w:pPr>
              <w:rPr>
                <w:rFonts w:cstheme="minorHAnsi"/>
                <w:b/>
                <w:bCs/>
                <w:sz w:val="24"/>
                <w:szCs w:val="24"/>
                <w:rtl/>
              </w:rPr>
            </w:pPr>
            <w:r w:rsidRPr="0004034A">
              <w:rPr>
                <w:rFonts w:cstheme="minorHAnsi"/>
                <w:b/>
                <w:bCs/>
                <w:sz w:val="24"/>
                <w:szCs w:val="24"/>
                <w:rtl/>
              </w:rPr>
              <w:t>בנק ישראל</w:t>
            </w:r>
          </w:p>
          <w:p w:rsidR="009005BA" w:rsidRPr="0004034A" w:rsidRDefault="009005BA" w:rsidP="0029736D">
            <w:pPr>
              <w:rPr>
                <w:rFonts w:cstheme="minorHAnsi"/>
                <w:b/>
                <w:bCs/>
                <w:sz w:val="28"/>
                <w:szCs w:val="28"/>
              </w:rPr>
            </w:pPr>
            <w:r w:rsidRPr="0004034A">
              <w:rPr>
                <w:rFonts w:cstheme="minorHAnsi"/>
                <w:rtl/>
              </w:rPr>
              <w:t>דוברות והסברה כלכלית</w:t>
            </w:r>
          </w:p>
        </w:tc>
        <w:tc>
          <w:tcPr>
            <w:tcW w:w="2596" w:type="dxa"/>
            <w:tcBorders>
              <w:top w:val="nil"/>
              <w:left w:val="nil"/>
              <w:bottom w:val="nil"/>
              <w:right w:val="nil"/>
            </w:tcBorders>
            <w:shd w:val="clear" w:color="auto" w:fill="FFFFFF"/>
          </w:tcPr>
          <w:p w:rsidR="009005BA" w:rsidRPr="0004034A" w:rsidRDefault="009005BA" w:rsidP="0029736D">
            <w:pPr>
              <w:jc w:val="center"/>
              <w:rPr>
                <w:rFonts w:cstheme="minorHAnsi"/>
              </w:rPr>
            </w:pPr>
            <w:r w:rsidRPr="0004034A">
              <w:rPr>
                <w:rFonts w:cstheme="minorHAnsi"/>
                <w:noProof/>
              </w:rPr>
              <w:drawing>
                <wp:anchor distT="0" distB="0" distL="114300" distR="114300" simplePos="0" relativeHeight="251659264" behindDoc="0" locked="0" layoutInCell="1" allowOverlap="1" wp14:anchorId="51FEB761" wp14:editId="33CDEE56">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04034A" w:rsidRDefault="009005BA" w:rsidP="009005BA">
            <w:pPr>
              <w:jc w:val="right"/>
              <w:rPr>
                <w:rFonts w:cstheme="minorHAnsi"/>
                <w:rtl/>
              </w:rPr>
            </w:pPr>
            <w:r w:rsidRPr="0004034A">
              <w:rPr>
                <w:rFonts w:cstheme="minorHAnsi"/>
                <w:highlight w:val="green"/>
                <w:rtl/>
              </w:rPr>
              <w:t>‏</w:t>
            </w:r>
            <w:r w:rsidRPr="0004034A">
              <w:rPr>
                <w:rFonts w:cstheme="minorHAnsi"/>
                <w:rtl/>
              </w:rPr>
              <w:t xml:space="preserve">ירושלים, </w:t>
            </w:r>
            <w:r w:rsidRPr="0004034A">
              <w:rPr>
                <w:rFonts w:cstheme="minorHAnsi"/>
                <w:rtl/>
              </w:rPr>
              <w:fldChar w:fldCharType="begin"/>
            </w:r>
            <w:r w:rsidRPr="0004034A">
              <w:rPr>
                <w:rFonts w:cstheme="minorHAnsi"/>
                <w:rtl/>
              </w:rPr>
              <w:instrText xml:space="preserve"> </w:instrText>
            </w:r>
            <w:r w:rsidRPr="0004034A">
              <w:rPr>
                <w:rFonts w:cstheme="minorHAnsi"/>
              </w:rPr>
              <w:instrText>DATE</w:instrText>
            </w:r>
            <w:r w:rsidRPr="0004034A">
              <w:rPr>
                <w:rFonts w:cstheme="minorHAnsi"/>
                <w:rtl/>
              </w:rPr>
              <w:instrText xml:space="preserve"> \@ "</w:instrText>
            </w:r>
            <w:r w:rsidRPr="0004034A">
              <w:rPr>
                <w:rFonts w:cstheme="minorHAnsi"/>
              </w:rPr>
              <w:instrText>d MMMM, yyyy" \h</w:instrText>
            </w:r>
            <w:r w:rsidRPr="0004034A">
              <w:rPr>
                <w:rFonts w:cstheme="minorHAnsi"/>
                <w:rtl/>
              </w:rPr>
              <w:instrText xml:space="preserve"> </w:instrText>
            </w:r>
            <w:r w:rsidRPr="0004034A">
              <w:rPr>
                <w:rFonts w:cstheme="minorHAnsi"/>
                <w:rtl/>
              </w:rPr>
              <w:fldChar w:fldCharType="separate"/>
            </w:r>
            <w:r w:rsidR="0056224B">
              <w:rPr>
                <w:rFonts w:cstheme="minorHAnsi"/>
                <w:noProof/>
                <w:rtl/>
              </w:rPr>
              <w:t>‏ב' ניסן, תשפ"ה</w:t>
            </w:r>
            <w:r w:rsidRPr="0004034A">
              <w:rPr>
                <w:rFonts w:cstheme="minorHAnsi"/>
                <w:rtl/>
              </w:rPr>
              <w:fldChar w:fldCharType="end"/>
            </w:r>
          </w:p>
          <w:p w:rsidR="009005BA" w:rsidRPr="0004034A" w:rsidRDefault="009005BA" w:rsidP="009005BA">
            <w:pPr>
              <w:jc w:val="right"/>
              <w:rPr>
                <w:rFonts w:cstheme="minorHAnsi"/>
                <w:highlight w:val="green"/>
              </w:rPr>
            </w:pPr>
            <w:r w:rsidRPr="0004034A">
              <w:rPr>
                <w:rFonts w:cstheme="minorHAnsi"/>
                <w:rtl/>
              </w:rPr>
              <w:fldChar w:fldCharType="begin"/>
            </w:r>
            <w:r w:rsidRPr="0004034A">
              <w:rPr>
                <w:rFonts w:cstheme="minorHAnsi"/>
                <w:rtl/>
              </w:rPr>
              <w:instrText xml:space="preserve"> </w:instrText>
            </w:r>
            <w:r w:rsidRPr="0004034A">
              <w:rPr>
                <w:rFonts w:cstheme="minorHAnsi"/>
              </w:rPr>
              <w:instrText>DATE</w:instrText>
            </w:r>
            <w:r w:rsidRPr="0004034A">
              <w:rPr>
                <w:rFonts w:cstheme="minorHAnsi"/>
                <w:rtl/>
              </w:rPr>
              <w:instrText xml:space="preserve"> \@ "</w:instrText>
            </w:r>
            <w:r w:rsidRPr="0004034A">
              <w:rPr>
                <w:rFonts w:cstheme="minorHAnsi"/>
              </w:rPr>
              <w:instrText>d MMMM, yyyy</w:instrText>
            </w:r>
            <w:r w:rsidRPr="0004034A">
              <w:rPr>
                <w:rFonts w:cstheme="minorHAnsi"/>
                <w:rtl/>
              </w:rPr>
              <w:instrText xml:space="preserve">" </w:instrText>
            </w:r>
            <w:r w:rsidRPr="0004034A">
              <w:rPr>
                <w:rFonts w:cstheme="minorHAnsi"/>
                <w:rtl/>
              </w:rPr>
              <w:fldChar w:fldCharType="separate"/>
            </w:r>
            <w:r w:rsidR="0056224B">
              <w:rPr>
                <w:rFonts w:cstheme="minorHAnsi"/>
                <w:noProof/>
                <w:rtl/>
              </w:rPr>
              <w:t>‏31 מרץ, 2025</w:t>
            </w:r>
            <w:r w:rsidRPr="0004034A">
              <w:rPr>
                <w:rFonts w:cstheme="minorHAnsi"/>
                <w:rtl/>
              </w:rPr>
              <w:fldChar w:fldCharType="end"/>
            </w:r>
          </w:p>
        </w:tc>
      </w:tr>
    </w:tbl>
    <w:p w:rsidR="009005BA" w:rsidRPr="0004034A" w:rsidRDefault="009005BA" w:rsidP="007B0741">
      <w:pPr>
        <w:tabs>
          <w:tab w:val="left" w:pos="2315"/>
        </w:tabs>
        <w:rPr>
          <w:rFonts w:cstheme="minorHAnsi"/>
          <w:sz w:val="24"/>
          <w:szCs w:val="24"/>
          <w:rtl/>
        </w:rPr>
      </w:pPr>
    </w:p>
    <w:p w:rsidR="00B122A8" w:rsidRDefault="008E761A" w:rsidP="00B122A8">
      <w:pPr>
        <w:tabs>
          <w:tab w:val="left" w:pos="2315"/>
        </w:tabs>
        <w:rPr>
          <w:rFonts w:cstheme="minorHAnsi"/>
          <w:b/>
          <w:bCs/>
          <w:sz w:val="20"/>
          <w:szCs w:val="20"/>
          <w:rtl/>
        </w:rPr>
      </w:pPr>
      <w:r w:rsidRPr="0056224B">
        <w:rPr>
          <w:rFonts w:cstheme="minorHAnsi"/>
          <w:rtl/>
        </w:rPr>
        <w:t>הודעה לעיתונות:</w:t>
      </w:r>
      <w:r w:rsidR="00B122A8" w:rsidRPr="0056224B">
        <w:rPr>
          <w:rFonts w:cstheme="minorHAnsi"/>
          <w:b/>
          <w:bCs/>
          <w:sz w:val="20"/>
          <w:szCs w:val="20"/>
          <w:rtl/>
        </w:rPr>
        <w:t xml:space="preserve"> </w:t>
      </w:r>
    </w:p>
    <w:p w:rsidR="0056224B" w:rsidRPr="0056224B" w:rsidRDefault="0056224B" w:rsidP="00B122A8">
      <w:pPr>
        <w:tabs>
          <w:tab w:val="left" w:pos="2315"/>
        </w:tabs>
        <w:rPr>
          <w:rFonts w:cstheme="minorHAnsi"/>
          <w:b/>
          <w:bCs/>
          <w:sz w:val="20"/>
          <w:szCs w:val="20"/>
        </w:rPr>
      </w:pPr>
    </w:p>
    <w:p w:rsidR="00FF6BCE" w:rsidRPr="0056224B" w:rsidRDefault="00FF6BCE" w:rsidP="00FF6BCE">
      <w:pPr>
        <w:tabs>
          <w:tab w:val="left" w:pos="2315"/>
        </w:tabs>
        <w:jc w:val="center"/>
        <w:rPr>
          <w:rFonts w:cstheme="minorHAnsi"/>
          <w:b/>
          <w:bCs/>
          <w:sz w:val="28"/>
          <w:szCs w:val="28"/>
          <w:rtl/>
        </w:rPr>
      </w:pPr>
      <w:r w:rsidRPr="0056224B">
        <w:rPr>
          <w:rFonts w:cstheme="minorHAnsi"/>
          <w:b/>
          <w:bCs/>
          <w:sz w:val="28"/>
          <w:szCs w:val="28"/>
          <w:rtl/>
        </w:rPr>
        <w:t>הודעה משותפת לבנק ישראל ומשרד האוצר:</w:t>
      </w:r>
      <w:r w:rsidR="0056224B" w:rsidRPr="0056224B">
        <w:rPr>
          <w:rFonts w:cstheme="minorHAnsi"/>
          <w:b/>
          <w:bCs/>
          <w:sz w:val="28"/>
          <w:szCs w:val="28"/>
          <w:rtl/>
        </w:rPr>
        <w:t xml:space="preserve"> </w:t>
      </w:r>
      <w:r w:rsidR="00CC0842">
        <w:rPr>
          <w:rFonts w:cstheme="minorHAnsi" w:hint="cs"/>
          <w:b/>
          <w:bCs/>
          <w:sz w:val="28"/>
          <w:szCs w:val="28"/>
          <w:rtl/>
        </w:rPr>
        <w:t>ה</w:t>
      </w:r>
      <w:r w:rsidR="0056224B" w:rsidRPr="0056224B">
        <w:rPr>
          <w:rFonts w:cstheme="minorHAnsi"/>
          <w:b/>
          <w:bCs/>
          <w:sz w:val="28"/>
          <w:szCs w:val="28"/>
          <w:rtl/>
        </w:rPr>
        <w:t xml:space="preserve">דוח </w:t>
      </w:r>
      <w:r w:rsidR="00CC0842">
        <w:rPr>
          <w:rFonts w:cstheme="minorHAnsi" w:hint="cs"/>
          <w:b/>
          <w:bCs/>
          <w:sz w:val="28"/>
          <w:szCs w:val="28"/>
          <w:rtl/>
        </w:rPr>
        <w:t>ה</w:t>
      </w:r>
      <w:bookmarkStart w:id="0" w:name="_GoBack"/>
      <w:bookmarkEnd w:id="0"/>
      <w:r w:rsidR="0056224B" w:rsidRPr="0056224B">
        <w:rPr>
          <w:rFonts w:cstheme="minorHAnsi"/>
          <w:b/>
          <w:bCs/>
          <w:sz w:val="28"/>
          <w:szCs w:val="28"/>
          <w:rtl/>
        </w:rPr>
        <w:t>שנ</w:t>
      </w:r>
      <w:r w:rsidR="0056224B" w:rsidRPr="0056224B">
        <w:rPr>
          <w:rFonts w:cstheme="minorHAnsi" w:hint="cs"/>
          <w:b/>
          <w:bCs/>
          <w:sz w:val="28"/>
          <w:szCs w:val="28"/>
          <w:rtl/>
        </w:rPr>
        <w:t>תי של</w:t>
      </w:r>
      <w:r w:rsidRPr="0056224B">
        <w:rPr>
          <w:rFonts w:cstheme="minorHAnsi"/>
          <w:b/>
          <w:bCs/>
          <w:sz w:val="28"/>
          <w:szCs w:val="28"/>
          <w:rtl/>
        </w:rPr>
        <w:t xml:space="preserve"> הקרן לאזרחי ישראל</w:t>
      </w:r>
    </w:p>
    <w:p w:rsidR="00FF6BCE" w:rsidRPr="0004034A" w:rsidRDefault="00AD1234" w:rsidP="0056224B">
      <w:pPr>
        <w:tabs>
          <w:tab w:val="left" w:pos="2315"/>
        </w:tabs>
        <w:spacing w:line="360" w:lineRule="auto"/>
        <w:jc w:val="both"/>
        <w:rPr>
          <w:rFonts w:cstheme="minorHAnsi"/>
          <w:rtl/>
        </w:rPr>
      </w:pPr>
      <w:r w:rsidRPr="0004034A">
        <w:rPr>
          <w:rFonts w:cstheme="minorHAnsi"/>
          <w:rtl/>
        </w:rPr>
        <w:t xml:space="preserve">היום פורסם </w:t>
      </w:r>
      <w:r w:rsidR="00FF6BCE" w:rsidRPr="0004034A">
        <w:rPr>
          <w:rFonts w:cstheme="minorHAnsi"/>
          <w:rtl/>
        </w:rPr>
        <w:t xml:space="preserve">הדוח השנתי של הקרן לאזרחי ישראל, לאחר אישורו במועצת הקרן. </w:t>
      </w:r>
    </w:p>
    <w:p w:rsidR="00FF6BCE" w:rsidRPr="0004034A" w:rsidRDefault="00FF6BCE" w:rsidP="0056224B">
      <w:pPr>
        <w:tabs>
          <w:tab w:val="left" w:pos="2315"/>
        </w:tabs>
        <w:spacing w:line="360" w:lineRule="auto"/>
        <w:jc w:val="both"/>
        <w:rPr>
          <w:rFonts w:cstheme="minorHAnsi"/>
          <w:rtl/>
        </w:rPr>
      </w:pPr>
      <w:r w:rsidRPr="0004034A">
        <w:rPr>
          <w:rFonts w:cstheme="minorHAnsi"/>
          <w:rtl/>
        </w:rPr>
        <w:t>הקרן לאזרחי ישראל הוקמה כדי לנהל את הכנסות המדינה מ</w:t>
      </w:r>
      <w:r w:rsidR="00AD1234" w:rsidRPr="0004034A">
        <w:rPr>
          <w:rFonts w:cstheme="minorHAnsi"/>
          <w:rtl/>
        </w:rPr>
        <w:t>ה</w:t>
      </w:r>
      <w:r w:rsidRPr="0004034A">
        <w:rPr>
          <w:rFonts w:cstheme="minorHAnsi"/>
          <w:rtl/>
        </w:rPr>
        <w:t>היטל על רווחי נפט וגז טבעי שנגבה על פי הוראות חוק מיסוי רווחים ממשאבי טבע. מטרתה, שנקבעה בחוק הקרן לאזרחי ישראל, היא לנהל את הכנסות המדינה מההיטל בראייה כלכלית ארוכת טווח לשם השאתן ובמטרה לאפשר את המשך קיומה של הקרן לדורות רבים. חוק הקרן לאזרחי ישראל נחקק בשנת 2014, והקרן החלה בפעילותה בחודש יוני 2022, לאחר שהסכום המצטבר מההיטל הגיע למיליארד שקלים - הסכום שנקבע כתנאי לכניסת החוק לתוקף.</w:t>
      </w:r>
    </w:p>
    <w:p w:rsidR="006F6FF9" w:rsidRPr="0004034A" w:rsidRDefault="006F6FF9" w:rsidP="0056224B">
      <w:pPr>
        <w:tabs>
          <w:tab w:val="left" w:pos="2315"/>
        </w:tabs>
        <w:spacing w:line="360" w:lineRule="auto"/>
        <w:jc w:val="both"/>
        <w:rPr>
          <w:rFonts w:cstheme="minorHAnsi"/>
          <w:rtl/>
        </w:rPr>
      </w:pPr>
      <w:r w:rsidRPr="0004034A">
        <w:rPr>
          <w:rFonts w:cstheme="minorHAnsi"/>
          <w:b/>
          <w:bCs/>
          <w:rtl/>
        </w:rPr>
        <w:t xml:space="preserve">מר בצלאל סמוטריץ', שר האוצר,  יו"ר מועצת הקרן: </w:t>
      </w:r>
      <w:r w:rsidR="0004034A">
        <w:rPr>
          <w:rFonts w:cs="Calibri" w:hint="cs"/>
          <w:rtl/>
        </w:rPr>
        <w:t>"</w:t>
      </w:r>
      <w:r w:rsidR="0004034A" w:rsidRPr="0004034A">
        <w:rPr>
          <w:rFonts w:cs="Calibri"/>
          <w:rtl/>
        </w:rPr>
        <w:t>שנת 2024 הייתה אחת השנים המאתגרות ביותר בתולדות מדינת ישראל ביטחונית, כלכלית וחברתית. שנה זו העמידה במבחן את תכליתה של הקרן לאזרחי ישראל כקרן שמתנהלת מחוץ לשיקולי "הכאן ועכשיו", ונשארת נאמנת לתפקידה ולשליחותה לטובת הדורות הבאים. שמרנו על מדיניות השקעות שממוקדת בטווח הארוך, אשר אינה מושפעת מהתנודות המקומיות ופועלת לאור עקרונות של יציבות, אחריות וצמיחה כלכלית יציבה, גם בזמנים קשים. במהלך השנה, הצליחה הקרן להמשיך ולהתפתח ולהשיג תשואה של כ-11.5%. הצמיחה הזו, יחד עם הגידול המשמעותי בנכסי הקרן, המחישו עד כמה אנו מצליחים להבטיח לאזרחי ישראל משאב כלכלי יציב ורב ערך לשנים הבאות שהוא תוצר של פיתוח משק הגז והעצמאות האנרגטית של ישראל. אני מבקש להודות לחבריי במועצת הקרן, לחברי וועדת ההשקעות, וועדת הביקורת ולמחלקת הניהול בבנק ישראל על העבודה המקצועית והמסורה שביצעו השנה. התוצאות שהשגנו לא היו אפשריות ללא מחויבותם ותרומתם הרבה.</w:t>
      </w:r>
      <w:r w:rsidR="0004034A">
        <w:rPr>
          <w:rFonts w:cstheme="minorHAnsi" w:hint="cs"/>
          <w:rtl/>
        </w:rPr>
        <w:t>"</w:t>
      </w:r>
    </w:p>
    <w:p w:rsidR="00CD6F28" w:rsidRPr="0004034A" w:rsidRDefault="00CD6F28" w:rsidP="0056224B">
      <w:pPr>
        <w:tabs>
          <w:tab w:val="left" w:pos="2315"/>
        </w:tabs>
        <w:spacing w:line="360" w:lineRule="auto"/>
        <w:jc w:val="both"/>
        <w:rPr>
          <w:rFonts w:cstheme="minorHAnsi"/>
          <w:rtl/>
        </w:rPr>
      </w:pPr>
      <w:r w:rsidRPr="0004034A">
        <w:rPr>
          <w:rFonts w:cstheme="minorHAnsi"/>
          <w:b/>
          <w:bCs/>
          <w:rtl/>
        </w:rPr>
        <w:t>נגיד בנק ישראל, פרופ' אמיר ירון: "</w:t>
      </w:r>
      <w:r w:rsidR="00DA65D9" w:rsidRPr="0004034A">
        <w:rPr>
          <w:rFonts w:cstheme="minorHAnsi"/>
          <w:rtl/>
        </w:rPr>
        <w:t xml:space="preserve">הקרן לאזרחי ישראל, פועלת מתוך ראייה ארוכת טווח </w:t>
      </w:r>
      <w:r w:rsidR="0050399A" w:rsidRPr="0004034A">
        <w:rPr>
          <w:rFonts w:cstheme="minorHAnsi"/>
          <w:rtl/>
        </w:rPr>
        <w:t>ו</w:t>
      </w:r>
      <w:r w:rsidR="00DA65D9" w:rsidRPr="0004034A">
        <w:rPr>
          <w:rFonts w:cstheme="minorHAnsi"/>
          <w:rtl/>
        </w:rPr>
        <w:t xml:space="preserve">מחויבות לדורות הבאים, ומדגישה את הצורך בהשקעות </w:t>
      </w:r>
      <w:r w:rsidR="0050399A" w:rsidRPr="0004034A">
        <w:rPr>
          <w:rFonts w:cstheme="minorHAnsi"/>
          <w:rtl/>
        </w:rPr>
        <w:t xml:space="preserve">בתחום הכלכלי החברתי והחינוכי. השקעות אלו נועדו לפתח ולחזק את ההון האנושי והתשתיות הפיזיות במשק הישראלי ובכך לתרום לגידול בפריון ולהבטיח צמיחה בת קיימא בטווח הארוך. </w:t>
      </w:r>
      <w:r w:rsidR="00DA65D9" w:rsidRPr="0004034A">
        <w:rPr>
          <w:rFonts w:cstheme="minorHAnsi"/>
          <w:rtl/>
        </w:rPr>
        <w:t xml:space="preserve">השנה האחרונה הייתה ללא ספק אחת </w:t>
      </w:r>
      <w:r w:rsidR="0050399A" w:rsidRPr="0004034A">
        <w:rPr>
          <w:rFonts w:cstheme="minorHAnsi"/>
          <w:rtl/>
        </w:rPr>
        <w:t>המאתגרות</w:t>
      </w:r>
      <w:r w:rsidR="00DA65D9" w:rsidRPr="0004034A">
        <w:rPr>
          <w:rFonts w:cstheme="minorHAnsi"/>
          <w:rtl/>
        </w:rPr>
        <w:t xml:space="preserve"> והמורכבות שידעה מדינת ישראל</w:t>
      </w:r>
      <w:r w:rsidR="0050399A" w:rsidRPr="0004034A">
        <w:rPr>
          <w:rFonts w:cstheme="minorHAnsi"/>
          <w:rtl/>
        </w:rPr>
        <w:t>.</w:t>
      </w:r>
      <w:r w:rsidR="00DA65D9" w:rsidRPr="0004034A">
        <w:rPr>
          <w:rFonts w:cstheme="minorHAnsi"/>
          <w:rtl/>
        </w:rPr>
        <w:t xml:space="preserve"> </w:t>
      </w:r>
      <w:r w:rsidR="001718FC" w:rsidRPr="0004034A">
        <w:rPr>
          <w:rFonts w:cstheme="minorHAnsi"/>
          <w:rtl/>
        </w:rPr>
        <w:t xml:space="preserve">דווקא על רקע השנה שחלפה ראוי לציין כי </w:t>
      </w:r>
      <w:r w:rsidR="0050399A" w:rsidRPr="0004034A">
        <w:rPr>
          <w:rFonts w:cstheme="minorHAnsi"/>
          <w:rtl/>
        </w:rPr>
        <w:t xml:space="preserve">פיתוח המשק מתוך ראייה אסטרטגית ארוכת טווח </w:t>
      </w:r>
      <w:r w:rsidR="0056292B" w:rsidRPr="0004034A">
        <w:rPr>
          <w:rFonts w:cstheme="minorHAnsi"/>
          <w:rtl/>
        </w:rPr>
        <w:t xml:space="preserve">עשוי להיות מפתח מרכזי ביכולת של המשק להתמודד עם האתגרים שעוד ניצבים בפנינו. בנק ישראל גאה להוביל את ניהול הקרן ולהיות שותף מרכזי בקידום </w:t>
      </w:r>
      <w:r w:rsidR="00DA65D9" w:rsidRPr="0004034A">
        <w:rPr>
          <w:rFonts w:cstheme="minorHAnsi"/>
          <w:rtl/>
        </w:rPr>
        <w:t xml:space="preserve">הצמיחה </w:t>
      </w:r>
      <w:r w:rsidR="0056292B" w:rsidRPr="0004034A">
        <w:rPr>
          <w:rFonts w:cstheme="minorHAnsi"/>
          <w:rtl/>
        </w:rPr>
        <w:t>שלה ושל נכסיה</w:t>
      </w:r>
      <w:r w:rsidR="00DA65D9" w:rsidRPr="0004034A">
        <w:rPr>
          <w:rFonts w:cstheme="minorHAnsi"/>
          <w:rtl/>
        </w:rPr>
        <w:t xml:space="preserve"> </w:t>
      </w:r>
      <w:r w:rsidR="0056292B" w:rsidRPr="0004034A">
        <w:rPr>
          <w:rFonts w:cstheme="minorHAnsi"/>
          <w:rtl/>
        </w:rPr>
        <w:t>ובכך להבטיח</w:t>
      </w:r>
      <w:r w:rsidR="00DA65D9" w:rsidRPr="0004034A">
        <w:rPr>
          <w:rFonts w:cstheme="minorHAnsi"/>
          <w:rtl/>
        </w:rPr>
        <w:t xml:space="preserve"> משאב כלכלי יציב ורב ערך לשנים הבאות. </w:t>
      </w:r>
      <w:r w:rsidR="00AA3EF5" w:rsidRPr="0004034A">
        <w:rPr>
          <w:rFonts w:cstheme="minorHAnsi"/>
          <w:rtl/>
        </w:rPr>
        <w:t>אני רוצה להודות למוסדות הקרן, ולעובדי המחלקה</w:t>
      </w:r>
      <w:r w:rsidR="0056292B" w:rsidRPr="0004034A">
        <w:rPr>
          <w:rFonts w:cstheme="minorHAnsi"/>
          <w:rtl/>
        </w:rPr>
        <w:t xml:space="preserve"> בבנק ישראל</w:t>
      </w:r>
      <w:r w:rsidR="00AA3EF5" w:rsidRPr="0004034A">
        <w:rPr>
          <w:rFonts w:cstheme="minorHAnsi"/>
          <w:rtl/>
        </w:rPr>
        <w:t xml:space="preserve"> על שיתוף הפעולה הפורה, על העבודה המקצועית, על המסירות </w:t>
      </w:r>
      <w:r w:rsidR="009A7EA9" w:rsidRPr="0004034A">
        <w:rPr>
          <w:rFonts w:cstheme="minorHAnsi"/>
          <w:rtl/>
        </w:rPr>
        <w:t>ועל המחויבות בשנה מורכבת במיוחד.</w:t>
      </w:r>
      <w:r w:rsidR="00DB0771" w:rsidRPr="0004034A">
        <w:rPr>
          <w:rFonts w:cstheme="minorHAnsi"/>
          <w:rtl/>
        </w:rPr>
        <w:t>"</w:t>
      </w:r>
    </w:p>
    <w:p w:rsidR="00CD6F28" w:rsidRPr="0004034A" w:rsidRDefault="00CD6F28" w:rsidP="0056224B">
      <w:pPr>
        <w:tabs>
          <w:tab w:val="left" w:pos="2315"/>
        </w:tabs>
        <w:spacing w:line="360" w:lineRule="auto"/>
        <w:jc w:val="both"/>
        <w:rPr>
          <w:rFonts w:cstheme="minorHAnsi"/>
          <w:b/>
          <w:bCs/>
          <w:rtl/>
        </w:rPr>
      </w:pPr>
      <w:r w:rsidRPr="0004034A">
        <w:rPr>
          <w:rFonts w:cstheme="minorHAnsi"/>
          <w:b/>
          <w:bCs/>
          <w:rtl/>
        </w:rPr>
        <w:lastRenderedPageBreak/>
        <w:t>מר ירום אריאב, יו"ר ועדת ההשקעות של הקרן: "</w:t>
      </w:r>
      <w:r w:rsidR="000B3B5A" w:rsidRPr="0004034A">
        <w:rPr>
          <w:rFonts w:cstheme="minorHAnsi"/>
          <w:rtl/>
        </w:rPr>
        <w:t>המלחמה הממושכת ועתירת המשאבים מחדדת את חשיבותה של הקרן לאזרחי ישראל, שממוקדת בטווח הארוך ומשקיעה את נכסיה בהתאם לחוק מחוץ לישראל ובמטבע חוץ באופן שאיננו מושפע מאירועים מקומיים כמו המלחמה. בכך הקרן עשויה לספק למדינה בעתיד עוגן כלכלי יציב בעיתות משבר. במהלך השנה ולמרות אירועי המלחמה הקשים הוסיפה הקרן להתרחב ולהתפתח והציגה תשואה שנתית גבוהה במיוחד של כ־ 11.5% ."</w:t>
      </w:r>
      <w:r w:rsidRPr="0004034A">
        <w:rPr>
          <w:rFonts w:cstheme="minorHAnsi"/>
          <w:b/>
          <w:bCs/>
          <w:rtl/>
        </w:rPr>
        <w:t xml:space="preserve"> </w:t>
      </w:r>
    </w:p>
    <w:p w:rsidR="006F6FF9" w:rsidRPr="0004034A" w:rsidRDefault="006F6FF9" w:rsidP="0056224B">
      <w:pPr>
        <w:tabs>
          <w:tab w:val="left" w:pos="2315"/>
        </w:tabs>
        <w:spacing w:line="360" w:lineRule="auto"/>
        <w:jc w:val="both"/>
        <w:rPr>
          <w:rFonts w:cstheme="minorHAnsi"/>
          <w:rtl/>
        </w:rPr>
      </w:pPr>
      <w:r w:rsidRPr="0004034A">
        <w:rPr>
          <w:rFonts w:cstheme="minorHAnsi"/>
          <w:b/>
          <w:bCs/>
          <w:rtl/>
        </w:rPr>
        <w:t>גב' לנה קרופאלניק, מנהלת המחלקה לניהול הקרן לאזרחי ישראל, חברת הנהלת בנק ישראל</w:t>
      </w:r>
      <w:r w:rsidRPr="0004034A">
        <w:rPr>
          <w:rFonts w:cstheme="minorHAnsi"/>
          <w:rtl/>
        </w:rPr>
        <w:t xml:space="preserve"> "שנת 2024 הייתה ללא ספק שנה קשה ומאתגרת ברמה הלאומית בשל מלחמת חרבות ברזל</w:t>
      </w:r>
      <w:r w:rsidR="005C500D" w:rsidRPr="0004034A">
        <w:rPr>
          <w:rFonts w:cstheme="minorHAnsi"/>
          <w:rtl/>
        </w:rPr>
        <w:t>.</w:t>
      </w:r>
      <w:r w:rsidRPr="0004034A">
        <w:rPr>
          <w:rFonts w:cstheme="minorHAnsi"/>
          <w:rtl/>
        </w:rPr>
        <w:t xml:space="preserve"> לצד העצב, הקושי והאתגרים, המשכנו בתנופה מקצועית ובבניית המחלקה</w:t>
      </w:r>
      <w:r w:rsidR="005C500D" w:rsidRPr="0004034A">
        <w:rPr>
          <w:rFonts w:cstheme="minorHAnsi"/>
          <w:rtl/>
        </w:rPr>
        <w:t>.</w:t>
      </w:r>
      <w:r w:rsidRPr="0004034A">
        <w:rPr>
          <w:rFonts w:cstheme="minorHAnsi"/>
          <w:rtl/>
        </w:rPr>
        <w:t xml:space="preserve"> דווקא בתקופה כזאת הרגשנו בחשיבותה של העשייה לטובת הטווח הארוך ובחרנו להתמקד בבנייה של מחלקה מקצועית שמטרתה להשיא את הרווחים למען הדורות הבאים.</w:t>
      </w:r>
      <w:r w:rsidR="000B3B5A" w:rsidRPr="0004034A">
        <w:rPr>
          <w:rFonts w:cstheme="minorHAnsi"/>
          <w:rtl/>
        </w:rPr>
        <w:t xml:space="preserve"> רשמנו השנה התקדמות משמעותית בפיתוח אסטרטגיית ההשקעות של הקרן שכוללת </w:t>
      </w:r>
      <w:r w:rsidR="005C500D" w:rsidRPr="0004034A">
        <w:rPr>
          <w:rFonts w:cstheme="minorHAnsi"/>
          <w:rtl/>
        </w:rPr>
        <w:t>התרחבות</w:t>
      </w:r>
      <w:r w:rsidR="000B3B5A" w:rsidRPr="0004034A">
        <w:rPr>
          <w:rFonts w:cstheme="minorHAnsi"/>
          <w:rtl/>
        </w:rPr>
        <w:t xml:space="preserve"> </w:t>
      </w:r>
      <w:r w:rsidR="005C500D" w:rsidRPr="0004034A">
        <w:rPr>
          <w:rFonts w:cstheme="minorHAnsi"/>
          <w:rtl/>
        </w:rPr>
        <w:t>ל</w:t>
      </w:r>
      <w:r w:rsidR="000B3B5A" w:rsidRPr="0004034A">
        <w:rPr>
          <w:rFonts w:cstheme="minorHAnsi"/>
          <w:rtl/>
        </w:rPr>
        <w:t>אפיקי השקעה נוספים</w:t>
      </w:r>
      <w:r w:rsidR="005C500D" w:rsidRPr="0004034A">
        <w:rPr>
          <w:rFonts w:cstheme="minorHAnsi"/>
          <w:rtl/>
        </w:rPr>
        <w:t xml:space="preserve">, בניית תשתיות </w:t>
      </w:r>
      <w:r w:rsidR="004F3C90" w:rsidRPr="0004034A">
        <w:rPr>
          <w:rFonts w:cstheme="minorHAnsi"/>
          <w:rtl/>
        </w:rPr>
        <w:t>מקיפות</w:t>
      </w:r>
      <w:r w:rsidR="005C500D" w:rsidRPr="0004034A">
        <w:rPr>
          <w:rFonts w:cstheme="minorHAnsi"/>
          <w:rtl/>
        </w:rPr>
        <w:t xml:space="preserve"> לפעילות המחלקה</w:t>
      </w:r>
      <w:r w:rsidR="004F3C90" w:rsidRPr="0004034A">
        <w:rPr>
          <w:rFonts w:cstheme="minorHAnsi"/>
          <w:rtl/>
        </w:rPr>
        <w:t xml:space="preserve"> וזאת במקביל לניהול השוטף של נכסי הקרן להשאת התשואה"</w:t>
      </w:r>
    </w:p>
    <w:p w:rsidR="00FF6BCE" w:rsidRPr="0004034A" w:rsidRDefault="00FF6BCE" w:rsidP="0056224B">
      <w:pPr>
        <w:tabs>
          <w:tab w:val="left" w:pos="2315"/>
        </w:tabs>
        <w:spacing w:line="360" w:lineRule="auto"/>
        <w:jc w:val="both"/>
        <w:rPr>
          <w:rFonts w:cstheme="minorHAnsi"/>
          <w:b/>
          <w:bCs/>
          <w:rtl/>
        </w:rPr>
      </w:pPr>
      <w:r w:rsidRPr="0004034A">
        <w:rPr>
          <w:rFonts w:cstheme="minorHAnsi"/>
          <w:b/>
          <w:bCs/>
          <w:rtl/>
        </w:rPr>
        <w:t xml:space="preserve">עיקרי </w:t>
      </w:r>
      <w:r w:rsidR="006F6FF9" w:rsidRPr="0004034A">
        <w:rPr>
          <w:rFonts w:cstheme="minorHAnsi"/>
          <w:b/>
          <w:bCs/>
          <w:rtl/>
        </w:rPr>
        <w:t>התוצאות העסקיות</w:t>
      </w:r>
      <w:r w:rsidRPr="0004034A">
        <w:rPr>
          <w:rFonts w:cstheme="minorHAnsi"/>
          <w:b/>
          <w:bCs/>
          <w:rtl/>
        </w:rPr>
        <w:t>:</w:t>
      </w:r>
    </w:p>
    <w:p w:rsidR="006F6FF9" w:rsidRPr="0004034A" w:rsidRDefault="006F6FF9" w:rsidP="0056224B">
      <w:pPr>
        <w:pStyle w:val="a5"/>
        <w:numPr>
          <w:ilvl w:val="0"/>
          <w:numId w:val="40"/>
        </w:numPr>
        <w:tabs>
          <w:tab w:val="left" w:pos="2315"/>
        </w:tabs>
        <w:spacing w:line="360" w:lineRule="auto"/>
        <w:jc w:val="both"/>
        <w:rPr>
          <w:rFonts w:cstheme="minorHAnsi"/>
        </w:rPr>
      </w:pPr>
      <w:r w:rsidRPr="0004034A">
        <w:rPr>
          <w:rFonts w:cstheme="minorHAnsi"/>
          <w:rtl/>
        </w:rPr>
        <w:t xml:space="preserve">נכון ל־31.12.24 הסתכמו נכסי הקרן בכ־2,080 מיליון דולר. </w:t>
      </w:r>
    </w:p>
    <w:p w:rsidR="006F6FF9" w:rsidRPr="0004034A" w:rsidRDefault="006F6FF9" w:rsidP="0056224B">
      <w:pPr>
        <w:pStyle w:val="a5"/>
        <w:numPr>
          <w:ilvl w:val="0"/>
          <w:numId w:val="40"/>
        </w:numPr>
        <w:tabs>
          <w:tab w:val="left" w:pos="2315"/>
        </w:tabs>
        <w:spacing w:line="360" w:lineRule="auto"/>
        <w:jc w:val="both"/>
        <w:rPr>
          <w:rFonts w:cstheme="minorHAnsi"/>
        </w:rPr>
      </w:pPr>
      <w:r w:rsidRPr="0004034A">
        <w:rPr>
          <w:rFonts w:cstheme="minorHAnsi"/>
          <w:rtl/>
        </w:rPr>
        <w:t xml:space="preserve">במהלך השנה הופקדו בקרן תקבולים שמקורם בהכנסות המדינה, על פי הוראות חוק מיסוי רווחים ממשאבי טבע, בסכום כולל של כ־ 417 מיליון דולר. </w:t>
      </w:r>
    </w:p>
    <w:p w:rsidR="004B037B" w:rsidRPr="0004034A" w:rsidRDefault="004B037B" w:rsidP="0056224B">
      <w:pPr>
        <w:pStyle w:val="a5"/>
        <w:numPr>
          <w:ilvl w:val="0"/>
          <w:numId w:val="40"/>
        </w:numPr>
        <w:tabs>
          <w:tab w:val="left" w:pos="2315"/>
        </w:tabs>
        <w:spacing w:line="360" w:lineRule="auto"/>
        <w:jc w:val="both"/>
        <w:rPr>
          <w:rFonts w:cstheme="minorHAnsi"/>
        </w:rPr>
      </w:pPr>
      <w:r w:rsidRPr="0004034A">
        <w:rPr>
          <w:rFonts w:cstheme="minorHAnsi"/>
          <w:rtl/>
        </w:rPr>
        <w:t xml:space="preserve">בשנת 2023 העבירה הקרן לתקציב המדינה סכום של כ־ 33.6 מיליון דולר עבור שנות התקציב 2023 ו־ 2024. </w:t>
      </w:r>
    </w:p>
    <w:p w:rsidR="006F6FF9" w:rsidRPr="0004034A" w:rsidRDefault="006F6FF9" w:rsidP="0056224B">
      <w:pPr>
        <w:pStyle w:val="a5"/>
        <w:numPr>
          <w:ilvl w:val="0"/>
          <w:numId w:val="40"/>
        </w:numPr>
        <w:tabs>
          <w:tab w:val="left" w:pos="2315"/>
        </w:tabs>
        <w:spacing w:line="360" w:lineRule="auto"/>
        <w:jc w:val="both"/>
        <w:rPr>
          <w:rFonts w:cstheme="minorHAnsi"/>
          <w:b/>
          <w:bCs/>
          <w:rtl/>
        </w:rPr>
      </w:pPr>
      <w:r w:rsidRPr="0004034A">
        <w:rPr>
          <w:rFonts w:cstheme="minorHAnsi"/>
          <w:rtl/>
        </w:rPr>
        <w:t>בשנת 2024 רשמה הקרן לאזרחי ישראל  תשואה נומינלית דולרית של כ־ 11.5% . מאז הקמתה רשמה הקרן תשואה שנתית ממוצעת של כ־ 11.7%.</w:t>
      </w:r>
    </w:p>
    <w:p w:rsidR="006F6FF9" w:rsidRPr="0004034A" w:rsidRDefault="006F6FF9" w:rsidP="0056224B">
      <w:pPr>
        <w:tabs>
          <w:tab w:val="left" w:pos="2315"/>
        </w:tabs>
        <w:spacing w:line="360" w:lineRule="auto"/>
        <w:jc w:val="both"/>
        <w:rPr>
          <w:rFonts w:cstheme="minorHAnsi"/>
          <w:b/>
          <w:bCs/>
          <w:rtl/>
        </w:rPr>
      </w:pPr>
    </w:p>
    <w:p w:rsidR="006F6FF9" w:rsidRPr="0004034A" w:rsidRDefault="006F6FF9" w:rsidP="0056224B">
      <w:pPr>
        <w:tabs>
          <w:tab w:val="left" w:pos="2315"/>
        </w:tabs>
        <w:spacing w:line="360" w:lineRule="auto"/>
        <w:jc w:val="both"/>
        <w:rPr>
          <w:rFonts w:cstheme="minorHAnsi"/>
          <w:b/>
          <w:bCs/>
          <w:rtl/>
        </w:rPr>
      </w:pPr>
    </w:p>
    <w:sectPr w:rsidR="006F6FF9" w:rsidRPr="0004034A"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68C" w:rsidRDefault="00F0468C" w:rsidP="008755E3">
      <w:pPr>
        <w:spacing w:after="0" w:line="240" w:lineRule="auto"/>
      </w:pPr>
      <w:r>
        <w:separator/>
      </w:r>
    </w:p>
  </w:endnote>
  <w:endnote w:type="continuationSeparator" w:id="0">
    <w:p w:rsidR="00F0468C" w:rsidRDefault="00F0468C"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05A80D52" wp14:editId="1B13A88E">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C36180A" wp14:editId="22452A46">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527395D2" wp14:editId="374783B0">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4D93CE14" wp14:editId="3A55B89F">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0598800F" wp14:editId="46758030">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8800F"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24C388E1" wp14:editId="7C66F89A">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388E1"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155C161F" wp14:editId="08C96594">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5C161F"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14A88BA" wp14:editId="136C169F">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4A88BA"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4AC9D71" wp14:editId="5D20BD0F">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A5055"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68C" w:rsidRDefault="00F0468C" w:rsidP="008755E3">
      <w:pPr>
        <w:spacing w:after="0" w:line="240" w:lineRule="auto"/>
      </w:pPr>
      <w:r>
        <w:separator/>
      </w:r>
    </w:p>
  </w:footnote>
  <w:footnote w:type="continuationSeparator" w:id="0">
    <w:p w:rsidR="00F0468C" w:rsidRDefault="00F0468C"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6411A"/>
    <w:multiLevelType w:val="hybridMultilevel"/>
    <w:tmpl w:val="F7C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B9165C"/>
    <w:multiLevelType w:val="hybridMultilevel"/>
    <w:tmpl w:val="55F8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851AA4"/>
    <w:multiLevelType w:val="hybridMultilevel"/>
    <w:tmpl w:val="A8F8D218"/>
    <w:lvl w:ilvl="0" w:tplc="712898A2">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C110C"/>
    <w:multiLevelType w:val="hybridMultilevel"/>
    <w:tmpl w:val="5A524CFC"/>
    <w:lvl w:ilvl="0" w:tplc="63541910">
      <w:start w:val="1"/>
      <w:numFmt w:val="bullet"/>
      <w:lvlText w:val=""/>
      <w:lvlJc w:val="left"/>
      <w:pPr>
        <w:ind w:left="697" w:hanging="360"/>
      </w:pPr>
      <w:rPr>
        <w:rFonts w:ascii="Symbol" w:hAnsi="Symbol" w:hint="default"/>
        <w:lang w:bidi="he-IL"/>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4"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034AED"/>
    <w:multiLevelType w:val="hybridMultilevel"/>
    <w:tmpl w:val="440A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A631CB"/>
    <w:multiLevelType w:val="hybridMultilevel"/>
    <w:tmpl w:val="3474B0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D5319A"/>
    <w:multiLevelType w:val="hybridMultilevel"/>
    <w:tmpl w:val="919C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24" w15:restartNumberingAfterBreak="0">
    <w:nsid w:val="5A217A63"/>
    <w:multiLevelType w:val="hybridMultilevel"/>
    <w:tmpl w:val="7118FFFA"/>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007A1"/>
    <w:multiLevelType w:val="hybridMultilevel"/>
    <w:tmpl w:val="773A65F2"/>
    <w:lvl w:ilvl="0" w:tplc="AAE6AD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38"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abstractNum w:abstractNumId="39" w15:restartNumberingAfterBreak="0">
    <w:nsid w:val="7E777FDE"/>
    <w:multiLevelType w:val="hybridMultilevel"/>
    <w:tmpl w:val="FDCE51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10"/>
  </w:num>
  <w:num w:numId="5">
    <w:abstractNumId w:val="9"/>
  </w:num>
  <w:num w:numId="6">
    <w:abstractNumId w:val="4"/>
  </w:num>
  <w:num w:numId="7">
    <w:abstractNumId w:val="20"/>
  </w:num>
  <w:num w:numId="8">
    <w:abstractNumId w:val="30"/>
  </w:num>
  <w:num w:numId="9">
    <w:abstractNumId w:val="33"/>
  </w:num>
  <w:num w:numId="10">
    <w:abstractNumId w:val="26"/>
  </w:num>
  <w:num w:numId="11">
    <w:abstractNumId w:val="19"/>
  </w:num>
  <w:num w:numId="12">
    <w:abstractNumId w:val="27"/>
  </w:num>
  <w:num w:numId="13">
    <w:abstractNumId w:val="16"/>
  </w:num>
  <w:num w:numId="14">
    <w:abstractNumId w:val="5"/>
  </w:num>
  <w:num w:numId="15">
    <w:abstractNumId w:val="28"/>
  </w:num>
  <w:num w:numId="16">
    <w:abstractNumId w:val="3"/>
  </w:num>
  <w:num w:numId="17">
    <w:abstractNumId w:val="38"/>
  </w:num>
  <w:num w:numId="18">
    <w:abstractNumId w:val="34"/>
  </w:num>
  <w:num w:numId="19">
    <w:abstractNumId w:val="32"/>
  </w:num>
  <w:num w:numId="20">
    <w:abstractNumId w:val="31"/>
  </w:num>
  <w:num w:numId="21">
    <w:abstractNumId w:val="1"/>
  </w:num>
  <w:num w:numId="22">
    <w:abstractNumId w:val="11"/>
  </w:num>
  <w:num w:numId="23">
    <w:abstractNumId w:val="35"/>
  </w:num>
  <w:num w:numId="24">
    <w:abstractNumId w:val="25"/>
  </w:num>
  <w:num w:numId="25">
    <w:abstractNumId w:val="29"/>
  </w:num>
  <w:num w:numId="26">
    <w:abstractNumId w:val="37"/>
  </w:num>
  <w:num w:numId="27">
    <w:abstractNumId w:val="0"/>
  </w:num>
  <w:num w:numId="28">
    <w:abstractNumId w:val="18"/>
  </w:num>
  <w:num w:numId="29">
    <w:abstractNumId w:val="23"/>
  </w:num>
  <w:num w:numId="30">
    <w:abstractNumId w:val="15"/>
  </w:num>
  <w:num w:numId="31">
    <w:abstractNumId w:val="17"/>
  </w:num>
  <w:num w:numId="32">
    <w:abstractNumId w:val="2"/>
  </w:num>
  <w:num w:numId="33">
    <w:abstractNumId w:val="36"/>
  </w:num>
  <w:num w:numId="34">
    <w:abstractNumId w:val="22"/>
  </w:num>
  <w:num w:numId="35">
    <w:abstractNumId w:val="24"/>
  </w:num>
  <w:num w:numId="36">
    <w:abstractNumId w:val="21"/>
  </w:num>
  <w:num w:numId="37">
    <w:abstractNumId w:val="12"/>
  </w:num>
  <w:num w:numId="38">
    <w:abstractNumId w:val="13"/>
  </w:num>
  <w:num w:numId="39">
    <w:abstractNumId w:val="39"/>
  </w:num>
  <w:num w:numId="4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034A"/>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852A7"/>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B5A"/>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18FC"/>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299A"/>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2ACB"/>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86453"/>
    <w:rsid w:val="00490CD9"/>
    <w:rsid w:val="00492C50"/>
    <w:rsid w:val="00494DFA"/>
    <w:rsid w:val="0049563C"/>
    <w:rsid w:val="00495E66"/>
    <w:rsid w:val="004976BA"/>
    <w:rsid w:val="004A0AF0"/>
    <w:rsid w:val="004A0C72"/>
    <w:rsid w:val="004A275C"/>
    <w:rsid w:val="004A295D"/>
    <w:rsid w:val="004A3AE6"/>
    <w:rsid w:val="004A74CC"/>
    <w:rsid w:val="004B037B"/>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3C90"/>
    <w:rsid w:val="004F475C"/>
    <w:rsid w:val="004F5B4E"/>
    <w:rsid w:val="004F6CC0"/>
    <w:rsid w:val="004F78DE"/>
    <w:rsid w:val="00500621"/>
    <w:rsid w:val="0050399A"/>
    <w:rsid w:val="00504DD0"/>
    <w:rsid w:val="005064A5"/>
    <w:rsid w:val="0050762D"/>
    <w:rsid w:val="00507C0C"/>
    <w:rsid w:val="00510F9E"/>
    <w:rsid w:val="00511046"/>
    <w:rsid w:val="00511763"/>
    <w:rsid w:val="00511F00"/>
    <w:rsid w:val="00515070"/>
    <w:rsid w:val="0051569C"/>
    <w:rsid w:val="005157D8"/>
    <w:rsid w:val="0051628F"/>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224B"/>
    <w:rsid w:val="0056292B"/>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500D"/>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6F6FF9"/>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4AEE"/>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3A42"/>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6F7B"/>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4FC7"/>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37811"/>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A7EA9"/>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3EF5"/>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599"/>
    <w:rsid w:val="00AD0E57"/>
    <w:rsid w:val="00AD1234"/>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0842"/>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6F28"/>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A65D9"/>
    <w:rsid w:val="00DB0771"/>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68C"/>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2B8D"/>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06BD"/>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 w:val="00FF6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0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3775537">
      <w:bodyDiv w:val="1"/>
      <w:marLeft w:val="0"/>
      <w:marRight w:val="0"/>
      <w:marTop w:val="0"/>
      <w:marBottom w:val="0"/>
      <w:divBdr>
        <w:top w:val="none" w:sz="0" w:space="0" w:color="auto"/>
        <w:left w:val="none" w:sz="0" w:space="0" w:color="auto"/>
        <w:bottom w:val="none" w:sz="0" w:space="0" w:color="auto"/>
        <w:right w:val="none" w:sz="0" w:space="0" w:color="auto"/>
      </w:divBdr>
      <w:divsChild>
        <w:div w:id="1372077109">
          <w:marLeft w:val="0"/>
          <w:marRight w:val="0"/>
          <w:marTop w:val="0"/>
          <w:marBottom w:val="0"/>
          <w:divBdr>
            <w:top w:val="none" w:sz="0" w:space="0" w:color="auto"/>
            <w:left w:val="none" w:sz="0" w:space="0" w:color="auto"/>
            <w:bottom w:val="none" w:sz="0" w:space="0" w:color="auto"/>
            <w:right w:val="none" w:sz="0" w:space="0" w:color="auto"/>
          </w:divBdr>
          <w:divsChild>
            <w:div w:id="27076013">
              <w:marLeft w:val="0"/>
              <w:marRight w:val="0"/>
              <w:marTop w:val="0"/>
              <w:marBottom w:val="0"/>
              <w:divBdr>
                <w:top w:val="none" w:sz="0" w:space="0" w:color="auto"/>
                <w:left w:val="none" w:sz="0" w:space="0" w:color="auto"/>
                <w:bottom w:val="none" w:sz="0" w:space="0" w:color="auto"/>
                <w:right w:val="none" w:sz="0" w:space="0" w:color="auto"/>
              </w:divBdr>
            </w:div>
            <w:div w:id="425468395">
              <w:marLeft w:val="0"/>
              <w:marRight w:val="0"/>
              <w:marTop w:val="0"/>
              <w:marBottom w:val="0"/>
              <w:divBdr>
                <w:top w:val="single" w:sz="12" w:space="0" w:color="E3E7EE"/>
                <w:left w:val="none" w:sz="0" w:space="0" w:color="auto"/>
                <w:bottom w:val="single" w:sz="12" w:space="0" w:color="E3E7EE"/>
                <w:right w:val="none" w:sz="0" w:space="0" w:color="auto"/>
              </w:divBdr>
              <w:divsChild>
                <w:div w:id="21034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6613">
          <w:marLeft w:val="0"/>
          <w:marRight w:val="0"/>
          <w:marTop w:val="0"/>
          <w:marBottom w:val="0"/>
          <w:divBdr>
            <w:top w:val="none" w:sz="0" w:space="0" w:color="auto"/>
            <w:left w:val="none" w:sz="0" w:space="0" w:color="auto"/>
            <w:bottom w:val="none" w:sz="0" w:space="0" w:color="auto"/>
            <w:right w:val="none" w:sz="0" w:space="0" w:color="auto"/>
          </w:divBdr>
          <w:divsChild>
            <w:div w:id="937641994">
              <w:marLeft w:val="0"/>
              <w:marRight w:val="0"/>
              <w:marTop w:val="0"/>
              <w:marBottom w:val="0"/>
              <w:divBdr>
                <w:top w:val="none" w:sz="0" w:space="0" w:color="auto"/>
                <w:left w:val="none" w:sz="0" w:space="0" w:color="auto"/>
                <w:bottom w:val="none" w:sz="0" w:space="0" w:color="auto"/>
                <w:right w:val="none" w:sz="0" w:space="0" w:color="auto"/>
              </w:divBdr>
            </w:div>
            <w:div w:id="1464040532">
              <w:marLeft w:val="0"/>
              <w:marRight w:val="0"/>
              <w:marTop w:val="0"/>
              <w:marBottom w:val="0"/>
              <w:divBdr>
                <w:top w:val="none" w:sz="0" w:space="0" w:color="auto"/>
                <w:left w:val="none" w:sz="0" w:space="0" w:color="auto"/>
                <w:bottom w:val="none" w:sz="0" w:space="0" w:color="auto"/>
                <w:right w:val="none" w:sz="0" w:space="0" w:color="auto"/>
              </w:divBdr>
            </w:div>
            <w:div w:id="1456371008">
              <w:marLeft w:val="0"/>
              <w:marRight w:val="0"/>
              <w:marTop w:val="0"/>
              <w:marBottom w:val="0"/>
              <w:divBdr>
                <w:top w:val="none" w:sz="0" w:space="0" w:color="auto"/>
                <w:left w:val="none" w:sz="0" w:space="0" w:color="auto"/>
                <w:bottom w:val="none" w:sz="0" w:space="0" w:color="auto"/>
                <w:right w:val="none" w:sz="0" w:space="0" w:color="auto"/>
              </w:divBdr>
              <w:divsChild>
                <w:div w:id="1111974702">
                  <w:marLeft w:val="0"/>
                  <w:marRight w:val="0"/>
                  <w:marTop w:val="0"/>
                  <w:marBottom w:val="0"/>
                  <w:divBdr>
                    <w:top w:val="none" w:sz="0" w:space="0" w:color="auto"/>
                    <w:left w:val="none" w:sz="0" w:space="0" w:color="auto"/>
                    <w:bottom w:val="none" w:sz="0" w:space="0" w:color="auto"/>
                    <w:right w:val="none" w:sz="0" w:space="0" w:color="auto"/>
                  </w:divBdr>
                </w:div>
                <w:div w:id="268506825">
                  <w:marLeft w:val="0"/>
                  <w:marRight w:val="0"/>
                  <w:marTop w:val="0"/>
                  <w:marBottom w:val="0"/>
                  <w:divBdr>
                    <w:top w:val="none" w:sz="0" w:space="0" w:color="auto"/>
                    <w:left w:val="none" w:sz="0" w:space="0" w:color="auto"/>
                    <w:bottom w:val="none" w:sz="0" w:space="0" w:color="auto"/>
                    <w:right w:val="none" w:sz="0" w:space="0" w:color="auto"/>
                  </w:divBdr>
                </w:div>
                <w:div w:id="692611150">
                  <w:marLeft w:val="0"/>
                  <w:marRight w:val="0"/>
                  <w:marTop w:val="0"/>
                  <w:marBottom w:val="0"/>
                  <w:divBdr>
                    <w:top w:val="none" w:sz="0" w:space="0" w:color="auto"/>
                    <w:left w:val="none" w:sz="0" w:space="0" w:color="auto"/>
                    <w:bottom w:val="none" w:sz="0" w:space="0" w:color="auto"/>
                    <w:right w:val="none" w:sz="0" w:space="0" w:color="auto"/>
                  </w:divBdr>
                </w:div>
                <w:div w:id="487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64BB-782F-4613-8658-176B50C4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3148</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2025-03-31T09:31:00Z</dcterms:created>
  <dcterms:modified xsi:type="dcterms:W3CDTF">2025-03-31T09:33:00Z</dcterms:modified>
</cp:coreProperties>
</file>