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901"/>
        <w:bidiVisual/>
        <w:tblW w:w="9530" w:type="dxa"/>
        <w:tblLayout w:type="fixed"/>
        <w:tblLook w:val="0000" w:firstRow="0" w:lastRow="0" w:firstColumn="0" w:lastColumn="0" w:noHBand="0" w:noVBand="0"/>
      </w:tblPr>
      <w:tblGrid>
        <w:gridCol w:w="3343"/>
        <w:gridCol w:w="2596"/>
        <w:gridCol w:w="3591"/>
      </w:tblGrid>
      <w:tr w:rsidR="009005BA" w:rsidRPr="00330759" w14:paraId="284C2487" w14:textId="77777777" w:rsidTr="0029736D">
        <w:tc>
          <w:tcPr>
            <w:tcW w:w="3343" w:type="dxa"/>
            <w:tcBorders>
              <w:top w:val="nil"/>
              <w:left w:val="nil"/>
              <w:bottom w:val="nil"/>
              <w:right w:val="nil"/>
            </w:tcBorders>
            <w:vAlign w:val="center"/>
          </w:tcPr>
          <w:p w14:paraId="1D012FE4" w14:textId="77777777" w:rsidR="009005BA" w:rsidRPr="00330759" w:rsidRDefault="009005BA" w:rsidP="0029736D">
            <w:pPr>
              <w:rPr>
                <w:rFonts w:cstheme="minorHAnsi"/>
                <w:b/>
                <w:bCs/>
                <w:sz w:val="24"/>
                <w:szCs w:val="24"/>
                <w:rtl/>
              </w:rPr>
            </w:pPr>
            <w:r w:rsidRPr="00193FCB">
              <w:rPr>
                <w:rFonts w:cstheme="minorHAnsi"/>
                <w:b/>
                <w:bCs/>
                <w:sz w:val="24"/>
                <w:szCs w:val="24"/>
                <w:rtl/>
              </w:rPr>
              <w:t>בנק ישראל</w:t>
            </w:r>
          </w:p>
          <w:p w14:paraId="51970B87" w14:textId="77777777" w:rsidR="009005BA" w:rsidRPr="00330759" w:rsidRDefault="009005BA" w:rsidP="0029736D">
            <w:pPr>
              <w:rPr>
                <w:rFonts w:cstheme="minorHAnsi"/>
                <w:b/>
                <w:bCs/>
                <w:sz w:val="28"/>
                <w:szCs w:val="28"/>
              </w:rPr>
            </w:pPr>
            <w:r w:rsidRPr="002F6684">
              <w:rPr>
                <w:rFonts w:cstheme="minorHAnsi"/>
                <w:rtl/>
              </w:rPr>
              <w:t>דוברות והסברה כלכלית</w:t>
            </w:r>
          </w:p>
        </w:tc>
        <w:tc>
          <w:tcPr>
            <w:tcW w:w="2596" w:type="dxa"/>
            <w:tcBorders>
              <w:top w:val="nil"/>
              <w:left w:val="nil"/>
              <w:bottom w:val="nil"/>
              <w:right w:val="nil"/>
            </w:tcBorders>
            <w:shd w:val="clear" w:color="auto" w:fill="FFFFFF"/>
          </w:tcPr>
          <w:p w14:paraId="2AA221BF" w14:textId="77777777" w:rsidR="009005BA" w:rsidRPr="00330759" w:rsidRDefault="009005BA" w:rsidP="0029736D">
            <w:pPr>
              <w:jc w:val="center"/>
              <w:rPr>
                <w:rFonts w:cstheme="minorHAnsi"/>
              </w:rPr>
            </w:pPr>
            <w:r w:rsidRPr="00330759">
              <w:rPr>
                <w:rFonts w:cstheme="minorHAnsi"/>
                <w:noProof/>
              </w:rPr>
              <w:drawing>
                <wp:anchor distT="0" distB="0" distL="114300" distR="114300" simplePos="0" relativeHeight="251659264" behindDoc="0" locked="0" layoutInCell="1" allowOverlap="1" wp14:anchorId="37B2A131" wp14:editId="5ADE9816">
                  <wp:simplePos x="0" y="0"/>
                  <wp:positionH relativeFrom="column">
                    <wp:posOffset>-71755</wp:posOffset>
                  </wp:positionH>
                  <wp:positionV relativeFrom="paragraph">
                    <wp:posOffset>88265</wp:posOffset>
                  </wp:positionV>
                  <wp:extent cx="1504950" cy="495300"/>
                  <wp:effectExtent l="0" t="0" r="0" b="0"/>
                  <wp:wrapNone/>
                  <wp:docPr id="3" name="תמונה 3" descr="C:\Users\u34r\AppData\Local\Microsoft\Windows\INetCache\Content.Word\logo_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34r\AppData\Local\Microsoft\Windows\INetCache\Content.Word\logo_7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4950" cy="495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91" w:type="dxa"/>
            <w:tcBorders>
              <w:top w:val="nil"/>
              <w:left w:val="nil"/>
              <w:bottom w:val="nil"/>
              <w:right w:val="nil"/>
            </w:tcBorders>
            <w:vAlign w:val="center"/>
          </w:tcPr>
          <w:p w14:paraId="28F55EDA" w14:textId="324E3414" w:rsidR="009005BA" w:rsidRPr="00330759" w:rsidRDefault="009005BA" w:rsidP="009005BA">
            <w:pPr>
              <w:jc w:val="right"/>
              <w:rPr>
                <w:rFonts w:cstheme="minorHAnsi"/>
                <w:rtl/>
              </w:rPr>
            </w:pPr>
            <w:r w:rsidRPr="00330759">
              <w:rPr>
                <w:rFonts w:cstheme="minorHAnsi"/>
                <w:highlight w:val="green"/>
                <w:rtl/>
              </w:rPr>
              <w:t>‏</w:t>
            </w:r>
            <w:r w:rsidRPr="002F6684">
              <w:rPr>
                <w:rFonts w:cstheme="minorHAnsi"/>
                <w:rtl/>
              </w:rPr>
              <w:t xml:space="preserve">ירושלים, </w:t>
            </w:r>
            <w:r w:rsidRPr="002F6684">
              <w:rPr>
                <w:rFonts w:cstheme="minorHAnsi"/>
                <w:rtl/>
              </w:rPr>
              <w:fldChar w:fldCharType="begin"/>
            </w:r>
            <w:r w:rsidRPr="002F6684">
              <w:rPr>
                <w:rFonts w:cstheme="minorHAnsi"/>
                <w:rtl/>
              </w:rPr>
              <w:instrText xml:space="preserve"> </w:instrText>
            </w:r>
            <w:r w:rsidRPr="002F6684">
              <w:rPr>
                <w:rFonts w:cstheme="minorHAnsi"/>
              </w:rPr>
              <w:instrText>DATE</w:instrText>
            </w:r>
            <w:r w:rsidRPr="002F6684">
              <w:rPr>
                <w:rFonts w:cstheme="minorHAnsi"/>
                <w:rtl/>
              </w:rPr>
              <w:instrText xml:space="preserve"> \@ "</w:instrText>
            </w:r>
            <w:r w:rsidRPr="002F6684">
              <w:rPr>
                <w:rFonts w:cstheme="minorHAnsi"/>
              </w:rPr>
              <w:instrText>d MMMM, yyyy" \h</w:instrText>
            </w:r>
            <w:r w:rsidRPr="002F6684">
              <w:rPr>
                <w:rFonts w:cstheme="minorHAnsi"/>
                <w:rtl/>
              </w:rPr>
              <w:instrText xml:space="preserve"> </w:instrText>
            </w:r>
            <w:r w:rsidRPr="002F6684">
              <w:rPr>
                <w:rFonts w:cstheme="minorHAnsi"/>
                <w:rtl/>
              </w:rPr>
              <w:fldChar w:fldCharType="separate"/>
            </w:r>
            <w:r w:rsidR="00D96C96">
              <w:rPr>
                <w:rFonts w:cstheme="minorHAnsi"/>
                <w:noProof/>
                <w:rtl/>
              </w:rPr>
              <w:t>‏כ"ב שבט, תשפ"ו</w:t>
            </w:r>
            <w:r w:rsidRPr="002F6684">
              <w:rPr>
                <w:rFonts w:cstheme="minorHAnsi"/>
                <w:rtl/>
              </w:rPr>
              <w:fldChar w:fldCharType="end"/>
            </w:r>
          </w:p>
          <w:p w14:paraId="68448917" w14:textId="707187BB" w:rsidR="009005BA" w:rsidRPr="00330759" w:rsidRDefault="009005BA" w:rsidP="009005BA">
            <w:pPr>
              <w:jc w:val="right"/>
              <w:rPr>
                <w:rFonts w:cstheme="minorHAnsi"/>
                <w:highlight w:val="green"/>
              </w:rPr>
            </w:pPr>
            <w:r w:rsidRPr="00330759">
              <w:rPr>
                <w:rFonts w:cstheme="minorHAnsi"/>
                <w:noProof/>
                <w:rtl/>
              </w:rPr>
              <w:fldChar w:fldCharType="begin"/>
            </w:r>
            <w:r w:rsidRPr="00330759">
              <w:rPr>
                <w:rFonts w:cstheme="minorHAnsi"/>
                <w:noProof/>
                <w:rtl/>
              </w:rPr>
              <w:instrText xml:space="preserve"> </w:instrText>
            </w:r>
            <w:r w:rsidRPr="00330759">
              <w:rPr>
                <w:rFonts w:cstheme="minorHAnsi"/>
                <w:noProof/>
              </w:rPr>
              <w:instrText>DATE</w:instrText>
            </w:r>
            <w:r w:rsidRPr="00330759">
              <w:rPr>
                <w:rFonts w:cstheme="minorHAnsi"/>
                <w:noProof/>
                <w:rtl/>
              </w:rPr>
              <w:instrText xml:space="preserve"> \@ "</w:instrText>
            </w:r>
            <w:r w:rsidRPr="00330759">
              <w:rPr>
                <w:rFonts w:cstheme="minorHAnsi"/>
                <w:noProof/>
              </w:rPr>
              <w:instrText>d MMMM, yyyy</w:instrText>
            </w:r>
            <w:r w:rsidRPr="00330759">
              <w:rPr>
                <w:rFonts w:cstheme="minorHAnsi"/>
                <w:noProof/>
                <w:rtl/>
              </w:rPr>
              <w:instrText xml:space="preserve">" </w:instrText>
            </w:r>
            <w:r w:rsidRPr="00330759">
              <w:rPr>
                <w:rFonts w:cstheme="minorHAnsi"/>
                <w:noProof/>
                <w:rtl/>
              </w:rPr>
              <w:fldChar w:fldCharType="separate"/>
            </w:r>
            <w:r w:rsidR="00D96C96">
              <w:rPr>
                <w:rFonts w:cstheme="minorHAnsi"/>
                <w:noProof/>
                <w:rtl/>
              </w:rPr>
              <w:t>‏9 פברואר, 2026</w:t>
            </w:r>
            <w:r w:rsidRPr="00330759">
              <w:rPr>
                <w:rFonts w:cstheme="minorHAnsi"/>
                <w:noProof/>
                <w:rtl/>
              </w:rPr>
              <w:fldChar w:fldCharType="end"/>
            </w:r>
          </w:p>
        </w:tc>
      </w:tr>
    </w:tbl>
    <w:p w14:paraId="0C221B79" w14:textId="77777777" w:rsidR="009005BA" w:rsidRPr="00330759" w:rsidRDefault="009005BA" w:rsidP="008F507A">
      <w:pPr>
        <w:tabs>
          <w:tab w:val="left" w:pos="2315"/>
        </w:tabs>
        <w:spacing w:after="160"/>
        <w:rPr>
          <w:rFonts w:cstheme="minorHAnsi"/>
          <w:sz w:val="24"/>
          <w:szCs w:val="24"/>
          <w:rtl/>
        </w:rPr>
      </w:pPr>
    </w:p>
    <w:p w14:paraId="1384AEED" w14:textId="23AA47F4" w:rsidR="00D66255" w:rsidRPr="00861259" w:rsidRDefault="008E761A" w:rsidP="009005BA">
      <w:pPr>
        <w:tabs>
          <w:tab w:val="left" w:pos="2315"/>
        </w:tabs>
        <w:rPr>
          <w:rFonts w:cstheme="minorHAnsi"/>
          <w:sz w:val="24"/>
          <w:szCs w:val="24"/>
          <w:rtl/>
        </w:rPr>
      </w:pPr>
      <w:r w:rsidRPr="00861259">
        <w:rPr>
          <w:rFonts w:cstheme="minorHAnsi"/>
          <w:sz w:val="24"/>
          <w:szCs w:val="24"/>
          <w:rtl/>
        </w:rPr>
        <w:t>הודעה לעיתונות</w:t>
      </w:r>
      <w:r w:rsidRPr="00330759">
        <w:rPr>
          <w:rFonts w:cstheme="minorHAnsi"/>
          <w:sz w:val="24"/>
          <w:szCs w:val="24"/>
          <w:rtl/>
        </w:rPr>
        <w:t>:</w:t>
      </w:r>
    </w:p>
    <w:p w14:paraId="56971423" w14:textId="39A038DD" w:rsidR="0017406E" w:rsidRPr="00330759" w:rsidRDefault="0017406E" w:rsidP="008F507A">
      <w:pPr>
        <w:tabs>
          <w:tab w:val="left" w:pos="2315"/>
        </w:tabs>
        <w:spacing w:after="180"/>
        <w:jc w:val="center"/>
        <w:rPr>
          <w:rFonts w:cstheme="minorHAnsi"/>
          <w:sz w:val="28"/>
          <w:szCs w:val="28"/>
          <w:rtl/>
        </w:rPr>
      </w:pPr>
      <w:r w:rsidRPr="00861259">
        <w:rPr>
          <w:rFonts w:cstheme="minorHAnsi"/>
          <w:sz w:val="28"/>
          <w:szCs w:val="28"/>
          <w:rtl/>
        </w:rPr>
        <w:t xml:space="preserve">ניתוח חדש שמתפרסם במסגרת סדרת </w:t>
      </w:r>
      <w:r w:rsidRPr="00330759">
        <w:rPr>
          <w:rFonts w:cstheme="minorHAnsi"/>
          <w:sz w:val="28"/>
          <w:szCs w:val="28"/>
          <w:rtl/>
        </w:rPr>
        <w:t>"</w:t>
      </w:r>
      <w:r w:rsidRPr="00861259">
        <w:rPr>
          <w:rFonts w:cstheme="minorHAnsi"/>
          <w:sz w:val="28"/>
          <w:szCs w:val="28"/>
          <w:rtl/>
        </w:rPr>
        <w:t>ניתוחי מדיניות וסוגיות מחקריות</w:t>
      </w:r>
      <w:r w:rsidRPr="00330759">
        <w:rPr>
          <w:rFonts w:cstheme="minorHAnsi"/>
          <w:sz w:val="28"/>
          <w:szCs w:val="28"/>
          <w:rtl/>
        </w:rPr>
        <w:t xml:space="preserve">" </w:t>
      </w:r>
      <w:r w:rsidRPr="00861259">
        <w:rPr>
          <w:rFonts w:cstheme="minorHAnsi"/>
          <w:sz w:val="28"/>
          <w:szCs w:val="28"/>
          <w:rtl/>
        </w:rPr>
        <w:t>של חטיבת המחקר</w:t>
      </w:r>
      <w:r w:rsidRPr="00330759">
        <w:rPr>
          <w:rFonts w:cstheme="minorHAnsi"/>
          <w:sz w:val="28"/>
          <w:szCs w:val="28"/>
          <w:rtl/>
        </w:rPr>
        <w:t>:</w:t>
      </w:r>
    </w:p>
    <w:p w14:paraId="643775E3" w14:textId="353332AD" w:rsidR="006758D9" w:rsidRPr="00330759" w:rsidRDefault="00270BC1" w:rsidP="003F5C3F">
      <w:pPr>
        <w:pStyle w:val="1"/>
        <w:bidi/>
        <w:jc w:val="center"/>
        <w:rPr>
          <w:rFonts w:asciiTheme="minorHAnsi" w:hAnsiTheme="minorHAnsi" w:cstheme="minorHAnsi"/>
          <w:sz w:val="28"/>
          <w:szCs w:val="28"/>
          <w:rtl/>
        </w:rPr>
      </w:pPr>
      <w:r w:rsidRPr="00861259">
        <w:rPr>
          <w:rFonts w:asciiTheme="minorHAnsi" w:hAnsiTheme="minorHAnsi" w:cstheme="minorHAnsi"/>
          <w:sz w:val="28"/>
          <w:szCs w:val="28"/>
          <w:rtl/>
        </w:rPr>
        <w:t>האם שוק ההון מקדים</w:t>
      </w:r>
      <w:r w:rsidR="00C56903">
        <w:rPr>
          <w:rFonts w:asciiTheme="minorHAnsi" w:hAnsiTheme="minorHAnsi" w:cstheme="minorHAnsi" w:hint="cs"/>
          <w:sz w:val="28"/>
          <w:szCs w:val="28"/>
          <w:rtl/>
        </w:rPr>
        <w:t xml:space="preserve"> </w:t>
      </w:r>
      <w:r w:rsidR="003F5C3F">
        <w:rPr>
          <w:rFonts w:asciiTheme="minorHAnsi" w:hAnsiTheme="minorHAnsi" w:cstheme="minorHAnsi" w:hint="cs"/>
          <w:sz w:val="28"/>
          <w:szCs w:val="28"/>
          <w:rtl/>
        </w:rPr>
        <w:t xml:space="preserve">את </w:t>
      </w:r>
      <w:bookmarkStart w:id="0" w:name="_GoBack"/>
      <w:bookmarkEnd w:id="0"/>
      <w:r w:rsidR="003F5C3F">
        <w:rPr>
          <w:rFonts w:asciiTheme="minorHAnsi" w:hAnsiTheme="minorHAnsi" w:cstheme="minorHAnsi" w:hint="cs"/>
          <w:sz w:val="28"/>
          <w:szCs w:val="28"/>
          <w:rtl/>
        </w:rPr>
        <w:t>האחרים</w:t>
      </w:r>
      <w:r w:rsidRPr="00330759">
        <w:rPr>
          <w:rFonts w:asciiTheme="minorHAnsi" w:hAnsiTheme="minorHAnsi" w:cstheme="minorHAnsi"/>
          <w:sz w:val="28"/>
          <w:szCs w:val="28"/>
        </w:rPr>
        <w:t>?</w:t>
      </w:r>
      <w:r w:rsidRPr="00330759">
        <w:rPr>
          <w:rFonts w:asciiTheme="minorHAnsi" w:hAnsiTheme="minorHAnsi" w:cstheme="minorHAnsi"/>
          <w:sz w:val="28"/>
          <w:szCs w:val="28"/>
          <w:rtl/>
        </w:rPr>
        <w:t xml:space="preserve"> </w:t>
      </w:r>
      <w:r w:rsidRPr="00861259">
        <w:rPr>
          <w:rFonts w:asciiTheme="minorHAnsi" w:hAnsiTheme="minorHAnsi" w:cstheme="minorHAnsi"/>
          <w:sz w:val="28"/>
          <w:szCs w:val="28"/>
          <w:rtl/>
        </w:rPr>
        <w:t>ניתוח השוואתי של מקורות שונים לציפיות האינפלציה לשנה</w:t>
      </w:r>
    </w:p>
    <w:p w14:paraId="24559AD5" w14:textId="06F94980" w:rsidR="00270BC1" w:rsidRPr="00861259" w:rsidRDefault="00325B5B" w:rsidP="00E44DE9">
      <w:pPr>
        <w:pStyle w:val="a5"/>
        <w:numPr>
          <w:ilvl w:val="0"/>
          <w:numId w:val="18"/>
        </w:numPr>
        <w:spacing w:after="160"/>
        <w:ind w:left="357" w:hanging="357"/>
        <w:contextualSpacing w:val="0"/>
        <w:jc w:val="both"/>
        <w:rPr>
          <w:rFonts w:cstheme="minorHAnsi"/>
          <w:sz w:val="24"/>
          <w:szCs w:val="24"/>
        </w:rPr>
      </w:pPr>
      <w:r w:rsidRPr="00861259">
        <w:rPr>
          <w:rFonts w:cstheme="minorHAnsi"/>
          <w:sz w:val="24"/>
          <w:szCs w:val="24"/>
          <w:rtl/>
        </w:rPr>
        <w:t xml:space="preserve">ניתוח </w:t>
      </w:r>
      <w:r w:rsidR="00BE499B" w:rsidRPr="00861259">
        <w:rPr>
          <w:rFonts w:cstheme="minorHAnsi"/>
          <w:sz w:val="24"/>
          <w:szCs w:val="24"/>
          <w:rtl/>
        </w:rPr>
        <w:t>ש</w:t>
      </w:r>
      <w:r w:rsidR="00D671E3" w:rsidRPr="00861259">
        <w:rPr>
          <w:rFonts w:cstheme="minorHAnsi"/>
          <w:sz w:val="24"/>
          <w:szCs w:val="24"/>
          <w:rtl/>
        </w:rPr>
        <w:t xml:space="preserve">בחן את </w:t>
      </w:r>
      <w:r w:rsidR="00D846C0">
        <w:rPr>
          <w:rFonts w:cstheme="minorHAnsi" w:hint="cs"/>
          <w:sz w:val="24"/>
          <w:szCs w:val="24"/>
          <w:rtl/>
        </w:rPr>
        <w:t xml:space="preserve">הקשרים הסטטיסטיים בין </w:t>
      </w:r>
      <w:r w:rsidR="00270BC1" w:rsidRPr="00861259">
        <w:rPr>
          <w:rFonts w:cstheme="minorHAnsi"/>
          <w:sz w:val="24"/>
          <w:szCs w:val="24"/>
          <w:rtl/>
        </w:rPr>
        <w:t xml:space="preserve">המקורות השונים של הציפיות לאינפלציה </w:t>
      </w:r>
      <w:r w:rsidR="00BE499B" w:rsidRPr="00861259">
        <w:rPr>
          <w:rFonts w:cstheme="minorHAnsi"/>
          <w:sz w:val="24"/>
          <w:szCs w:val="24"/>
          <w:rtl/>
        </w:rPr>
        <w:t xml:space="preserve">מצא כי </w:t>
      </w:r>
      <w:r w:rsidR="00270BC1" w:rsidRPr="00861259">
        <w:rPr>
          <w:rFonts w:cstheme="minorHAnsi"/>
          <w:sz w:val="24"/>
          <w:szCs w:val="24"/>
          <w:rtl/>
        </w:rPr>
        <w:t xml:space="preserve">הציפיות הנגזרות משוק ההון מקדימות </w:t>
      </w:r>
      <w:r w:rsidR="00B36D26">
        <w:rPr>
          <w:rFonts w:cstheme="minorHAnsi" w:hint="cs"/>
          <w:sz w:val="24"/>
          <w:szCs w:val="24"/>
          <w:rtl/>
        </w:rPr>
        <w:t>את השינויים ב</w:t>
      </w:r>
      <w:r w:rsidR="00270BC1" w:rsidRPr="00861259">
        <w:rPr>
          <w:rFonts w:cstheme="minorHAnsi"/>
          <w:sz w:val="24"/>
          <w:szCs w:val="24"/>
          <w:rtl/>
        </w:rPr>
        <w:t xml:space="preserve">מקורות </w:t>
      </w:r>
      <w:r w:rsidR="00B36D26">
        <w:rPr>
          <w:rFonts w:cstheme="minorHAnsi" w:hint="cs"/>
          <w:sz w:val="24"/>
          <w:szCs w:val="24"/>
          <w:rtl/>
        </w:rPr>
        <w:t>ה</w:t>
      </w:r>
      <w:r w:rsidR="00270BC1" w:rsidRPr="00861259">
        <w:rPr>
          <w:rFonts w:cstheme="minorHAnsi"/>
          <w:sz w:val="24"/>
          <w:szCs w:val="24"/>
          <w:rtl/>
        </w:rPr>
        <w:t>אחרים – החזאים הפרטיים, חוזי האינפלציה וציפיות</w:t>
      </w:r>
      <w:r w:rsidR="00F92905" w:rsidRPr="00861259">
        <w:rPr>
          <w:rFonts w:cstheme="minorHAnsi"/>
          <w:sz w:val="24"/>
          <w:szCs w:val="24"/>
          <w:rtl/>
        </w:rPr>
        <w:t xml:space="preserve"> הבנקים</w:t>
      </w:r>
      <w:r w:rsidR="00270BC1" w:rsidRPr="00861259">
        <w:rPr>
          <w:rFonts w:cstheme="minorHAnsi"/>
          <w:sz w:val="24"/>
          <w:szCs w:val="24"/>
          <w:rtl/>
        </w:rPr>
        <w:t>.</w:t>
      </w:r>
    </w:p>
    <w:p w14:paraId="637C7384" w14:textId="23E2F5FE" w:rsidR="0077392A" w:rsidRPr="00861259" w:rsidRDefault="0077392A" w:rsidP="00861259">
      <w:pPr>
        <w:pStyle w:val="a5"/>
        <w:numPr>
          <w:ilvl w:val="0"/>
          <w:numId w:val="18"/>
        </w:numPr>
        <w:spacing w:after="160"/>
        <w:ind w:left="357" w:hanging="357"/>
        <w:contextualSpacing w:val="0"/>
        <w:jc w:val="both"/>
        <w:rPr>
          <w:rFonts w:cstheme="minorHAnsi"/>
          <w:sz w:val="24"/>
          <w:szCs w:val="24"/>
        </w:rPr>
      </w:pPr>
      <w:r w:rsidRPr="00861259">
        <w:rPr>
          <w:rFonts w:cstheme="minorHAnsi"/>
          <w:sz w:val="24"/>
          <w:szCs w:val="24"/>
          <w:rtl/>
        </w:rPr>
        <w:t>הקדימות של ציפיות שוק ההון מצביעה על פוטנציאל לזיהוי מוקדם יותר של מגמות בציפיות לאינפלציה.</w:t>
      </w:r>
    </w:p>
    <w:p w14:paraId="08E6467F" w14:textId="6CC048BE" w:rsidR="003A31BD" w:rsidRPr="00330759" w:rsidRDefault="003A31BD" w:rsidP="00861259">
      <w:pPr>
        <w:pStyle w:val="a5"/>
        <w:numPr>
          <w:ilvl w:val="0"/>
          <w:numId w:val="18"/>
        </w:numPr>
        <w:spacing w:after="160"/>
        <w:ind w:left="357" w:hanging="357"/>
        <w:contextualSpacing w:val="0"/>
        <w:jc w:val="both"/>
        <w:rPr>
          <w:rFonts w:cstheme="minorHAnsi"/>
          <w:sz w:val="24"/>
          <w:szCs w:val="24"/>
        </w:rPr>
      </w:pPr>
      <w:r w:rsidRPr="00861259">
        <w:rPr>
          <w:rFonts w:cstheme="minorHAnsi"/>
          <w:sz w:val="24"/>
          <w:szCs w:val="24"/>
          <w:rtl/>
        </w:rPr>
        <w:t xml:space="preserve">הממצאים לגבי הסיבות לקדימות זו אינם חד-משמעיים </w:t>
      </w:r>
      <w:r w:rsidR="0077392A" w:rsidRPr="00861259">
        <w:rPr>
          <w:rFonts w:cstheme="minorHAnsi"/>
          <w:sz w:val="24"/>
          <w:szCs w:val="24"/>
          <w:rtl/>
        </w:rPr>
        <w:t xml:space="preserve">אך </w:t>
      </w:r>
      <w:r w:rsidRPr="00861259">
        <w:rPr>
          <w:rFonts w:cstheme="minorHAnsi"/>
          <w:sz w:val="24"/>
          <w:szCs w:val="24"/>
          <w:rtl/>
        </w:rPr>
        <w:t>ניתן לשלול את האפשרות שהיא נובעת כולה מתדירות העדכון הגבוהה</w:t>
      </w:r>
      <w:r w:rsidR="00B36D26">
        <w:rPr>
          <w:rFonts w:cstheme="minorHAnsi" w:hint="cs"/>
          <w:sz w:val="24"/>
          <w:szCs w:val="24"/>
          <w:rtl/>
        </w:rPr>
        <w:t xml:space="preserve"> של שוק ההון</w:t>
      </w:r>
      <w:r w:rsidRPr="00861259">
        <w:rPr>
          <w:rFonts w:cstheme="minorHAnsi"/>
          <w:sz w:val="24"/>
          <w:szCs w:val="24"/>
          <w:rtl/>
        </w:rPr>
        <w:t>.</w:t>
      </w:r>
    </w:p>
    <w:p w14:paraId="77C32235" w14:textId="2BF7A010" w:rsidR="007C28B3" w:rsidRPr="00861259" w:rsidRDefault="0007776B" w:rsidP="00E44DE9">
      <w:pPr>
        <w:spacing w:before="240" w:line="360" w:lineRule="auto"/>
        <w:jc w:val="both"/>
        <w:rPr>
          <w:rFonts w:cstheme="minorHAnsi"/>
          <w:sz w:val="24"/>
          <w:szCs w:val="24"/>
          <w:rtl/>
        </w:rPr>
      </w:pPr>
      <w:r w:rsidRPr="00330759">
        <w:rPr>
          <w:rFonts w:cs="Calibri"/>
          <w:noProof/>
          <w:sz w:val="24"/>
          <w:szCs w:val="24"/>
          <w:rtl/>
        </w:rPr>
        <w:drawing>
          <wp:anchor distT="0" distB="0" distL="114300" distR="114300" simplePos="0" relativeHeight="251666432" behindDoc="1" locked="0" layoutInCell="1" allowOverlap="1" wp14:anchorId="1315C40B" wp14:editId="37E9EBB0">
            <wp:simplePos x="0" y="0"/>
            <wp:positionH relativeFrom="column">
              <wp:posOffset>-102708</wp:posOffset>
            </wp:positionH>
            <wp:positionV relativeFrom="paragraph">
              <wp:posOffset>109220</wp:posOffset>
            </wp:positionV>
            <wp:extent cx="3116580" cy="3487420"/>
            <wp:effectExtent l="0" t="0" r="7620" b="0"/>
            <wp:wrapTight wrapText="bothSides">
              <wp:wrapPolygon edited="0">
                <wp:start x="0" y="0"/>
                <wp:lineTo x="0" y="21474"/>
                <wp:lineTo x="21521" y="21474"/>
                <wp:lineTo x="21521" y="0"/>
                <wp:lineTo x="0" y="0"/>
              </wp:wrapPolygon>
            </wp:wrapTight>
            <wp:docPr id="6" name="תמונה 6" descr="T:\חפיפה סטודנט שוק ההון מוניטרי\תנודתיות ציפייות אינפלציה שוק ההון\סופי\בנק ישראל - אינפוגרפיקה - ציפיות לאינפלציה משוק ההו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חפיפה סטודנט שוק ההון מוניטרי\תנודתיות ציפייות אינפלציה שוק ההון\סופי\בנק ישראל - אינפוגרפיקה - ציפיות לאינפלציה משוק ההון.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6580" cy="3487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0BC1" w:rsidRPr="00861259">
        <w:rPr>
          <w:rFonts w:cstheme="minorHAnsi"/>
          <w:sz w:val="24"/>
          <w:szCs w:val="24"/>
          <w:rtl/>
        </w:rPr>
        <w:t xml:space="preserve">הציפיות לאינפלציה משמשות אינדיקטור מקרו-כלכלי מרכזי, בעל השפעה ניכרת על המדיניות המוניטרית. תפקידן כפול: הן משקפות הערכה באשר לאינפלציה בעתיד, אך גם משפיעות עליה בפועל, שכן שחקנים בשוק מקבלים החלטות כלכליות לפי ציפיותיהם. מכאן החשיבות </w:t>
      </w:r>
      <w:r w:rsidR="00E44DE9">
        <w:rPr>
          <w:rFonts w:cstheme="minorHAnsi" w:hint="cs"/>
          <w:sz w:val="24"/>
          <w:szCs w:val="24"/>
          <w:rtl/>
        </w:rPr>
        <w:t>שיש</w:t>
      </w:r>
      <w:r w:rsidR="00E44DE9" w:rsidRPr="00861259">
        <w:rPr>
          <w:rFonts w:cstheme="minorHAnsi"/>
          <w:sz w:val="24"/>
          <w:szCs w:val="24"/>
          <w:rtl/>
        </w:rPr>
        <w:t xml:space="preserve"> </w:t>
      </w:r>
      <w:r w:rsidR="00270BC1" w:rsidRPr="00861259">
        <w:rPr>
          <w:rFonts w:cstheme="minorHAnsi"/>
          <w:sz w:val="24"/>
          <w:szCs w:val="24"/>
          <w:rtl/>
        </w:rPr>
        <w:t>לזיהוי מוקדם של שינוי מגמה בציפיות אלו.</w:t>
      </w:r>
      <w:r w:rsidR="0077392A" w:rsidRPr="00330759">
        <w:rPr>
          <w:rFonts w:cstheme="minorHAnsi"/>
          <w:sz w:val="24"/>
          <w:szCs w:val="24"/>
          <w:rtl/>
        </w:rPr>
        <w:t xml:space="preserve"> </w:t>
      </w:r>
    </w:p>
    <w:p w14:paraId="1EDACBCA" w14:textId="3A6E39CB" w:rsidR="00B16330" w:rsidRPr="00330759" w:rsidRDefault="0077392A" w:rsidP="00AD4AD7">
      <w:pPr>
        <w:spacing w:before="240" w:line="360" w:lineRule="auto"/>
        <w:jc w:val="both"/>
        <w:rPr>
          <w:rFonts w:cstheme="minorHAnsi"/>
          <w:sz w:val="24"/>
          <w:szCs w:val="24"/>
          <w:rtl/>
        </w:rPr>
      </w:pPr>
      <w:r w:rsidRPr="00861259">
        <w:rPr>
          <w:rFonts w:cstheme="minorHAnsi"/>
          <w:sz w:val="24"/>
          <w:szCs w:val="24"/>
          <w:rtl/>
        </w:rPr>
        <w:t>בנק ישראל עוקב באופן שוטף אחר ציפיות האינפלציה ממגוון מקורות</w:t>
      </w:r>
      <w:r w:rsidR="00467A2C" w:rsidRPr="00861259">
        <w:rPr>
          <w:rFonts w:cstheme="minorHAnsi"/>
          <w:sz w:val="24"/>
          <w:szCs w:val="24"/>
          <w:rtl/>
        </w:rPr>
        <w:t xml:space="preserve"> – שוק ההון, החזאים הפרטיים, ציטוטי חוזים עתידיים על האינפלציה, והציפיות הנגזרות מהריביות הפנימיות של הבנקים המסחריים.</w:t>
      </w:r>
      <w:r w:rsidR="007C28B3" w:rsidRPr="00861259">
        <w:rPr>
          <w:rFonts w:cstheme="minorHAnsi"/>
          <w:sz w:val="24"/>
          <w:szCs w:val="24"/>
          <w:rtl/>
        </w:rPr>
        <w:t xml:space="preserve"> לכל אחד מהמקורות יתרונות וחסרונות, ולכן בנק ישראל בוחן את כל המקורות ולא מסתמך על מקור אחד. </w:t>
      </w:r>
      <w:r w:rsidRPr="00861259">
        <w:rPr>
          <w:rFonts w:cstheme="minorHAnsi"/>
          <w:sz w:val="24"/>
          <w:szCs w:val="24"/>
          <w:rtl/>
        </w:rPr>
        <w:t xml:space="preserve">השימוש בציפיות לאינפלציה הנגזרות משוק ההון מתאפיין במתח מובנה: מצד אחד, התדירות </w:t>
      </w:r>
      <w:r w:rsidR="00B36D26">
        <w:rPr>
          <w:rFonts w:cstheme="minorHAnsi" w:hint="cs"/>
          <w:sz w:val="24"/>
          <w:szCs w:val="24"/>
          <w:rtl/>
        </w:rPr>
        <w:t xml:space="preserve">היומית </w:t>
      </w:r>
      <w:r w:rsidRPr="00861259">
        <w:rPr>
          <w:rFonts w:cstheme="minorHAnsi"/>
          <w:sz w:val="24"/>
          <w:szCs w:val="24"/>
          <w:rtl/>
        </w:rPr>
        <w:t xml:space="preserve">הגבוהה של הנתונים, בניגוד לתדירות נמוכה יותר של הציפיות מהמקורות האחרים, מספקת תמונת מצב עדכנית </w:t>
      </w:r>
      <w:proofErr w:type="spellStart"/>
      <w:r w:rsidRPr="00861259">
        <w:rPr>
          <w:rFonts w:cstheme="minorHAnsi"/>
          <w:sz w:val="24"/>
          <w:szCs w:val="24"/>
          <w:rtl/>
        </w:rPr>
        <w:t>ומיידית</w:t>
      </w:r>
      <w:proofErr w:type="spellEnd"/>
      <w:r w:rsidRPr="00861259">
        <w:rPr>
          <w:rFonts w:cstheme="minorHAnsi"/>
          <w:sz w:val="24"/>
          <w:szCs w:val="24"/>
          <w:rtl/>
        </w:rPr>
        <w:t>; מצד שני, כיוון שזה נתון פיננסי הנגזר מה</w:t>
      </w:r>
      <w:r w:rsidR="00B36D26">
        <w:rPr>
          <w:rFonts w:cstheme="minorHAnsi" w:hint="cs"/>
          <w:sz w:val="24"/>
          <w:szCs w:val="24"/>
          <w:rtl/>
        </w:rPr>
        <w:t>מסחר ב</w:t>
      </w:r>
      <w:r w:rsidRPr="00861259">
        <w:rPr>
          <w:rFonts w:cstheme="minorHAnsi"/>
          <w:sz w:val="24"/>
          <w:szCs w:val="24"/>
          <w:rtl/>
        </w:rPr>
        <w:t xml:space="preserve">שוק הוא מושפע גם מגורמים </w:t>
      </w:r>
      <w:r w:rsidRPr="00AD4AD7">
        <w:rPr>
          <w:rFonts w:cstheme="minorHAnsi"/>
          <w:sz w:val="24"/>
          <w:szCs w:val="24"/>
          <w:rtl/>
        </w:rPr>
        <w:t>נוספים</w:t>
      </w:r>
      <w:r w:rsidR="00B36D26" w:rsidRPr="00AD4AD7">
        <w:rPr>
          <w:rFonts w:cstheme="minorHAnsi" w:hint="cs"/>
          <w:sz w:val="24"/>
          <w:szCs w:val="24"/>
          <w:rtl/>
        </w:rPr>
        <w:t xml:space="preserve"> </w:t>
      </w:r>
      <w:r w:rsidR="00B36D26" w:rsidRPr="00AD4AD7">
        <w:rPr>
          <w:rFonts w:cstheme="minorHAnsi" w:hint="eastAsia"/>
          <w:sz w:val="24"/>
          <w:szCs w:val="24"/>
          <w:rtl/>
        </w:rPr>
        <w:t>כגון</w:t>
      </w:r>
      <w:r w:rsidR="00AD4AD7" w:rsidRPr="00845A55">
        <w:rPr>
          <w:rFonts w:cstheme="minorHAnsi"/>
          <w:sz w:val="24"/>
          <w:szCs w:val="24"/>
          <w:rtl/>
        </w:rPr>
        <w:t xml:space="preserve"> פרמיית סיכון האינפלציה ופרמיית נזילות</w:t>
      </w:r>
      <w:r w:rsidRPr="00AD4AD7">
        <w:rPr>
          <w:rFonts w:cstheme="minorHAnsi"/>
          <w:sz w:val="24"/>
          <w:szCs w:val="24"/>
          <w:rtl/>
        </w:rPr>
        <w:t>; לכן</w:t>
      </w:r>
      <w:r w:rsidRPr="00861259">
        <w:rPr>
          <w:rFonts w:cstheme="minorHAnsi"/>
          <w:sz w:val="24"/>
          <w:szCs w:val="24"/>
          <w:rtl/>
        </w:rPr>
        <w:t xml:space="preserve"> לא כל שינוי בציפיות משקף בהכרח עדכון בהערכות השוק לגבי האינפלציה.</w:t>
      </w:r>
    </w:p>
    <w:p w14:paraId="26DA058F" w14:textId="55C45D41" w:rsidR="00270BC1" w:rsidRPr="00330759" w:rsidRDefault="00774A80" w:rsidP="0002698C">
      <w:pPr>
        <w:spacing w:before="240" w:line="360" w:lineRule="auto"/>
        <w:jc w:val="both"/>
        <w:rPr>
          <w:rFonts w:cstheme="minorHAnsi"/>
          <w:sz w:val="24"/>
          <w:szCs w:val="24"/>
          <w:rtl/>
        </w:rPr>
      </w:pPr>
      <w:r w:rsidRPr="00861259">
        <w:rPr>
          <w:rFonts w:cstheme="minorHAnsi"/>
          <w:sz w:val="24"/>
          <w:szCs w:val="24"/>
          <w:rtl/>
        </w:rPr>
        <w:lastRenderedPageBreak/>
        <w:t xml:space="preserve">ניתוח </w:t>
      </w:r>
      <w:r w:rsidR="0017406E" w:rsidRPr="00861259">
        <w:rPr>
          <w:rFonts w:cstheme="minorHAnsi"/>
          <w:sz w:val="24"/>
          <w:szCs w:val="24"/>
          <w:rtl/>
        </w:rPr>
        <w:t xml:space="preserve">חדש </w:t>
      </w:r>
      <w:r w:rsidRPr="00861259">
        <w:rPr>
          <w:rFonts w:cstheme="minorHAnsi"/>
          <w:sz w:val="24"/>
          <w:szCs w:val="24"/>
          <w:rtl/>
        </w:rPr>
        <w:t xml:space="preserve">שערכו </w:t>
      </w:r>
      <w:r w:rsidR="00270BC1" w:rsidRPr="00861259">
        <w:rPr>
          <w:rFonts w:cstheme="minorHAnsi"/>
          <w:sz w:val="24"/>
          <w:szCs w:val="24"/>
          <w:rtl/>
        </w:rPr>
        <w:t>דוד מנחם</w:t>
      </w:r>
      <w:r w:rsidRPr="00861259">
        <w:rPr>
          <w:rFonts w:cstheme="minorHAnsi"/>
          <w:sz w:val="24"/>
          <w:szCs w:val="24"/>
          <w:rtl/>
        </w:rPr>
        <w:t xml:space="preserve"> וארי קוטאי מחטיבת המחקר </w:t>
      </w:r>
      <w:r w:rsidR="00E52DA4">
        <w:rPr>
          <w:rFonts w:cstheme="minorHAnsi" w:hint="cs"/>
          <w:sz w:val="24"/>
          <w:szCs w:val="24"/>
          <w:rtl/>
        </w:rPr>
        <w:t xml:space="preserve">מנתח את </w:t>
      </w:r>
      <w:r w:rsidR="00E52DA4" w:rsidRPr="00861259">
        <w:rPr>
          <w:rFonts w:cstheme="minorHAnsi"/>
          <w:sz w:val="24"/>
          <w:szCs w:val="24"/>
          <w:rtl/>
        </w:rPr>
        <w:t xml:space="preserve">הציפיות לאינפלציה </w:t>
      </w:r>
      <w:r w:rsidR="00B36D26">
        <w:rPr>
          <w:rFonts w:cstheme="minorHAnsi" w:hint="cs"/>
          <w:sz w:val="24"/>
          <w:szCs w:val="24"/>
          <w:rtl/>
        </w:rPr>
        <w:t xml:space="preserve">מהמקורות השונים </w:t>
      </w:r>
      <w:r w:rsidR="00E52DA4" w:rsidRPr="00861259">
        <w:rPr>
          <w:rFonts w:cstheme="minorHAnsi"/>
          <w:sz w:val="24"/>
          <w:szCs w:val="24"/>
          <w:rtl/>
        </w:rPr>
        <w:t xml:space="preserve">בין השנים </w:t>
      </w:r>
      <w:r w:rsidR="00E52DA4" w:rsidRPr="00330759">
        <w:rPr>
          <w:rFonts w:cstheme="minorHAnsi"/>
          <w:sz w:val="24"/>
          <w:szCs w:val="24"/>
          <w:rtl/>
        </w:rPr>
        <w:t xml:space="preserve">2012 – </w:t>
      </w:r>
      <w:r w:rsidR="00E52DA4" w:rsidRPr="00E52DA4">
        <w:rPr>
          <w:rFonts w:cstheme="minorHAnsi"/>
          <w:sz w:val="24"/>
          <w:szCs w:val="24"/>
          <w:rtl/>
        </w:rPr>
        <w:t>2024</w:t>
      </w:r>
      <w:r w:rsidR="00E52DA4" w:rsidRPr="00E52DA4">
        <w:rPr>
          <w:rFonts w:cstheme="minorHAnsi" w:hint="cs"/>
          <w:sz w:val="24"/>
          <w:szCs w:val="24"/>
          <w:rtl/>
        </w:rPr>
        <w:t>,</w:t>
      </w:r>
      <w:r w:rsidR="00E52DA4">
        <w:rPr>
          <w:rFonts w:hint="cs"/>
          <w:rtl/>
        </w:rPr>
        <w:t xml:space="preserve"> </w:t>
      </w:r>
      <w:r w:rsidR="00E52DA4" w:rsidRPr="006039CF">
        <w:rPr>
          <w:rFonts w:cstheme="minorHAnsi" w:hint="cs"/>
          <w:sz w:val="24"/>
          <w:szCs w:val="24"/>
          <w:rtl/>
        </w:rPr>
        <w:t>ו</w:t>
      </w:r>
      <w:r w:rsidR="00270BC1" w:rsidRPr="006039CF">
        <w:rPr>
          <w:rFonts w:cstheme="minorHAnsi"/>
          <w:sz w:val="24"/>
          <w:szCs w:val="24"/>
          <w:rtl/>
        </w:rPr>
        <w:t>בוחן</w:t>
      </w:r>
      <w:r w:rsidR="00270BC1" w:rsidRPr="00330759">
        <w:rPr>
          <w:rFonts w:cstheme="minorHAnsi"/>
          <w:sz w:val="24"/>
          <w:szCs w:val="24"/>
          <w:rtl/>
        </w:rPr>
        <w:t xml:space="preserve"> </w:t>
      </w:r>
      <w:r w:rsidR="00270BC1" w:rsidRPr="00861259">
        <w:rPr>
          <w:rFonts w:cstheme="minorHAnsi"/>
          <w:sz w:val="24"/>
          <w:szCs w:val="24"/>
          <w:rtl/>
        </w:rPr>
        <w:t>אם למרות התנודתיות הגבוהה יותר של הציפיות משוק ההון</w:t>
      </w:r>
      <w:r w:rsidR="00270BC1" w:rsidRPr="00330759">
        <w:rPr>
          <w:rFonts w:cstheme="minorHAnsi"/>
          <w:sz w:val="24"/>
          <w:szCs w:val="24"/>
          <w:rtl/>
        </w:rPr>
        <w:t xml:space="preserve"> </w:t>
      </w:r>
      <w:r w:rsidR="00270BC1" w:rsidRPr="00861259">
        <w:rPr>
          <w:rFonts w:cstheme="minorHAnsi"/>
          <w:sz w:val="24"/>
          <w:szCs w:val="24"/>
          <w:rtl/>
        </w:rPr>
        <w:t xml:space="preserve">יש מקום לייחס להן משקל בהערכת סביבת </w:t>
      </w:r>
      <w:r w:rsidR="003A31BD" w:rsidRPr="00861259">
        <w:rPr>
          <w:rFonts w:cstheme="minorHAnsi"/>
          <w:sz w:val="24"/>
          <w:szCs w:val="24"/>
          <w:rtl/>
        </w:rPr>
        <w:t xml:space="preserve">ציפיות </w:t>
      </w:r>
      <w:r w:rsidR="00270BC1" w:rsidRPr="00861259">
        <w:rPr>
          <w:rFonts w:cstheme="minorHAnsi"/>
          <w:sz w:val="24"/>
          <w:szCs w:val="24"/>
          <w:rtl/>
        </w:rPr>
        <w:t>האינפלציה</w:t>
      </w:r>
      <w:r w:rsidR="00270BC1" w:rsidRPr="00330759">
        <w:rPr>
          <w:rFonts w:cstheme="minorHAnsi"/>
          <w:sz w:val="24"/>
          <w:szCs w:val="24"/>
          <w:rtl/>
        </w:rPr>
        <w:t xml:space="preserve">, </w:t>
      </w:r>
      <w:r w:rsidR="00270BC1" w:rsidRPr="00861259">
        <w:rPr>
          <w:rFonts w:cstheme="minorHAnsi"/>
          <w:sz w:val="24"/>
          <w:szCs w:val="24"/>
          <w:rtl/>
        </w:rPr>
        <w:t>במיוחד כשנרשמת סטייה בינן לבין יתר המקורות</w:t>
      </w:r>
      <w:r w:rsidR="00270BC1" w:rsidRPr="00330759">
        <w:rPr>
          <w:rFonts w:cstheme="minorHAnsi"/>
          <w:sz w:val="24"/>
          <w:szCs w:val="24"/>
          <w:rtl/>
        </w:rPr>
        <w:t>.</w:t>
      </w:r>
      <w:r w:rsidR="0002698C">
        <w:rPr>
          <w:rFonts w:cstheme="minorHAnsi" w:hint="cs"/>
          <w:sz w:val="24"/>
          <w:szCs w:val="24"/>
          <w:rtl/>
        </w:rPr>
        <w:t xml:space="preserve"> הניתוח בוחן אילו מקורות לציפיות לאינפלציה מקדימים מקורות אחרים; ב</w:t>
      </w:r>
      <w:r w:rsidR="00662D35">
        <w:rPr>
          <w:rFonts w:cstheme="minorHAnsi" w:hint="cs"/>
          <w:sz w:val="24"/>
          <w:szCs w:val="24"/>
          <w:rtl/>
        </w:rPr>
        <w:t xml:space="preserve">מונח </w:t>
      </w:r>
      <w:r w:rsidR="0002698C">
        <w:rPr>
          <w:rFonts w:cstheme="minorHAnsi" w:hint="cs"/>
          <w:sz w:val="24"/>
          <w:szCs w:val="24"/>
          <w:rtl/>
        </w:rPr>
        <w:t xml:space="preserve">הקדמה הכוונה היא שמקור מסוים לציפיות לאינפלציה מנבא שינויים במקור אחר </w:t>
      </w:r>
      <w:r w:rsidR="00662D35">
        <w:rPr>
          <w:rFonts w:cstheme="minorHAnsi" w:hint="cs"/>
          <w:sz w:val="24"/>
          <w:szCs w:val="24"/>
          <w:rtl/>
        </w:rPr>
        <w:t>ש</w:t>
      </w:r>
      <w:r w:rsidR="0002698C">
        <w:rPr>
          <w:rFonts w:cstheme="minorHAnsi" w:hint="cs"/>
          <w:sz w:val="24"/>
          <w:szCs w:val="24"/>
          <w:rtl/>
        </w:rPr>
        <w:t>ל</w:t>
      </w:r>
      <w:r w:rsidR="00662D35">
        <w:rPr>
          <w:rFonts w:cstheme="minorHAnsi" w:hint="cs"/>
          <w:sz w:val="24"/>
          <w:szCs w:val="24"/>
          <w:rtl/>
        </w:rPr>
        <w:t xml:space="preserve"> </w:t>
      </w:r>
      <w:r w:rsidR="0002698C">
        <w:rPr>
          <w:rFonts w:cstheme="minorHAnsi" w:hint="cs"/>
          <w:sz w:val="24"/>
          <w:szCs w:val="24"/>
          <w:rtl/>
        </w:rPr>
        <w:t>ציפיות.</w:t>
      </w:r>
      <w:r w:rsidR="00270BC1" w:rsidRPr="00861259">
        <w:rPr>
          <w:rFonts w:cstheme="minorHAnsi"/>
          <w:sz w:val="24"/>
          <w:szCs w:val="24"/>
          <w:rtl/>
        </w:rPr>
        <w:t xml:space="preserve"> אם </w:t>
      </w:r>
      <w:r w:rsidR="00467A2C" w:rsidRPr="00861259">
        <w:rPr>
          <w:rFonts w:cstheme="minorHAnsi"/>
          <w:sz w:val="24"/>
          <w:szCs w:val="24"/>
          <w:rtl/>
        </w:rPr>
        <w:t xml:space="preserve">מתקבל </w:t>
      </w:r>
      <w:r w:rsidR="00270BC1" w:rsidRPr="00861259">
        <w:rPr>
          <w:rFonts w:cstheme="minorHAnsi"/>
          <w:sz w:val="24"/>
          <w:szCs w:val="24"/>
          <w:rtl/>
        </w:rPr>
        <w:t>ששוק ההון מקדים</w:t>
      </w:r>
      <w:r w:rsidR="00270BC1" w:rsidRPr="00330759">
        <w:rPr>
          <w:rFonts w:cstheme="minorHAnsi"/>
          <w:sz w:val="24"/>
          <w:szCs w:val="24"/>
          <w:rtl/>
        </w:rPr>
        <w:t xml:space="preserve">, </w:t>
      </w:r>
      <w:r w:rsidR="00270BC1" w:rsidRPr="00861259">
        <w:rPr>
          <w:rFonts w:cstheme="minorHAnsi"/>
          <w:sz w:val="24"/>
          <w:szCs w:val="24"/>
          <w:rtl/>
        </w:rPr>
        <w:t>בממוצע</w:t>
      </w:r>
      <w:r w:rsidR="00270BC1" w:rsidRPr="00330759">
        <w:rPr>
          <w:rFonts w:cstheme="minorHAnsi"/>
          <w:sz w:val="24"/>
          <w:szCs w:val="24"/>
          <w:rtl/>
        </w:rPr>
        <w:t>,</w:t>
      </w:r>
      <w:r w:rsidR="00270BC1" w:rsidRPr="00861259">
        <w:rPr>
          <w:rFonts w:cstheme="minorHAnsi"/>
          <w:sz w:val="24"/>
          <w:szCs w:val="24"/>
          <w:rtl/>
        </w:rPr>
        <w:t xml:space="preserve"> את יתר המקורות</w:t>
      </w:r>
      <w:r w:rsidR="00270BC1" w:rsidRPr="00330759">
        <w:rPr>
          <w:rFonts w:cstheme="minorHAnsi"/>
          <w:sz w:val="24"/>
          <w:szCs w:val="24"/>
          <w:rtl/>
        </w:rPr>
        <w:t xml:space="preserve">, </w:t>
      </w:r>
      <w:r w:rsidR="00270BC1" w:rsidRPr="00861259">
        <w:rPr>
          <w:rFonts w:cstheme="minorHAnsi"/>
          <w:sz w:val="24"/>
          <w:szCs w:val="24"/>
          <w:rtl/>
        </w:rPr>
        <w:t>יש הצדקה לייחוס משקל משמעותי לאינדיקטור זה</w:t>
      </w:r>
      <w:r w:rsidR="00270BC1" w:rsidRPr="00330759">
        <w:rPr>
          <w:rFonts w:cstheme="minorHAnsi"/>
          <w:sz w:val="24"/>
          <w:szCs w:val="24"/>
          <w:rtl/>
        </w:rPr>
        <w:t xml:space="preserve">. </w:t>
      </w:r>
      <w:r w:rsidR="00270BC1" w:rsidRPr="00861259">
        <w:rPr>
          <w:rFonts w:cstheme="minorHAnsi"/>
          <w:sz w:val="24"/>
          <w:szCs w:val="24"/>
          <w:rtl/>
        </w:rPr>
        <w:t>לעומת זאת</w:t>
      </w:r>
      <w:r w:rsidR="00270BC1" w:rsidRPr="00330759">
        <w:rPr>
          <w:rFonts w:cstheme="minorHAnsi"/>
          <w:sz w:val="24"/>
          <w:szCs w:val="24"/>
          <w:rtl/>
        </w:rPr>
        <w:t xml:space="preserve">, </w:t>
      </w:r>
      <w:r w:rsidR="00270BC1" w:rsidRPr="00861259">
        <w:rPr>
          <w:rFonts w:cstheme="minorHAnsi"/>
          <w:sz w:val="24"/>
          <w:szCs w:val="24"/>
          <w:rtl/>
        </w:rPr>
        <w:t>אם השינויים בציפיות משוק ההון אינם מנבאים שינויים עתידיים בשאר המקורות</w:t>
      </w:r>
      <w:r w:rsidR="00270BC1" w:rsidRPr="00330759">
        <w:rPr>
          <w:rFonts w:cstheme="minorHAnsi"/>
          <w:sz w:val="24"/>
          <w:szCs w:val="24"/>
          <w:rtl/>
        </w:rPr>
        <w:t xml:space="preserve">, </w:t>
      </w:r>
      <w:r w:rsidR="00270BC1" w:rsidRPr="00861259">
        <w:rPr>
          <w:rFonts w:cstheme="minorHAnsi"/>
          <w:sz w:val="24"/>
          <w:szCs w:val="24"/>
          <w:rtl/>
        </w:rPr>
        <w:t>ניתן לטעון כי התנודתיות הגבוהה משקפת בעיקר רעש</w:t>
      </w:r>
      <w:r w:rsidR="00270BC1" w:rsidRPr="00330759">
        <w:rPr>
          <w:rFonts w:cstheme="minorHAnsi"/>
          <w:sz w:val="24"/>
          <w:szCs w:val="24"/>
          <w:rtl/>
        </w:rPr>
        <w:t xml:space="preserve">, </w:t>
      </w:r>
      <w:r w:rsidR="00270BC1" w:rsidRPr="00861259">
        <w:rPr>
          <w:rFonts w:cstheme="minorHAnsi"/>
          <w:sz w:val="24"/>
          <w:szCs w:val="24"/>
          <w:rtl/>
        </w:rPr>
        <w:t>ולא מידע בעל ערך</w:t>
      </w:r>
      <w:r w:rsidR="00270BC1" w:rsidRPr="00330759">
        <w:rPr>
          <w:rFonts w:cstheme="minorHAnsi"/>
          <w:sz w:val="24"/>
          <w:szCs w:val="24"/>
          <w:rtl/>
        </w:rPr>
        <w:t>,</w:t>
      </w:r>
      <w:r w:rsidR="00270BC1" w:rsidRPr="00861259">
        <w:rPr>
          <w:rFonts w:cstheme="minorHAnsi"/>
          <w:sz w:val="24"/>
          <w:szCs w:val="24"/>
          <w:rtl/>
        </w:rPr>
        <w:t xml:space="preserve"> ולכן ראוי לייחס לציפיות אלו משקל נמוך</w:t>
      </w:r>
      <w:r w:rsidR="00270BC1" w:rsidRPr="00330759">
        <w:rPr>
          <w:rFonts w:cstheme="minorHAnsi"/>
          <w:sz w:val="24"/>
          <w:szCs w:val="24"/>
          <w:rtl/>
        </w:rPr>
        <w:t>.</w:t>
      </w:r>
    </w:p>
    <w:p w14:paraId="34F0E282" w14:textId="6C8AF467" w:rsidR="0050140D" w:rsidRPr="00330759" w:rsidRDefault="003D2B9E" w:rsidP="007E44E0">
      <w:pPr>
        <w:spacing w:before="240" w:line="360" w:lineRule="auto"/>
        <w:jc w:val="both"/>
        <w:rPr>
          <w:rFonts w:cstheme="minorHAnsi"/>
          <w:sz w:val="24"/>
          <w:szCs w:val="24"/>
          <w:rtl/>
        </w:rPr>
      </w:pPr>
      <w:r>
        <w:rPr>
          <w:rFonts w:cstheme="minorHAnsi" w:hint="cs"/>
          <w:sz w:val="24"/>
          <w:szCs w:val="24"/>
          <w:rtl/>
        </w:rPr>
        <w:t>הניתוח באמצעות</w:t>
      </w:r>
      <w:r w:rsidR="0050140D" w:rsidRPr="00861259">
        <w:rPr>
          <w:rFonts w:cstheme="minorHAnsi"/>
          <w:sz w:val="24"/>
          <w:szCs w:val="24"/>
          <w:rtl/>
        </w:rPr>
        <w:t xml:space="preserve"> מבחני סיבתיות </w:t>
      </w:r>
      <w:proofErr w:type="spellStart"/>
      <w:r w:rsidR="0050140D" w:rsidRPr="00861259">
        <w:rPr>
          <w:rFonts w:cstheme="minorHAnsi"/>
          <w:sz w:val="24"/>
          <w:szCs w:val="24"/>
          <w:rtl/>
        </w:rPr>
        <w:t>גריינג</w:t>
      </w:r>
      <w:r w:rsidR="0050140D" w:rsidRPr="00330759">
        <w:rPr>
          <w:rFonts w:cstheme="minorHAnsi"/>
          <w:sz w:val="24"/>
          <w:szCs w:val="24"/>
          <w:rtl/>
        </w:rPr>
        <w:t>'</w:t>
      </w:r>
      <w:r w:rsidR="0050140D" w:rsidRPr="00861259">
        <w:rPr>
          <w:rFonts w:cstheme="minorHAnsi"/>
          <w:sz w:val="24"/>
          <w:szCs w:val="24"/>
          <w:rtl/>
        </w:rPr>
        <w:t>ר</w:t>
      </w:r>
      <w:proofErr w:type="spellEnd"/>
      <w:r w:rsidR="0050140D" w:rsidRPr="00861259">
        <w:rPr>
          <w:rFonts w:cstheme="minorHAnsi"/>
          <w:sz w:val="24"/>
          <w:szCs w:val="24"/>
          <w:rtl/>
        </w:rPr>
        <w:t xml:space="preserve"> </w:t>
      </w:r>
      <w:r w:rsidR="0050140D" w:rsidRPr="00330759">
        <w:rPr>
          <w:rFonts w:cstheme="minorHAnsi"/>
          <w:sz w:val="24"/>
          <w:szCs w:val="24"/>
          <w:rtl/>
        </w:rPr>
        <w:t>(</w:t>
      </w:r>
      <w:r w:rsidR="0050140D" w:rsidRPr="00330759">
        <w:rPr>
          <w:rFonts w:cstheme="minorHAnsi"/>
          <w:sz w:val="24"/>
          <w:szCs w:val="24"/>
        </w:rPr>
        <w:t>Granger Causality tests</w:t>
      </w:r>
      <w:r w:rsidR="0050140D" w:rsidRPr="00330759">
        <w:rPr>
          <w:rFonts w:cstheme="minorHAnsi"/>
          <w:sz w:val="24"/>
          <w:szCs w:val="24"/>
          <w:rtl/>
        </w:rPr>
        <w:t>)</w:t>
      </w:r>
      <w:r w:rsidR="0050140D" w:rsidRPr="00861259">
        <w:rPr>
          <w:rFonts w:cstheme="minorHAnsi"/>
          <w:sz w:val="24"/>
          <w:szCs w:val="24"/>
          <w:rtl/>
        </w:rPr>
        <w:t xml:space="preserve"> דו כיווניים מצא </w:t>
      </w:r>
      <w:r>
        <w:rPr>
          <w:rFonts w:cstheme="minorHAnsi" w:hint="cs"/>
          <w:sz w:val="24"/>
          <w:szCs w:val="24"/>
          <w:rtl/>
        </w:rPr>
        <w:t>ש</w:t>
      </w:r>
      <w:r w:rsidR="0050140D" w:rsidRPr="00861259">
        <w:rPr>
          <w:rFonts w:cstheme="minorHAnsi"/>
          <w:sz w:val="24"/>
          <w:szCs w:val="24"/>
          <w:rtl/>
        </w:rPr>
        <w:t xml:space="preserve">הכללת ערכי העבר של ציפיות שוק ההון </w:t>
      </w:r>
      <w:r w:rsidR="006C134C">
        <w:rPr>
          <w:rFonts w:cstheme="minorHAnsi" w:hint="cs"/>
          <w:sz w:val="24"/>
          <w:szCs w:val="24"/>
          <w:rtl/>
        </w:rPr>
        <w:t xml:space="preserve">עוזרת לנבא את </w:t>
      </w:r>
      <w:r w:rsidR="00351B43" w:rsidRPr="00861259">
        <w:rPr>
          <w:rFonts w:cstheme="minorHAnsi"/>
          <w:sz w:val="24"/>
          <w:szCs w:val="24"/>
          <w:rtl/>
        </w:rPr>
        <w:t>ה</w:t>
      </w:r>
      <w:r w:rsidR="00351B43">
        <w:rPr>
          <w:rFonts w:cstheme="minorHAnsi" w:hint="cs"/>
          <w:sz w:val="24"/>
          <w:szCs w:val="24"/>
          <w:rtl/>
        </w:rPr>
        <w:t>ציפיות</w:t>
      </w:r>
      <w:r w:rsidR="00351B43" w:rsidRPr="00861259">
        <w:rPr>
          <w:rFonts w:cstheme="minorHAnsi"/>
          <w:sz w:val="24"/>
          <w:szCs w:val="24"/>
          <w:rtl/>
        </w:rPr>
        <w:t xml:space="preserve"> </w:t>
      </w:r>
      <w:r w:rsidR="0050140D" w:rsidRPr="00861259">
        <w:rPr>
          <w:rFonts w:cstheme="minorHAnsi"/>
          <w:sz w:val="24"/>
          <w:szCs w:val="24"/>
          <w:rtl/>
        </w:rPr>
        <w:t>של כל שאר המקורות</w:t>
      </w:r>
      <w:r>
        <w:rPr>
          <w:rFonts w:cstheme="minorHAnsi" w:hint="cs"/>
          <w:sz w:val="24"/>
          <w:szCs w:val="24"/>
          <w:rtl/>
        </w:rPr>
        <w:t>.</w:t>
      </w:r>
      <w:r w:rsidR="0050140D" w:rsidRPr="00330759">
        <w:rPr>
          <w:rFonts w:cstheme="minorHAnsi"/>
          <w:sz w:val="24"/>
          <w:szCs w:val="24"/>
          <w:rtl/>
        </w:rPr>
        <w:t xml:space="preserve"> </w:t>
      </w:r>
      <w:r>
        <w:rPr>
          <w:rFonts w:cstheme="minorHAnsi" w:hint="cs"/>
          <w:sz w:val="24"/>
          <w:szCs w:val="24"/>
          <w:rtl/>
        </w:rPr>
        <w:t xml:space="preserve">מנגד, </w:t>
      </w:r>
      <w:r w:rsidR="0050140D" w:rsidRPr="00861259">
        <w:rPr>
          <w:rFonts w:cstheme="minorHAnsi"/>
          <w:sz w:val="24"/>
          <w:szCs w:val="24"/>
          <w:rtl/>
        </w:rPr>
        <w:t>הכללת ערכי העבר של שאר המקורות לא תורמת ליכולת החיזוי של ציפיות שוק ההון</w:t>
      </w:r>
      <w:r>
        <w:rPr>
          <w:rFonts w:cstheme="minorHAnsi" w:hint="cs"/>
          <w:sz w:val="24"/>
          <w:szCs w:val="24"/>
          <w:rtl/>
        </w:rPr>
        <w:t xml:space="preserve"> (איור 1).</w:t>
      </w:r>
      <w:r w:rsidR="00E44DE9">
        <w:rPr>
          <w:rFonts w:cstheme="minorHAnsi" w:hint="cs"/>
          <w:sz w:val="24"/>
          <w:szCs w:val="24"/>
          <w:rtl/>
        </w:rPr>
        <w:t xml:space="preserve"> כלומר, הציפיות משוק ההון מקדימות את הציפיות הנגזרות מהמקורות האחרים.</w:t>
      </w:r>
    </w:p>
    <w:p w14:paraId="6A9C82B1" w14:textId="310B5643" w:rsidR="00330759" w:rsidRPr="00861259" w:rsidRDefault="00330759" w:rsidP="00AD4AD7">
      <w:pPr>
        <w:spacing w:after="120" w:line="240" w:lineRule="auto"/>
        <w:jc w:val="center"/>
        <w:rPr>
          <w:sz w:val="24"/>
          <w:szCs w:val="24"/>
          <w:rtl/>
        </w:rPr>
      </w:pPr>
      <w:r w:rsidRPr="00330759">
        <w:rPr>
          <w:rFonts w:cstheme="minorHAnsi"/>
          <w:b/>
          <w:bCs/>
          <w:sz w:val="24"/>
          <w:szCs w:val="24"/>
          <w:rtl/>
        </w:rPr>
        <w:t xml:space="preserve">איור 1: </w:t>
      </w:r>
      <w:r w:rsidR="00AD4AD7">
        <w:rPr>
          <w:rFonts w:cstheme="minorHAnsi" w:hint="cs"/>
          <w:b/>
          <w:bCs/>
          <w:sz w:val="24"/>
          <w:szCs w:val="24"/>
          <w:rtl/>
        </w:rPr>
        <w:t>כושר החיזוי של</w:t>
      </w:r>
      <w:r w:rsidR="00FC34F2">
        <w:rPr>
          <w:rFonts w:cstheme="minorHAnsi" w:hint="cs"/>
          <w:b/>
          <w:bCs/>
          <w:sz w:val="24"/>
          <w:szCs w:val="24"/>
          <w:rtl/>
        </w:rPr>
        <w:t xml:space="preserve"> </w:t>
      </w:r>
      <w:r w:rsidRPr="00330759">
        <w:rPr>
          <w:rFonts w:cstheme="minorHAnsi"/>
          <w:b/>
          <w:bCs/>
          <w:sz w:val="24"/>
          <w:szCs w:val="24"/>
          <w:rtl/>
        </w:rPr>
        <w:t>הציפיות לאינפלציה</w:t>
      </w:r>
      <w:r w:rsidR="00AD4AD7">
        <w:rPr>
          <w:rFonts w:cstheme="minorHAnsi" w:hint="cs"/>
          <w:b/>
          <w:bCs/>
          <w:sz w:val="24"/>
          <w:szCs w:val="24"/>
          <w:rtl/>
        </w:rPr>
        <w:t xml:space="preserve"> ממקורות שונים על בסיס ציפיות העבר</w:t>
      </w:r>
    </w:p>
    <w:tbl>
      <w:tblPr>
        <w:tblStyle w:val="af3"/>
        <w:bidiVisual/>
        <w:tblW w:w="1039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74"/>
        <w:gridCol w:w="5100"/>
        <w:gridCol w:w="25"/>
      </w:tblGrid>
      <w:tr w:rsidR="00C27E7F" w:rsidRPr="00330759" w14:paraId="030E633E" w14:textId="77777777" w:rsidTr="001D2324">
        <w:trPr>
          <w:gridAfter w:val="1"/>
          <w:wAfter w:w="25" w:type="dxa"/>
        </w:trPr>
        <w:tc>
          <w:tcPr>
            <w:tcW w:w="5270" w:type="dxa"/>
            <w:gridSpan w:val="2"/>
          </w:tcPr>
          <w:p w14:paraId="0D8FF6BC" w14:textId="77B18FEB" w:rsidR="00C82AB9" w:rsidRPr="00861259" w:rsidRDefault="00C27E7F" w:rsidP="005B7F79">
            <w:pPr>
              <w:jc w:val="center"/>
              <w:rPr>
                <w:rFonts w:cstheme="minorHAnsi"/>
                <w:b/>
                <w:bCs/>
                <w:sz w:val="24"/>
                <w:szCs w:val="24"/>
                <w:rtl/>
              </w:rPr>
            </w:pPr>
            <w:r w:rsidRPr="00861259">
              <w:rPr>
                <w:rFonts w:cstheme="minorHAnsi"/>
                <w:b/>
                <w:bCs/>
                <w:sz w:val="24"/>
                <w:szCs w:val="24"/>
                <w:rtl/>
              </w:rPr>
              <w:t>פאנל א:</w:t>
            </w:r>
            <w:r w:rsidR="00FC34F2" w:rsidRPr="00861259">
              <w:rPr>
                <w:rFonts w:cstheme="minorHAnsi"/>
                <w:b/>
                <w:bCs/>
                <w:sz w:val="24"/>
                <w:szCs w:val="24"/>
                <w:rtl/>
              </w:rPr>
              <w:t xml:space="preserve"> </w:t>
            </w:r>
            <w:r w:rsidRPr="00861259">
              <w:rPr>
                <w:rFonts w:cstheme="minorHAnsi"/>
                <w:b/>
                <w:bCs/>
                <w:sz w:val="24"/>
                <w:szCs w:val="24"/>
                <w:rtl/>
              </w:rPr>
              <w:t xml:space="preserve">חיזוי </w:t>
            </w:r>
            <w:r w:rsidR="00FC34F2">
              <w:rPr>
                <w:rFonts w:cstheme="minorHAnsi" w:hint="cs"/>
                <w:b/>
                <w:bCs/>
                <w:sz w:val="24"/>
                <w:szCs w:val="24"/>
                <w:rtl/>
              </w:rPr>
              <w:t xml:space="preserve">ציפיות </w:t>
            </w:r>
            <w:r w:rsidRPr="00861259">
              <w:rPr>
                <w:rFonts w:cstheme="minorHAnsi"/>
                <w:b/>
                <w:bCs/>
                <w:sz w:val="24"/>
                <w:szCs w:val="24"/>
                <w:rtl/>
              </w:rPr>
              <w:t>שאר המקורות</w:t>
            </w:r>
            <w:r w:rsidR="009010CE">
              <w:rPr>
                <w:rtl/>
              </w:rPr>
              <w:t xml:space="preserve"> </w:t>
            </w:r>
            <w:r w:rsidR="009010CE" w:rsidRPr="009010CE">
              <w:rPr>
                <w:rFonts w:cs="Calibri"/>
                <w:b/>
                <w:bCs/>
                <w:sz w:val="24"/>
                <w:szCs w:val="24"/>
                <w:rtl/>
              </w:rPr>
              <w:t>– עם ובלי שוק ההון במשתני ההסבר</w:t>
            </w:r>
          </w:p>
        </w:tc>
        <w:tc>
          <w:tcPr>
            <w:tcW w:w="5100" w:type="dxa"/>
          </w:tcPr>
          <w:p w14:paraId="66F93FB8" w14:textId="14E2D6A1" w:rsidR="00C82AB9" w:rsidRPr="00861259" w:rsidRDefault="00C27E7F" w:rsidP="00F36DF9">
            <w:pPr>
              <w:jc w:val="center"/>
              <w:rPr>
                <w:rFonts w:cstheme="minorHAnsi"/>
                <w:b/>
                <w:bCs/>
                <w:sz w:val="24"/>
                <w:szCs w:val="24"/>
                <w:rtl/>
              </w:rPr>
            </w:pPr>
            <w:r w:rsidRPr="00861259">
              <w:rPr>
                <w:rFonts w:cstheme="minorHAnsi"/>
                <w:b/>
                <w:bCs/>
                <w:sz w:val="24"/>
                <w:szCs w:val="24"/>
                <w:rtl/>
              </w:rPr>
              <w:t>פאנל ב: חיזוי ציפיות שוק ההון</w:t>
            </w:r>
            <w:r w:rsidR="009010CE">
              <w:rPr>
                <w:rFonts w:cstheme="minorHAnsi" w:hint="cs"/>
                <w:b/>
                <w:bCs/>
                <w:sz w:val="24"/>
                <w:szCs w:val="24"/>
                <w:rtl/>
              </w:rPr>
              <w:t xml:space="preserve"> </w:t>
            </w:r>
            <w:r w:rsidR="009010CE" w:rsidRPr="009010CE">
              <w:rPr>
                <w:rFonts w:cs="Calibri"/>
                <w:b/>
                <w:bCs/>
                <w:sz w:val="24"/>
                <w:szCs w:val="24"/>
                <w:rtl/>
              </w:rPr>
              <w:t xml:space="preserve">– עם ובלי </w:t>
            </w:r>
            <w:r w:rsidR="009010CE">
              <w:rPr>
                <w:rFonts w:cs="Calibri" w:hint="cs"/>
                <w:b/>
                <w:bCs/>
                <w:sz w:val="24"/>
                <w:szCs w:val="24"/>
                <w:rtl/>
              </w:rPr>
              <w:t>שאר המקורות</w:t>
            </w:r>
            <w:r w:rsidR="009010CE" w:rsidRPr="009010CE">
              <w:rPr>
                <w:rFonts w:cs="Calibri"/>
                <w:b/>
                <w:bCs/>
                <w:sz w:val="24"/>
                <w:szCs w:val="24"/>
                <w:rtl/>
              </w:rPr>
              <w:t xml:space="preserve"> במשתני ההסבר</w:t>
            </w:r>
          </w:p>
        </w:tc>
      </w:tr>
      <w:tr w:rsidR="00C27E7F" w:rsidRPr="00330759" w14:paraId="51C05DF1" w14:textId="77777777" w:rsidTr="001D2324">
        <w:trPr>
          <w:trHeight w:val="3999"/>
        </w:trPr>
        <w:tc>
          <w:tcPr>
            <w:tcW w:w="5196" w:type="dxa"/>
          </w:tcPr>
          <w:p w14:paraId="5A01FC7E" w14:textId="55C54821" w:rsidR="00C82AB9" w:rsidRPr="00861259" w:rsidRDefault="00C82AB9" w:rsidP="00330759">
            <w:pPr>
              <w:jc w:val="both"/>
              <w:rPr>
                <w:rFonts w:cstheme="minorHAnsi"/>
                <w:sz w:val="8"/>
                <w:szCs w:val="8"/>
                <w:rtl/>
              </w:rPr>
            </w:pPr>
            <w:r w:rsidRPr="00861259">
              <w:rPr>
                <w:noProof/>
                <w:sz w:val="8"/>
                <w:szCs w:val="8"/>
              </w:rPr>
              <w:drawing>
                <wp:anchor distT="0" distB="0" distL="114300" distR="114300" simplePos="0" relativeHeight="251662336" behindDoc="1" locked="0" layoutInCell="1" allowOverlap="1" wp14:anchorId="7E65EC2B" wp14:editId="49073BFC">
                  <wp:simplePos x="0" y="0"/>
                  <wp:positionH relativeFrom="column">
                    <wp:posOffset>-42545</wp:posOffset>
                  </wp:positionH>
                  <wp:positionV relativeFrom="paragraph">
                    <wp:posOffset>27509</wp:posOffset>
                  </wp:positionV>
                  <wp:extent cx="3152775" cy="2527300"/>
                  <wp:effectExtent l="0" t="0" r="0" b="6350"/>
                  <wp:wrapTight wrapText="bothSides">
                    <wp:wrapPolygon edited="0">
                      <wp:start x="0" y="0"/>
                      <wp:lineTo x="0" y="21491"/>
                      <wp:lineTo x="21404" y="21491"/>
                      <wp:lineTo x="21404" y="0"/>
                      <wp:lineTo x="0" y="0"/>
                    </wp:wrapPolygon>
                  </wp:wrapTight>
                  <wp:docPr id="8" name="תרשים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tc>
        <w:tc>
          <w:tcPr>
            <w:tcW w:w="5199" w:type="dxa"/>
            <w:gridSpan w:val="3"/>
          </w:tcPr>
          <w:p w14:paraId="194045BF" w14:textId="42BEE0B0" w:rsidR="00C82AB9" w:rsidRPr="00861259" w:rsidRDefault="00C82AB9" w:rsidP="00330759">
            <w:pPr>
              <w:jc w:val="both"/>
              <w:rPr>
                <w:rFonts w:cstheme="minorHAnsi"/>
                <w:sz w:val="8"/>
                <w:szCs w:val="8"/>
                <w:rtl/>
              </w:rPr>
            </w:pPr>
            <w:r w:rsidRPr="00861259">
              <w:rPr>
                <w:noProof/>
                <w:sz w:val="8"/>
                <w:szCs w:val="8"/>
              </w:rPr>
              <w:drawing>
                <wp:anchor distT="0" distB="0" distL="114300" distR="114300" simplePos="0" relativeHeight="251663360" behindDoc="1" locked="0" layoutInCell="1" allowOverlap="1" wp14:anchorId="58C2B5FC" wp14:editId="49C5EC4E">
                  <wp:simplePos x="0" y="0"/>
                  <wp:positionH relativeFrom="column">
                    <wp:posOffset>17067</wp:posOffset>
                  </wp:positionH>
                  <wp:positionV relativeFrom="paragraph">
                    <wp:posOffset>30336</wp:posOffset>
                  </wp:positionV>
                  <wp:extent cx="3139440" cy="2527300"/>
                  <wp:effectExtent l="0" t="0" r="3810" b="6350"/>
                  <wp:wrapTight wrapText="bothSides">
                    <wp:wrapPolygon edited="0">
                      <wp:start x="0" y="0"/>
                      <wp:lineTo x="0" y="21491"/>
                      <wp:lineTo x="21495" y="21491"/>
                      <wp:lineTo x="21495" y="0"/>
                      <wp:lineTo x="0" y="0"/>
                    </wp:wrapPolygon>
                  </wp:wrapTight>
                  <wp:docPr id="9" name="תרשים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tc>
      </w:tr>
      <w:tr w:rsidR="00330759" w:rsidRPr="00330759" w14:paraId="75B8F369" w14:textId="77777777" w:rsidTr="001D2324">
        <w:trPr>
          <w:gridAfter w:val="1"/>
          <w:wAfter w:w="25" w:type="dxa"/>
          <w:trHeight w:val="315"/>
        </w:trPr>
        <w:tc>
          <w:tcPr>
            <w:tcW w:w="10370" w:type="dxa"/>
            <w:gridSpan w:val="3"/>
          </w:tcPr>
          <w:p w14:paraId="2365068C" w14:textId="2FBEA1CC" w:rsidR="00330759" w:rsidRPr="00CB24F0" w:rsidRDefault="00F32389" w:rsidP="00330759">
            <w:pPr>
              <w:spacing w:line="360" w:lineRule="auto"/>
              <w:jc w:val="center"/>
              <w:rPr>
                <w:noProof/>
              </w:rPr>
            </w:pPr>
            <w:r w:rsidRPr="00CB24F0">
              <w:rPr>
                <w:rFonts w:cs="Arial"/>
                <w:noProof/>
                <w:rtl/>
              </w:rPr>
              <w:drawing>
                <wp:anchor distT="0" distB="0" distL="114300" distR="114300" simplePos="0" relativeHeight="251667456" behindDoc="1" locked="0" layoutInCell="1" allowOverlap="1" wp14:anchorId="3FC1D79C" wp14:editId="0830C74A">
                  <wp:simplePos x="0" y="0"/>
                  <wp:positionH relativeFrom="margin">
                    <wp:align>center</wp:align>
                  </wp:positionH>
                  <wp:positionV relativeFrom="paragraph">
                    <wp:posOffset>0</wp:posOffset>
                  </wp:positionV>
                  <wp:extent cx="1630680" cy="224790"/>
                  <wp:effectExtent l="0" t="0" r="7620" b="3810"/>
                  <wp:wrapTight wrapText="bothSides">
                    <wp:wrapPolygon edited="0">
                      <wp:start x="0" y="0"/>
                      <wp:lineTo x="0" y="20136"/>
                      <wp:lineTo x="21449" y="20136"/>
                      <wp:lineTo x="21449" y="0"/>
                      <wp:lineTo x="0" y="0"/>
                    </wp:wrapPolygon>
                  </wp:wrapTight>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30680" cy="224790"/>
                          </a:xfrm>
                          <a:prstGeom prst="rect">
                            <a:avLst/>
                          </a:prstGeom>
                        </pic:spPr>
                      </pic:pic>
                    </a:graphicData>
                  </a:graphic>
                  <wp14:sizeRelH relativeFrom="margin">
                    <wp14:pctWidth>0</wp14:pctWidth>
                  </wp14:sizeRelH>
                  <wp14:sizeRelV relativeFrom="margin">
                    <wp14:pctHeight>0</wp14:pctHeight>
                  </wp14:sizeRelV>
                </wp:anchor>
              </w:drawing>
            </w:r>
          </w:p>
        </w:tc>
      </w:tr>
    </w:tbl>
    <w:p w14:paraId="43150F41" w14:textId="77777777" w:rsidR="005B7F79" w:rsidRDefault="00330759" w:rsidP="00F36DF9">
      <w:pPr>
        <w:spacing w:after="0" w:line="240" w:lineRule="auto"/>
        <w:jc w:val="both"/>
        <w:rPr>
          <w:rFonts w:cstheme="minorHAnsi"/>
          <w:b/>
          <w:bCs/>
          <w:rtl/>
        </w:rPr>
      </w:pPr>
      <w:r w:rsidRPr="00FC34F2">
        <w:rPr>
          <w:rFonts w:cstheme="minorHAnsi" w:hint="cs"/>
          <w:b/>
          <w:bCs/>
          <w:rtl/>
        </w:rPr>
        <w:t>הערות:</w:t>
      </w:r>
      <w:r w:rsidR="00861259" w:rsidRPr="00FC34F2">
        <w:rPr>
          <w:rFonts w:cstheme="minorHAnsi" w:hint="cs"/>
          <w:rtl/>
        </w:rPr>
        <w:t xml:space="preserve"> האיור</w:t>
      </w:r>
      <w:r w:rsidR="00FC34F2" w:rsidRPr="00FC34F2">
        <w:rPr>
          <w:rFonts w:cstheme="minorHAnsi" w:hint="cs"/>
          <w:rtl/>
        </w:rPr>
        <w:t>ים</w:t>
      </w:r>
      <w:r w:rsidR="00861259" w:rsidRPr="00FC34F2">
        <w:rPr>
          <w:rFonts w:cstheme="minorHAnsi"/>
          <w:rtl/>
        </w:rPr>
        <w:t xml:space="preserve"> </w:t>
      </w:r>
      <w:r w:rsidR="00861259" w:rsidRPr="00FC34F2">
        <w:rPr>
          <w:rFonts w:cstheme="minorHAnsi" w:hint="cs"/>
          <w:rtl/>
        </w:rPr>
        <w:t>מציג</w:t>
      </w:r>
      <w:r w:rsidR="00FC34F2" w:rsidRPr="00FC34F2">
        <w:rPr>
          <w:rFonts w:cstheme="minorHAnsi" w:hint="cs"/>
          <w:rtl/>
        </w:rPr>
        <w:t>ים</w:t>
      </w:r>
      <w:r w:rsidR="00861259" w:rsidRPr="00FC34F2">
        <w:rPr>
          <w:rFonts w:cstheme="minorHAnsi"/>
          <w:rtl/>
        </w:rPr>
        <w:t xml:space="preserve"> </w:t>
      </w:r>
      <w:r w:rsidR="00861259" w:rsidRPr="00FC34F2">
        <w:rPr>
          <w:rFonts w:cstheme="minorHAnsi" w:hint="cs"/>
          <w:rtl/>
        </w:rPr>
        <w:t>את</w:t>
      </w:r>
      <w:r w:rsidR="00861259" w:rsidRPr="00FC34F2">
        <w:rPr>
          <w:rFonts w:cstheme="minorHAnsi"/>
          <w:rtl/>
        </w:rPr>
        <w:t xml:space="preserve"> </w:t>
      </w:r>
      <w:r w:rsidR="00FC34F2" w:rsidRPr="00FC34F2">
        <w:rPr>
          <w:rFonts w:cstheme="minorHAnsi" w:hint="cs"/>
          <w:rtl/>
        </w:rPr>
        <w:t>שיעורי ההסבר (ערכי</w:t>
      </w:r>
      <w:r w:rsidR="00FC34F2" w:rsidRPr="00FC34F2">
        <w:rPr>
          <w:rFonts w:cstheme="minorHAnsi"/>
          <w:rtl/>
        </w:rPr>
        <w:t xml:space="preserve"> </w:t>
      </w:r>
      <w:r w:rsidR="00FC34F2" w:rsidRPr="00FC34F2">
        <w:rPr>
          <w:rFonts w:cstheme="minorHAnsi" w:hint="cs"/>
          <w:rtl/>
        </w:rPr>
        <w:t>ה-</w:t>
      </w:r>
      <w:r w:rsidR="00FC34F2" w:rsidRPr="00FC34F2">
        <w:rPr>
          <w:rFonts w:cstheme="minorHAnsi"/>
        </w:rPr>
        <w:t>R2</w:t>
      </w:r>
      <w:r w:rsidR="00FC34F2" w:rsidRPr="00FC34F2">
        <w:rPr>
          <w:rFonts w:cstheme="minorHAnsi" w:hint="cs"/>
          <w:rtl/>
        </w:rPr>
        <w:t xml:space="preserve">) של המודל המלא והחלקי </w:t>
      </w:r>
      <w:r w:rsidR="00861259" w:rsidRPr="00FC34F2">
        <w:rPr>
          <w:rFonts w:cstheme="minorHAnsi" w:hint="cs"/>
          <w:rtl/>
        </w:rPr>
        <w:t>בחיזוי</w:t>
      </w:r>
      <w:r w:rsidR="00861259" w:rsidRPr="00FC34F2">
        <w:rPr>
          <w:rFonts w:cstheme="minorHAnsi"/>
          <w:rtl/>
        </w:rPr>
        <w:t xml:space="preserve"> </w:t>
      </w:r>
      <w:r w:rsidR="00CB24F0" w:rsidRPr="00FC34F2">
        <w:rPr>
          <w:rFonts w:cstheme="minorHAnsi" w:hint="cs"/>
          <w:rtl/>
        </w:rPr>
        <w:t>השינוי החודשי ב</w:t>
      </w:r>
      <w:r w:rsidR="00861259" w:rsidRPr="00FC34F2">
        <w:rPr>
          <w:rFonts w:cstheme="minorHAnsi" w:hint="cs"/>
          <w:rtl/>
        </w:rPr>
        <w:t>ציפיות</w:t>
      </w:r>
      <w:r w:rsidR="00861259" w:rsidRPr="00FC34F2">
        <w:rPr>
          <w:rFonts w:cstheme="minorHAnsi"/>
          <w:rtl/>
        </w:rPr>
        <w:t xml:space="preserve"> </w:t>
      </w:r>
      <w:r w:rsidR="00861259" w:rsidRPr="00FC34F2">
        <w:rPr>
          <w:rFonts w:cstheme="minorHAnsi" w:hint="cs"/>
          <w:rtl/>
        </w:rPr>
        <w:t>לאינפלציה</w:t>
      </w:r>
      <w:r w:rsidR="00861259" w:rsidRPr="00FC34F2">
        <w:rPr>
          <w:rFonts w:cstheme="minorHAnsi"/>
          <w:rtl/>
        </w:rPr>
        <w:t>.</w:t>
      </w:r>
      <w:r w:rsidR="00FC34F2" w:rsidRPr="00FC34F2">
        <w:rPr>
          <w:rFonts w:cstheme="minorHAnsi" w:hint="cs"/>
          <w:rtl/>
        </w:rPr>
        <w:t xml:space="preserve"> </w:t>
      </w:r>
      <w:r w:rsidR="00F36DF9">
        <w:rPr>
          <w:rFonts w:cstheme="minorHAnsi" w:hint="cs"/>
          <w:b/>
          <w:bCs/>
          <w:rtl/>
        </w:rPr>
        <w:t xml:space="preserve">מודל חלקי </w:t>
      </w:r>
      <w:r w:rsidR="00F36DF9" w:rsidRPr="005B7F79">
        <w:rPr>
          <w:rFonts w:cstheme="minorHAnsi"/>
          <w:b/>
          <w:bCs/>
          <w:rtl/>
        </w:rPr>
        <w:t xml:space="preserve">– </w:t>
      </w:r>
      <w:r w:rsidR="00F36DF9" w:rsidRPr="005B7F79">
        <w:rPr>
          <w:rFonts w:cstheme="minorHAnsi" w:hint="eastAsia"/>
          <w:rtl/>
        </w:rPr>
        <w:t>כולל</w:t>
      </w:r>
      <w:r w:rsidR="00F36DF9" w:rsidRPr="005B7F79">
        <w:rPr>
          <w:rFonts w:cstheme="minorHAnsi"/>
          <w:rtl/>
        </w:rPr>
        <w:t xml:space="preserve"> </w:t>
      </w:r>
      <w:r w:rsidR="00F36DF9" w:rsidRPr="005B7F79">
        <w:rPr>
          <w:rFonts w:cstheme="minorHAnsi" w:hint="eastAsia"/>
          <w:rtl/>
        </w:rPr>
        <w:t>במשתני</w:t>
      </w:r>
      <w:r w:rsidR="00F36DF9" w:rsidRPr="005B7F79">
        <w:rPr>
          <w:rFonts w:cstheme="minorHAnsi"/>
          <w:rtl/>
        </w:rPr>
        <w:t xml:space="preserve"> </w:t>
      </w:r>
      <w:r w:rsidR="00F36DF9" w:rsidRPr="005B7F79">
        <w:rPr>
          <w:rFonts w:cstheme="minorHAnsi" w:hint="eastAsia"/>
          <w:rtl/>
        </w:rPr>
        <w:t>ההסבר</w:t>
      </w:r>
      <w:r w:rsidR="00F36DF9" w:rsidRPr="005B7F79">
        <w:rPr>
          <w:rFonts w:cstheme="minorHAnsi"/>
          <w:rtl/>
        </w:rPr>
        <w:t xml:space="preserve"> </w:t>
      </w:r>
      <w:r w:rsidR="00F36DF9" w:rsidRPr="005B7F79">
        <w:rPr>
          <w:rFonts w:cstheme="minorHAnsi" w:hint="eastAsia"/>
          <w:rtl/>
        </w:rPr>
        <w:t>רק</w:t>
      </w:r>
      <w:r w:rsidR="00F36DF9" w:rsidRPr="005B7F79">
        <w:rPr>
          <w:rFonts w:cstheme="minorHAnsi"/>
          <w:rtl/>
        </w:rPr>
        <w:t xml:space="preserve"> </w:t>
      </w:r>
      <w:r w:rsidR="00F36DF9" w:rsidRPr="005B7F79">
        <w:rPr>
          <w:rFonts w:cstheme="minorHAnsi" w:hint="eastAsia"/>
          <w:rtl/>
        </w:rPr>
        <w:t>את</w:t>
      </w:r>
      <w:r w:rsidR="00F36DF9" w:rsidRPr="005B7F79">
        <w:rPr>
          <w:rFonts w:cstheme="minorHAnsi"/>
          <w:rtl/>
        </w:rPr>
        <w:t xml:space="preserve"> </w:t>
      </w:r>
      <w:r w:rsidR="00F36DF9" w:rsidRPr="005B7F79">
        <w:rPr>
          <w:rFonts w:cstheme="minorHAnsi" w:hint="eastAsia"/>
          <w:rtl/>
        </w:rPr>
        <w:t>פיגורי</w:t>
      </w:r>
      <w:r w:rsidR="00F36DF9" w:rsidRPr="005B7F79">
        <w:rPr>
          <w:rFonts w:cstheme="minorHAnsi"/>
          <w:rtl/>
        </w:rPr>
        <w:t xml:space="preserve"> </w:t>
      </w:r>
      <w:r w:rsidR="00F36DF9" w:rsidRPr="005B7F79">
        <w:rPr>
          <w:rFonts w:cstheme="minorHAnsi" w:hint="eastAsia"/>
          <w:rtl/>
        </w:rPr>
        <w:t>המקור</w:t>
      </w:r>
      <w:r w:rsidR="00F36DF9" w:rsidRPr="005B7F79">
        <w:rPr>
          <w:rFonts w:cstheme="minorHAnsi"/>
          <w:rtl/>
        </w:rPr>
        <w:t xml:space="preserve"> </w:t>
      </w:r>
      <w:r w:rsidR="00F36DF9" w:rsidRPr="005B7F79">
        <w:rPr>
          <w:rFonts w:cstheme="minorHAnsi" w:hint="eastAsia"/>
          <w:rtl/>
        </w:rPr>
        <w:t>הציפיות</w:t>
      </w:r>
      <w:r w:rsidR="00F36DF9" w:rsidRPr="005B7F79">
        <w:rPr>
          <w:rFonts w:cstheme="minorHAnsi"/>
          <w:rtl/>
        </w:rPr>
        <w:t xml:space="preserve"> </w:t>
      </w:r>
      <w:r w:rsidR="00F36DF9" w:rsidRPr="005B7F79">
        <w:rPr>
          <w:rFonts w:cstheme="minorHAnsi" w:hint="eastAsia"/>
          <w:rtl/>
        </w:rPr>
        <w:t>אותו</w:t>
      </w:r>
      <w:r w:rsidR="00F36DF9" w:rsidRPr="005B7F79">
        <w:rPr>
          <w:rFonts w:cstheme="minorHAnsi"/>
          <w:rtl/>
        </w:rPr>
        <w:t xml:space="preserve"> </w:t>
      </w:r>
      <w:r w:rsidR="00F36DF9" w:rsidRPr="005B7F79">
        <w:rPr>
          <w:rFonts w:cstheme="minorHAnsi" w:hint="eastAsia"/>
          <w:rtl/>
        </w:rPr>
        <w:t>חוזים</w:t>
      </w:r>
      <w:r w:rsidR="00F36DF9">
        <w:rPr>
          <w:rFonts w:hint="cs"/>
          <w:rtl/>
        </w:rPr>
        <w:t xml:space="preserve">. </w:t>
      </w:r>
      <w:r w:rsidR="00F36DF9">
        <w:rPr>
          <w:rFonts w:cstheme="minorHAnsi" w:hint="cs"/>
          <w:b/>
          <w:bCs/>
          <w:rtl/>
        </w:rPr>
        <w:t xml:space="preserve">מודל מלא </w:t>
      </w:r>
      <w:r w:rsidR="00F36DF9" w:rsidRPr="006317B6">
        <w:rPr>
          <w:rFonts w:cstheme="minorHAnsi"/>
          <w:b/>
          <w:bCs/>
          <w:rtl/>
        </w:rPr>
        <w:t>–</w:t>
      </w:r>
      <w:r w:rsidR="005B7F79">
        <w:rPr>
          <w:rFonts w:cstheme="minorHAnsi" w:hint="cs"/>
          <w:b/>
          <w:bCs/>
          <w:rtl/>
        </w:rPr>
        <w:t xml:space="preserve"> </w:t>
      </w:r>
      <w:r w:rsidR="00F36DF9" w:rsidRPr="006317B6">
        <w:rPr>
          <w:rFonts w:cstheme="minorHAnsi" w:hint="cs"/>
          <w:rtl/>
        </w:rPr>
        <w:t>כולל ב</w:t>
      </w:r>
      <w:r w:rsidR="0015421A">
        <w:rPr>
          <w:rFonts w:cstheme="minorHAnsi" w:hint="cs"/>
          <w:rtl/>
        </w:rPr>
        <w:t>נוסף גם פיגורים של מקור אחר</w:t>
      </w:r>
      <w:r w:rsidR="00F36DF9">
        <w:rPr>
          <w:rFonts w:hint="cs"/>
          <w:rtl/>
        </w:rPr>
        <w:t>.</w:t>
      </w:r>
      <w:r w:rsidR="0015421A">
        <w:rPr>
          <w:rFonts w:hint="cs"/>
          <w:rtl/>
        </w:rPr>
        <w:t xml:space="preserve"> </w:t>
      </w:r>
      <w:r w:rsidR="00FC34F2" w:rsidRPr="00FC34F2">
        <w:rPr>
          <w:rFonts w:cstheme="minorHAnsi" w:hint="cs"/>
          <w:rtl/>
        </w:rPr>
        <w:t xml:space="preserve">פאנל א' מציג את שיעורי ההסבר לחיזוי הציפיות לאינפלציה של שאר המקורות. פאנל ב' מציג את שיעורי ההסבר לחזוי ציפיות שוק </w:t>
      </w:r>
      <w:r w:rsidR="005B7F79" w:rsidRPr="00FC34F2">
        <w:rPr>
          <w:rFonts w:cstheme="minorHAnsi" w:hint="cs"/>
          <w:rtl/>
        </w:rPr>
        <w:t>ההון.</w:t>
      </w:r>
    </w:p>
    <w:p w14:paraId="75E64867" w14:textId="19F6FADF" w:rsidR="00E11DE5" w:rsidRDefault="005B7F79" w:rsidP="00F36DF9">
      <w:pPr>
        <w:spacing w:after="0" w:line="240" w:lineRule="auto"/>
        <w:jc w:val="both"/>
        <w:rPr>
          <w:rFonts w:cstheme="minorHAnsi"/>
          <w:rtl/>
        </w:rPr>
      </w:pPr>
      <w:r w:rsidRPr="00FC34F2">
        <w:rPr>
          <w:rFonts w:cstheme="minorHAnsi" w:hint="cs"/>
          <w:b/>
          <w:bCs/>
          <w:rtl/>
        </w:rPr>
        <w:t>מק</w:t>
      </w:r>
      <w:r w:rsidRPr="00FC34F2">
        <w:rPr>
          <w:rFonts w:cstheme="minorHAnsi" w:hint="eastAsia"/>
          <w:b/>
          <w:bCs/>
          <w:rtl/>
        </w:rPr>
        <w:t>ור</w:t>
      </w:r>
      <w:r w:rsidR="00FC34F2" w:rsidRPr="00FC34F2">
        <w:rPr>
          <w:rFonts w:cstheme="minorHAnsi" w:hint="cs"/>
          <w:b/>
          <w:bCs/>
          <w:rtl/>
        </w:rPr>
        <w:t>:</w:t>
      </w:r>
      <w:r w:rsidR="00F36DF9">
        <w:rPr>
          <w:rFonts w:cstheme="minorHAnsi" w:hint="cs"/>
          <w:rtl/>
        </w:rPr>
        <w:t xml:space="preserve"> נתונים ועיבודים של בנק ישראל</w:t>
      </w:r>
    </w:p>
    <w:p w14:paraId="40D9DC98" w14:textId="3E03A4FD" w:rsidR="00080CB5" w:rsidRPr="00330759" w:rsidRDefault="00080CB5" w:rsidP="00080CB5">
      <w:pPr>
        <w:spacing w:before="240" w:line="360" w:lineRule="auto"/>
        <w:jc w:val="both"/>
        <w:rPr>
          <w:rFonts w:cstheme="minorHAnsi"/>
          <w:sz w:val="24"/>
          <w:szCs w:val="24"/>
          <w:rtl/>
        </w:rPr>
      </w:pPr>
      <w:r w:rsidRPr="00861259">
        <w:rPr>
          <w:rFonts w:cstheme="minorHAnsi"/>
          <w:sz w:val="24"/>
          <w:szCs w:val="24"/>
          <w:rtl/>
        </w:rPr>
        <w:lastRenderedPageBreak/>
        <w:t>במבחן נוסף נבחנו יחסי ההקדמה במדגמים בהם כל המקורות עדכנו את תחזיותיהם באותו המועד</w:t>
      </w:r>
      <w:r w:rsidRPr="00330759">
        <w:rPr>
          <w:rFonts w:cstheme="minorHAnsi"/>
          <w:sz w:val="24"/>
          <w:szCs w:val="24"/>
          <w:rtl/>
        </w:rPr>
        <w:t xml:space="preserve">, </w:t>
      </w:r>
      <w:r w:rsidRPr="00861259">
        <w:rPr>
          <w:rFonts w:cstheme="minorHAnsi"/>
          <w:sz w:val="24"/>
          <w:szCs w:val="24"/>
          <w:rtl/>
        </w:rPr>
        <w:t>זאת כדי לנטרל את השפעת תדירות העדכון השונה בין המקורות השונים</w:t>
      </w:r>
      <w:r w:rsidRPr="00330759">
        <w:rPr>
          <w:rFonts w:cstheme="minorHAnsi"/>
          <w:sz w:val="24"/>
          <w:szCs w:val="24"/>
          <w:rtl/>
        </w:rPr>
        <w:t xml:space="preserve">. </w:t>
      </w:r>
      <w:r w:rsidRPr="00861259">
        <w:rPr>
          <w:rFonts w:cstheme="minorHAnsi"/>
          <w:sz w:val="24"/>
          <w:szCs w:val="24"/>
          <w:rtl/>
        </w:rPr>
        <w:t>גם במבחן זה נמצא שציפיות שוק ההון מקדימות את תחזיות שאר המקורות</w:t>
      </w:r>
      <w:r w:rsidRPr="00330759">
        <w:rPr>
          <w:rFonts w:cstheme="minorHAnsi"/>
          <w:sz w:val="24"/>
          <w:szCs w:val="24"/>
          <w:rtl/>
        </w:rPr>
        <w:t xml:space="preserve">. </w:t>
      </w:r>
      <w:r w:rsidRPr="00861259">
        <w:rPr>
          <w:rFonts w:cstheme="minorHAnsi"/>
          <w:sz w:val="24"/>
          <w:szCs w:val="24"/>
          <w:rtl/>
        </w:rPr>
        <w:t>מבחנים נוספים בחנו את יחסי ההקדמה כאשר שולטים בהשפעתו של אופק התחזית השונה בין המקורות השונים</w:t>
      </w:r>
      <w:r w:rsidRPr="00330759">
        <w:rPr>
          <w:rFonts w:cstheme="minorHAnsi"/>
          <w:sz w:val="24"/>
          <w:szCs w:val="24"/>
          <w:rtl/>
        </w:rPr>
        <w:t xml:space="preserve">. </w:t>
      </w:r>
      <w:r w:rsidRPr="00861259">
        <w:rPr>
          <w:rFonts w:cstheme="minorHAnsi"/>
          <w:sz w:val="24"/>
          <w:szCs w:val="24"/>
          <w:rtl/>
        </w:rPr>
        <w:t>ביחס לחזאים המקצועיים נמצא כי שוק ההון ממשיך להקדים גם במבחנים אלה</w:t>
      </w:r>
      <w:r w:rsidRPr="00330759">
        <w:rPr>
          <w:rFonts w:cstheme="minorHAnsi"/>
          <w:sz w:val="24"/>
          <w:szCs w:val="24"/>
          <w:rtl/>
        </w:rPr>
        <w:t xml:space="preserve">, </w:t>
      </w:r>
      <w:r w:rsidRPr="00861259">
        <w:rPr>
          <w:rFonts w:cstheme="minorHAnsi"/>
          <w:sz w:val="24"/>
          <w:szCs w:val="24"/>
          <w:rtl/>
        </w:rPr>
        <w:t>אולם ביחס ליתר המקורות הממצאים אינם חד משמעיים</w:t>
      </w:r>
      <w:r w:rsidRPr="00330759">
        <w:rPr>
          <w:rFonts w:cstheme="minorHAnsi"/>
          <w:sz w:val="24"/>
          <w:szCs w:val="24"/>
          <w:rtl/>
        </w:rPr>
        <w:t>.</w:t>
      </w:r>
    </w:p>
    <w:p w14:paraId="09611A0B" w14:textId="2ED88B60" w:rsidR="00080CB5" w:rsidRPr="00080CB5" w:rsidRDefault="00080CB5" w:rsidP="00C61BB9">
      <w:pPr>
        <w:spacing w:before="240" w:line="360" w:lineRule="auto"/>
        <w:jc w:val="both"/>
        <w:rPr>
          <w:rFonts w:cstheme="minorHAnsi"/>
          <w:sz w:val="24"/>
          <w:szCs w:val="24"/>
          <w:rtl/>
        </w:rPr>
      </w:pPr>
      <w:r w:rsidRPr="00861259">
        <w:rPr>
          <w:rFonts w:cstheme="minorHAnsi"/>
          <w:sz w:val="24"/>
          <w:szCs w:val="24"/>
          <w:rtl/>
        </w:rPr>
        <w:t xml:space="preserve">ממצאי הניתוח מדגישים את החשיבות של המעקב אחר הציפיות משוק ההון ושל ניטורן השוטף. הממצא שלפיו שוק ההון </w:t>
      </w:r>
      <w:r w:rsidR="00C61BB9" w:rsidRPr="00C61BB9">
        <w:rPr>
          <w:rFonts w:cs="Calibri"/>
          <w:sz w:val="24"/>
          <w:szCs w:val="24"/>
          <w:rtl/>
        </w:rPr>
        <w:t>מקדי</w:t>
      </w:r>
      <w:r w:rsidR="00C61BB9">
        <w:rPr>
          <w:rFonts w:cs="Calibri" w:hint="cs"/>
          <w:sz w:val="24"/>
          <w:szCs w:val="24"/>
          <w:rtl/>
        </w:rPr>
        <w:t>ם</w:t>
      </w:r>
      <w:r w:rsidR="00C61BB9" w:rsidRPr="00C61BB9">
        <w:rPr>
          <w:rFonts w:cs="Calibri"/>
          <w:sz w:val="24"/>
          <w:szCs w:val="24"/>
          <w:rtl/>
        </w:rPr>
        <w:t xml:space="preserve"> את השינויים במקורות האחרים</w:t>
      </w:r>
      <w:r w:rsidR="00C61BB9">
        <w:rPr>
          <w:rFonts w:cstheme="minorHAnsi" w:hint="cs"/>
          <w:sz w:val="24"/>
          <w:szCs w:val="24"/>
          <w:rtl/>
        </w:rPr>
        <w:t xml:space="preserve"> </w:t>
      </w:r>
      <w:r w:rsidRPr="00861259">
        <w:rPr>
          <w:rFonts w:cstheme="minorHAnsi"/>
          <w:sz w:val="24"/>
          <w:szCs w:val="24"/>
          <w:rtl/>
        </w:rPr>
        <w:t>מחזק את ההכרה בערך המוסף של נתונים אלו עבור מקבלי ההחלטות, על אף תנודתיותם הגבוהה.</w:t>
      </w:r>
    </w:p>
    <w:sectPr w:rsidR="00080CB5" w:rsidRPr="00080CB5" w:rsidSect="00146100">
      <w:footerReference w:type="first" r:id="rId13"/>
      <w:pgSz w:w="11906" w:h="16838"/>
      <w:pgMar w:top="1276" w:right="1080" w:bottom="2127" w:left="108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BBD1E9" w14:textId="77777777" w:rsidR="004A3474" w:rsidRDefault="004A3474" w:rsidP="008755E3">
      <w:pPr>
        <w:spacing w:after="0" w:line="240" w:lineRule="auto"/>
      </w:pPr>
      <w:r>
        <w:separator/>
      </w:r>
    </w:p>
  </w:endnote>
  <w:endnote w:type="continuationSeparator" w:id="0">
    <w:p w14:paraId="565DD0E0" w14:textId="77777777" w:rsidR="004A3474" w:rsidRDefault="004A3474" w:rsidP="00875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32D25" w14:textId="77777777" w:rsidR="001D340E" w:rsidRDefault="001D340E" w:rsidP="001D340E">
    <w:pPr>
      <w:pStyle w:val="ae"/>
      <w:rPr>
        <w:rtl/>
      </w:rPr>
    </w:pPr>
    <w:r w:rsidRPr="00571971">
      <w:rPr>
        <w:rFonts w:cs="Calibri"/>
        <w:noProof/>
        <w:rtl/>
      </w:rPr>
      <w:drawing>
        <wp:anchor distT="0" distB="0" distL="114300" distR="114300" simplePos="0" relativeHeight="251674624" behindDoc="0" locked="0" layoutInCell="1" allowOverlap="1" wp14:anchorId="0EA0AF44" wp14:editId="4570899C">
          <wp:simplePos x="0" y="0"/>
          <wp:positionH relativeFrom="margin">
            <wp:posOffset>5628736</wp:posOffset>
          </wp:positionH>
          <wp:positionV relativeFrom="paragraph">
            <wp:posOffset>-161769</wp:posOffset>
          </wp:positionV>
          <wp:extent cx="310551" cy="310551"/>
          <wp:effectExtent l="0" t="0" r="0" b="0"/>
          <wp:wrapNone/>
          <wp:docPr id="20" name="תמונה 20" descr="\\ntfs-jr-01\sys\מחלקת תקשורת\דוברות\תפעול לשכת הדובר\כלים\לוגו\לוגו חדש 3 שפות 2018\לוגו בלי רק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tfs-jr-01\sys\מחלקת תקשורת\דוברות\תפעול לשכת הדובר\כלים\לוגו\לוגו חדש 3 שפות 2018\לוגו בלי רקע.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0739" cy="31073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095C1193" wp14:editId="2C1AD718">
          <wp:simplePos x="0" y="0"/>
          <wp:positionH relativeFrom="column">
            <wp:posOffset>4231257</wp:posOffset>
          </wp:positionH>
          <wp:positionV relativeFrom="paragraph">
            <wp:posOffset>-127468</wp:posOffset>
          </wp:positionV>
          <wp:extent cx="241539" cy="241539"/>
          <wp:effectExtent l="0" t="0" r="6350" b="6350"/>
          <wp:wrapNone/>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duotone>
                      <a:schemeClr val="accent5">
                        <a:shade val="45000"/>
                        <a:satMod val="135000"/>
                      </a:schemeClr>
                      <a:prstClr val="white"/>
                    </a:duotone>
                    <a:extLst>
                      <a:ext uri="{BEBA8EAE-BF5A-486C-A8C5-ECC9F3942E4B}">
                        <a14:imgProps xmlns:a14="http://schemas.microsoft.com/office/drawing/2010/main">
                          <a14:imgLayer r:embed="rId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3290" cy="243290"/>
                  </a:xfrm>
                  <a:prstGeom prst="rect">
                    <a:avLst/>
                  </a:prstGeom>
                </pic:spPr>
              </pic:pic>
            </a:graphicData>
          </a:graphic>
          <wp14:sizeRelH relativeFrom="page">
            <wp14:pctWidth>0</wp14:pctWidth>
          </wp14:sizeRelH>
          <wp14:sizeRelV relativeFrom="page">
            <wp14:pctHeight>0</wp14:pctHeight>
          </wp14:sizeRelV>
        </wp:anchor>
      </w:drawing>
    </w:r>
    <w:r w:rsidRPr="00F20046">
      <w:rPr>
        <w:rFonts w:cs="Calibri"/>
        <w:noProof/>
      </w:rPr>
      <w:drawing>
        <wp:anchor distT="0" distB="0" distL="114300" distR="114300" simplePos="0" relativeHeight="251675648" behindDoc="0" locked="0" layoutInCell="1" allowOverlap="1" wp14:anchorId="1CBA9162" wp14:editId="3C681207">
          <wp:simplePos x="0" y="0"/>
          <wp:positionH relativeFrom="column">
            <wp:posOffset>2411084</wp:posOffset>
          </wp:positionH>
          <wp:positionV relativeFrom="paragraph">
            <wp:posOffset>-135638</wp:posOffset>
          </wp:positionV>
          <wp:extent cx="266528" cy="262039"/>
          <wp:effectExtent l="0" t="0" r="635" b="5080"/>
          <wp:wrapNone/>
          <wp:docPr id="22"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7"/>
                  <pic:cNvPicPr>
                    <a:picLocks noChangeAspect="1"/>
                  </pic:cNvPicPr>
                </pic:nvPicPr>
                <pic:blipFill>
                  <a:blip r:embed="rId4" cstate="print">
                    <a:duotone>
                      <a:schemeClr val="accent5">
                        <a:shade val="45000"/>
                        <a:satMod val="135000"/>
                      </a:schemeClr>
                      <a:prstClr val="white"/>
                    </a:duotone>
                    <a:extLst>
                      <a:ext uri="{BEBA8EAE-BF5A-486C-A8C5-ECC9F3942E4B}">
                        <a14:imgProps xmlns:a14="http://schemas.microsoft.com/office/drawing/2010/main">
                          <a14:imgLayer r:embed="rId5">
                            <a14:imgEffect>
                              <a14:backgroundRemoval t="889" b="99556" l="1747" r="98035"/>
                            </a14:imgEffect>
                          </a14:imgLayer>
                        </a14:imgProps>
                      </a:ext>
                      <a:ext uri="{28A0092B-C50C-407E-A947-70E740481C1C}">
                        <a14:useLocalDpi xmlns:a14="http://schemas.microsoft.com/office/drawing/2010/main" val="0"/>
                      </a:ext>
                    </a:extLst>
                  </a:blip>
                  <a:stretch>
                    <a:fillRect/>
                  </a:stretch>
                </pic:blipFill>
                <pic:spPr>
                  <a:xfrm>
                    <a:off x="0" y="0"/>
                    <a:ext cx="272039" cy="267457"/>
                  </a:xfrm>
                  <a:prstGeom prst="rect">
                    <a:avLst/>
                  </a:prstGeom>
                </pic:spPr>
              </pic:pic>
            </a:graphicData>
          </a:graphic>
          <wp14:sizeRelH relativeFrom="page">
            <wp14:pctWidth>0</wp14:pctWidth>
          </wp14:sizeRelH>
          <wp14:sizeRelV relativeFrom="page">
            <wp14:pctHeight>0</wp14:pctHeight>
          </wp14:sizeRelV>
        </wp:anchor>
      </w:drawing>
    </w:r>
    <w:r w:rsidRPr="00F20046">
      <w:rPr>
        <w:rFonts w:cs="Calibri"/>
        <w:noProof/>
      </w:rPr>
      <w:drawing>
        <wp:anchor distT="0" distB="0" distL="114300" distR="114300" simplePos="0" relativeHeight="251676672" behindDoc="0" locked="0" layoutInCell="1" allowOverlap="1" wp14:anchorId="7F885D92" wp14:editId="2D7AB1BC">
          <wp:simplePos x="0" y="0"/>
          <wp:positionH relativeFrom="column">
            <wp:posOffset>565030</wp:posOffset>
          </wp:positionH>
          <wp:positionV relativeFrom="paragraph">
            <wp:posOffset>-118386</wp:posOffset>
          </wp:positionV>
          <wp:extent cx="329206" cy="241456"/>
          <wp:effectExtent l="0" t="0" r="0" b="6350"/>
          <wp:wrapNone/>
          <wp:docPr id="23"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8"/>
                  <pic:cNvPicPr>
                    <a:picLocks noChangeAspect="1"/>
                  </pic:cNvPicPr>
                </pic:nvPicPr>
                <pic:blipFill>
                  <a:blip r:embed="rId6" cstate="print">
                    <a:duotone>
                      <a:schemeClr val="accent5">
                        <a:shade val="45000"/>
                        <a:satMod val="135000"/>
                      </a:schemeClr>
                      <a:prstClr val="white"/>
                    </a:duotone>
                    <a:extLst>
                      <a:ext uri="{BEBA8EAE-BF5A-486C-A8C5-ECC9F3942E4B}">
                        <a14:imgProps xmlns:a14="http://schemas.microsoft.com/office/drawing/2010/main">
                          <a14:imgLayer r:embed="rId7">
                            <a14:imgEffect>
                              <a14:backgroundRemoval t="0" b="100000" l="2765" r="98157"/>
                            </a14:imgEffect>
                          </a14:imgLayer>
                        </a14:imgProps>
                      </a:ext>
                      <a:ext uri="{28A0092B-C50C-407E-A947-70E740481C1C}">
                        <a14:useLocalDpi xmlns:a14="http://schemas.microsoft.com/office/drawing/2010/main" val="0"/>
                      </a:ext>
                    </a:extLst>
                  </a:blip>
                  <a:stretch>
                    <a:fillRect/>
                  </a:stretch>
                </pic:blipFill>
                <pic:spPr>
                  <a:xfrm>
                    <a:off x="0" y="0"/>
                    <a:ext cx="329206" cy="24145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57015156" wp14:editId="689A3A7D">
              <wp:simplePos x="0" y="0"/>
              <wp:positionH relativeFrom="margin">
                <wp:posOffset>1503680</wp:posOffset>
              </wp:positionH>
              <wp:positionV relativeFrom="paragraph">
                <wp:posOffset>77841</wp:posOffset>
              </wp:positionV>
              <wp:extent cx="2129790" cy="621030"/>
              <wp:effectExtent l="0" t="0" r="0" b="7620"/>
              <wp:wrapNone/>
              <wp:docPr id="31" name="תיבת טקסט 31"/>
              <wp:cNvGraphicFramePr/>
              <a:graphic xmlns:a="http://schemas.openxmlformats.org/drawingml/2006/main">
                <a:graphicData uri="http://schemas.microsoft.com/office/word/2010/wordprocessingShape">
                  <wps:wsp>
                    <wps:cNvSpPr txBox="1"/>
                    <wps:spPr>
                      <a:xfrm>
                        <a:off x="0" y="0"/>
                        <a:ext cx="2129790" cy="621030"/>
                      </a:xfrm>
                      <a:prstGeom prst="rect">
                        <a:avLst/>
                      </a:prstGeom>
                      <a:noFill/>
                      <a:ln w="6350">
                        <a:noFill/>
                      </a:ln>
                    </wps:spPr>
                    <wps:txbx>
                      <w:txbxContent>
                        <w:p w14:paraId="5214E819" w14:textId="77777777" w:rsidR="001D340E" w:rsidRPr="002F6684" w:rsidRDefault="001D340E" w:rsidP="001D340E">
                          <w:pPr>
                            <w:jc w:val="center"/>
                            <w:rPr>
                              <w:rFonts w:cstheme="minorHAnsi"/>
                              <w:sz w:val="16"/>
                              <w:szCs w:val="16"/>
                              <w:rtl/>
                            </w:rPr>
                          </w:pPr>
                          <w:r w:rsidRPr="002F6684">
                            <w:rPr>
                              <w:rFonts w:cstheme="minorHAnsi"/>
                              <w:noProof/>
                              <w:sz w:val="16"/>
                              <w:szCs w:val="16"/>
                              <w:rtl/>
                            </w:rPr>
                            <w:t>פודקאסט  בנק ישראל</w:t>
                          </w:r>
                          <w:r w:rsidRPr="002F6684">
                            <w:rPr>
                              <w:rFonts w:cstheme="minorHAnsi"/>
                              <w:noProof/>
                              <w:sz w:val="16"/>
                              <w:szCs w:val="16"/>
                              <w:rtl/>
                            </w:rPr>
                            <w:br/>
                          </w:r>
                          <w:hyperlink r:id="rId8" w:history="1">
                            <w:r w:rsidRPr="002F6684">
                              <w:rPr>
                                <w:rStyle w:val="Hyperlink"/>
                                <w:rFonts w:cstheme="minorHAnsi"/>
                                <w:noProof/>
                                <w:sz w:val="14"/>
                                <w:szCs w:val="14"/>
                              </w:rPr>
                              <w:t>https://did.li/spotify-third-side-of-coin</w:t>
                            </w:r>
                          </w:hyperlink>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15156" id="_x0000_t202" coordsize="21600,21600" o:spt="202" path="m,l,21600r21600,l21600,xe">
              <v:stroke joinstyle="miter"/>
              <v:path gradientshapeok="t" o:connecttype="rect"/>
            </v:shapetype>
            <v:shape id="תיבת טקסט 31" o:spid="_x0000_s1026" type="#_x0000_t202" style="position:absolute;left:0;text-align:left;margin-left:118.4pt;margin-top:6.15pt;width:167.7pt;height:48.9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" filled="f" stroked="f" strokeweight=".5pt">
              <v:textbox>
                <w:txbxContent>
                  <w:p w14:paraId="5214E819" w14:textId="77777777" w:rsidR="001D340E" w:rsidRPr="002F6684" w:rsidRDefault="001D340E" w:rsidP="001D340E">
                    <w:pPr>
                      <w:jc w:val="center"/>
                      <w:rPr>
                        <w:rFonts w:cstheme="minorHAnsi"/>
                        <w:sz w:val="16"/>
                        <w:szCs w:val="16"/>
                        <w:rtl/>
                      </w:rPr>
                    </w:pPr>
                    <w:r w:rsidRPr="002F6684">
                      <w:rPr>
                        <w:rFonts w:cstheme="minorHAnsi"/>
                        <w:noProof/>
                        <w:sz w:val="16"/>
                        <w:szCs w:val="16"/>
                        <w:rtl/>
                      </w:rPr>
                      <w:t>פודקאסט  בנק ישראל</w:t>
                    </w:r>
                    <w:r w:rsidRPr="002F6684">
                      <w:rPr>
                        <w:rFonts w:cstheme="minorHAnsi"/>
                        <w:noProof/>
                        <w:sz w:val="16"/>
                        <w:szCs w:val="16"/>
                        <w:rtl/>
                      </w:rPr>
                      <w:br/>
                    </w:r>
                    <w:hyperlink r:id="rId9" w:history="1">
                      <w:r w:rsidRPr="002F6684">
                        <w:rPr>
                          <w:rStyle w:val="Hyperlink"/>
                          <w:rFonts w:cstheme="minorHAnsi"/>
                          <w:noProof/>
                          <w:sz w:val="14"/>
                          <w:szCs w:val="14"/>
                        </w:rPr>
                        <w:t>https://did.li/spotify-third-side-of-coin</w:t>
                      </w:r>
                    </w:hyperlink>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7FC2BCFA" wp14:editId="6CD8AE6A">
              <wp:simplePos x="0" y="0"/>
              <wp:positionH relativeFrom="margin">
                <wp:posOffset>-292471</wp:posOffset>
              </wp:positionH>
              <wp:positionV relativeFrom="paragraph">
                <wp:posOffset>76200</wp:posOffset>
              </wp:positionV>
              <wp:extent cx="2130281" cy="621030"/>
              <wp:effectExtent l="0" t="0" r="0" b="7620"/>
              <wp:wrapNone/>
              <wp:docPr id="32" name="תיבת טקסט 32"/>
              <wp:cNvGraphicFramePr/>
              <a:graphic xmlns:a="http://schemas.openxmlformats.org/drawingml/2006/main">
                <a:graphicData uri="http://schemas.microsoft.com/office/word/2010/wordprocessingShape">
                  <wps:wsp>
                    <wps:cNvSpPr txBox="1"/>
                    <wps:spPr>
                      <a:xfrm>
                        <a:off x="0" y="0"/>
                        <a:ext cx="2130281" cy="621030"/>
                      </a:xfrm>
                      <a:prstGeom prst="rect">
                        <a:avLst/>
                      </a:prstGeom>
                      <a:noFill/>
                      <a:ln w="6350">
                        <a:noFill/>
                      </a:ln>
                    </wps:spPr>
                    <wps:txbx>
                      <w:txbxContent>
                        <w:p w14:paraId="60DB4B02" w14:textId="77777777" w:rsidR="001D340E" w:rsidRPr="002F6684" w:rsidRDefault="001D340E" w:rsidP="001D340E">
                          <w:pPr>
                            <w:jc w:val="center"/>
                            <w:rPr>
                              <w:rFonts w:cstheme="minorHAnsi"/>
                              <w:noProof/>
                              <w:sz w:val="16"/>
                              <w:szCs w:val="16"/>
                              <w:rtl/>
                            </w:rPr>
                          </w:pPr>
                          <w:r w:rsidRPr="002F6684">
                            <w:rPr>
                              <w:rFonts w:cstheme="minorHAnsi"/>
                              <w:noProof/>
                              <w:sz w:val="16"/>
                              <w:szCs w:val="16"/>
                              <w:rtl/>
                            </w:rPr>
                            <w:t>יוטיוב - בנק ישראל</w:t>
                          </w:r>
                          <w:r w:rsidRPr="002F6684">
                            <w:rPr>
                              <w:rFonts w:cstheme="minorHAnsi"/>
                              <w:noProof/>
                              <w:sz w:val="16"/>
                              <w:szCs w:val="16"/>
                              <w:rtl/>
                            </w:rPr>
                            <w:br/>
                          </w:r>
                          <w:hyperlink r:id="rId10" w:history="1">
                            <w:r w:rsidRPr="002F6684">
                              <w:rPr>
                                <w:rStyle w:val="Hyperlink"/>
                                <w:rFonts w:cstheme="minorHAnsi"/>
                                <w:noProof/>
                                <w:sz w:val="14"/>
                                <w:szCs w:val="14"/>
                              </w:rPr>
                              <w:t>https://www.youtube.com/user/thebankofisrael</w:t>
                            </w:r>
                          </w:hyperlink>
                          <w:r w:rsidRPr="002F6684">
                            <w:rPr>
                              <w:rFonts w:cstheme="minorHAnsi"/>
                              <w:noProof/>
                              <w:sz w:val="16"/>
                              <w:szCs w:val="16"/>
                            </w:rPr>
                            <w:tab/>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2BCFA" id="תיבת טקסט 32" o:spid="_x0000_s1027" type="#_x0000_t202" style="position:absolute;left:0;text-align:left;margin-left:-23.05pt;margin-top:6pt;width:167.75pt;height:48.9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" filled="f" stroked="f" strokeweight=".5pt">
              <v:textbox>
                <w:txbxContent>
                  <w:p w14:paraId="60DB4B02" w14:textId="77777777" w:rsidR="001D340E" w:rsidRPr="002F6684" w:rsidRDefault="001D340E" w:rsidP="001D340E">
                    <w:pPr>
                      <w:jc w:val="center"/>
                      <w:rPr>
                        <w:rFonts w:cstheme="minorHAnsi"/>
                        <w:noProof/>
                        <w:sz w:val="16"/>
                        <w:szCs w:val="16"/>
                        <w:rtl/>
                      </w:rPr>
                    </w:pPr>
                    <w:r w:rsidRPr="002F6684">
                      <w:rPr>
                        <w:rFonts w:cstheme="minorHAnsi"/>
                        <w:noProof/>
                        <w:sz w:val="16"/>
                        <w:szCs w:val="16"/>
                        <w:rtl/>
                      </w:rPr>
                      <w:t>יוטיוב - בנק ישראל</w:t>
                    </w:r>
                    <w:r w:rsidRPr="002F6684">
                      <w:rPr>
                        <w:rFonts w:cstheme="minorHAnsi"/>
                        <w:noProof/>
                        <w:sz w:val="16"/>
                        <w:szCs w:val="16"/>
                        <w:rtl/>
                      </w:rPr>
                      <w:br/>
                    </w:r>
                    <w:hyperlink r:id="rId11" w:history="1">
                      <w:r w:rsidRPr="002F6684">
                        <w:rPr>
                          <w:rStyle w:val="Hyperlink"/>
                          <w:rFonts w:cstheme="minorHAnsi"/>
                          <w:noProof/>
                          <w:sz w:val="14"/>
                          <w:szCs w:val="14"/>
                        </w:rPr>
                        <w:t>https://www.youtube.com/user/thebankofisrael</w:t>
                      </w:r>
                    </w:hyperlink>
                    <w:r w:rsidRPr="002F6684">
                      <w:rPr>
                        <w:rFonts w:cstheme="minorHAnsi"/>
                        <w:noProof/>
                        <w:sz w:val="16"/>
                        <w:szCs w:val="16"/>
                      </w:rPr>
                      <w:tab/>
                    </w: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4FA8126A" wp14:editId="7DD75AB9">
              <wp:simplePos x="0" y="0"/>
              <wp:positionH relativeFrom="column">
                <wp:posOffset>3257861</wp:posOffset>
              </wp:positionH>
              <wp:positionV relativeFrom="paragraph">
                <wp:posOffset>89750</wp:posOffset>
              </wp:positionV>
              <wp:extent cx="2181860" cy="457200"/>
              <wp:effectExtent l="0" t="0" r="0" b="0"/>
              <wp:wrapNone/>
              <wp:docPr id="33" name="תיבת טקסט 33"/>
              <wp:cNvGraphicFramePr/>
              <a:graphic xmlns:a="http://schemas.openxmlformats.org/drawingml/2006/main">
                <a:graphicData uri="http://schemas.microsoft.com/office/word/2010/wordprocessingShape">
                  <wps:wsp>
                    <wps:cNvSpPr txBox="1"/>
                    <wps:spPr>
                      <a:xfrm>
                        <a:off x="0" y="0"/>
                        <a:ext cx="2181860" cy="457200"/>
                      </a:xfrm>
                      <a:prstGeom prst="rect">
                        <a:avLst/>
                      </a:prstGeom>
                      <a:noFill/>
                      <a:ln w="6350">
                        <a:noFill/>
                      </a:ln>
                    </wps:spPr>
                    <wps:txbx>
                      <w:txbxContent>
                        <w:p w14:paraId="4C08A71A" w14:textId="77777777" w:rsidR="001D340E" w:rsidRPr="002F6684" w:rsidRDefault="001D340E" w:rsidP="001D340E">
                          <w:pPr>
                            <w:jc w:val="center"/>
                            <w:rPr>
                              <w:rFonts w:cstheme="minorHAnsi"/>
                              <w:sz w:val="14"/>
                              <w:szCs w:val="14"/>
                              <w:rtl/>
                            </w:rPr>
                          </w:pPr>
                          <w:r w:rsidRPr="002F6684">
                            <w:rPr>
                              <w:rFonts w:cstheme="minorHAnsi"/>
                              <w:noProof/>
                              <w:sz w:val="16"/>
                              <w:szCs w:val="16"/>
                              <w:rtl/>
                            </w:rPr>
                            <w:t>פייסבוק - בנק ישראל</w:t>
                          </w:r>
                          <w:r w:rsidRPr="002F6684">
                            <w:rPr>
                              <w:rFonts w:cstheme="minorHAnsi"/>
                              <w:sz w:val="16"/>
                              <w:szCs w:val="16"/>
                              <w:rtl/>
                            </w:rPr>
                            <w:br/>
                          </w:r>
                          <w:hyperlink r:id="rId12" w:history="1">
                            <w:r w:rsidRPr="002F6684">
                              <w:rPr>
                                <w:rStyle w:val="Hyperlink"/>
                                <w:rFonts w:cstheme="minorHAnsi"/>
                                <w:sz w:val="14"/>
                                <w:szCs w:val="14"/>
                              </w:rPr>
                              <w:t>https://www.facebook.com/bankisraelvc</w:t>
                            </w:r>
                          </w:hyperlink>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A8126A" id="תיבת טקסט 33" o:spid="_x0000_s1028" type="#_x0000_t202" style="position:absolute;left:0;text-align:left;margin-left:256.5pt;margin-top:7.05pt;width:171.8pt;height:3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" filled="f" stroked="f" strokeweight=".5pt">
              <v:textbox>
                <w:txbxContent>
                  <w:p w14:paraId="4C08A71A" w14:textId="77777777" w:rsidR="001D340E" w:rsidRPr="002F6684" w:rsidRDefault="001D340E" w:rsidP="001D340E">
                    <w:pPr>
                      <w:jc w:val="center"/>
                      <w:rPr>
                        <w:rFonts w:cstheme="minorHAnsi"/>
                        <w:sz w:val="14"/>
                        <w:szCs w:val="14"/>
                        <w:rtl/>
                      </w:rPr>
                    </w:pPr>
                    <w:r w:rsidRPr="002F6684">
                      <w:rPr>
                        <w:rFonts w:cstheme="minorHAnsi"/>
                        <w:noProof/>
                        <w:sz w:val="16"/>
                        <w:szCs w:val="16"/>
                        <w:rtl/>
                      </w:rPr>
                      <w:t>פייסבוק - בנק ישראל</w:t>
                    </w:r>
                    <w:r w:rsidRPr="002F6684">
                      <w:rPr>
                        <w:rFonts w:cstheme="minorHAnsi"/>
                        <w:sz w:val="16"/>
                        <w:szCs w:val="16"/>
                        <w:rtl/>
                      </w:rPr>
                      <w:br/>
                    </w:r>
                    <w:hyperlink r:id="rId13" w:history="1">
                      <w:r w:rsidRPr="002F6684">
                        <w:rPr>
                          <w:rStyle w:val="Hyperlink"/>
                          <w:rFonts w:cstheme="minorHAnsi"/>
                          <w:sz w:val="14"/>
                          <w:szCs w:val="14"/>
                        </w:rPr>
                        <w:t>https://www.facebook.com/bankisraelvc</w:t>
                      </w:r>
                    </w:hyperlink>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9C072D4" wp14:editId="77020029">
              <wp:simplePos x="0" y="0"/>
              <wp:positionH relativeFrom="column">
                <wp:posOffset>5014583</wp:posOffset>
              </wp:positionH>
              <wp:positionV relativeFrom="paragraph">
                <wp:posOffset>89164</wp:posOffset>
              </wp:positionV>
              <wp:extent cx="1535430" cy="457200"/>
              <wp:effectExtent l="0" t="0" r="0" b="0"/>
              <wp:wrapNone/>
              <wp:docPr id="34" name="תיבת טקסט 34"/>
              <wp:cNvGraphicFramePr/>
              <a:graphic xmlns:a="http://schemas.openxmlformats.org/drawingml/2006/main">
                <a:graphicData uri="http://schemas.microsoft.com/office/word/2010/wordprocessingShape">
                  <wps:wsp>
                    <wps:cNvSpPr txBox="1"/>
                    <wps:spPr>
                      <a:xfrm>
                        <a:off x="0" y="0"/>
                        <a:ext cx="1535430" cy="457200"/>
                      </a:xfrm>
                      <a:prstGeom prst="rect">
                        <a:avLst/>
                      </a:prstGeom>
                      <a:noFill/>
                      <a:ln w="6350">
                        <a:noFill/>
                      </a:ln>
                    </wps:spPr>
                    <wps:txbx>
                      <w:txbxContent>
                        <w:p w14:paraId="1E8E624F" w14:textId="77777777" w:rsidR="001D340E" w:rsidRPr="002F6684" w:rsidRDefault="001D340E" w:rsidP="001D340E">
                          <w:pPr>
                            <w:jc w:val="center"/>
                            <w:rPr>
                              <w:rFonts w:cstheme="minorHAnsi"/>
                              <w:sz w:val="14"/>
                              <w:szCs w:val="14"/>
                              <w:rtl/>
                            </w:rPr>
                          </w:pPr>
                          <w:r w:rsidRPr="002F6684">
                            <w:rPr>
                              <w:rFonts w:cstheme="minorHAnsi"/>
                              <w:noProof/>
                              <w:sz w:val="16"/>
                              <w:szCs w:val="16"/>
                              <w:rtl/>
                            </w:rPr>
                            <w:t xml:space="preserve">אתר בנק ישראל </w:t>
                          </w:r>
                          <w:hyperlink r:id="rId14" w:history="1">
                            <w:r w:rsidRPr="002F6684">
                              <w:rPr>
                                <w:rStyle w:val="Hyperlink"/>
                                <w:rFonts w:cstheme="minorHAnsi"/>
                                <w:sz w:val="14"/>
                                <w:szCs w:val="14"/>
                              </w:rPr>
                              <w:t>https://www.boi.org.il</w:t>
                            </w:r>
                            <w:r w:rsidRPr="002F6684">
                              <w:rPr>
                                <w:rStyle w:val="Hyperlink"/>
                                <w:rFonts w:cstheme="minorHAnsi"/>
                                <w:sz w:val="14"/>
                                <w:szCs w:val="14"/>
                                <w:rtl/>
                              </w:rPr>
                              <w:t>/</w:t>
                            </w:r>
                          </w:hyperlink>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C072D4" id="תיבת טקסט 34" o:spid="_x0000_s1029" type="#_x0000_t202" style="position:absolute;left:0;text-align:left;margin-left:394.85pt;margin-top:7pt;width:120.9pt;height:3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" filled="f" stroked="f" strokeweight=".5pt">
              <v:textbox>
                <w:txbxContent>
                  <w:p w14:paraId="1E8E624F" w14:textId="77777777" w:rsidR="001D340E" w:rsidRPr="002F6684" w:rsidRDefault="001D340E" w:rsidP="001D340E">
                    <w:pPr>
                      <w:jc w:val="center"/>
                      <w:rPr>
                        <w:rFonts w:cstheme="minorHAnsi"/>
                        <w:sz w:val="14"/>
                        <w:szCs w:val="14"/>
                        <w:rtl/>
                      </w:rPr>
                    </w:pPr>
                    <w:r w:rsidRPr="002F6684">
                      <w:rPr>
                        <w:rFonts w:cstheme="minorHAnsi"/>
                        <w:noProof/>
                        <w:sz w:val="16"/>
                        <w:szCs w:val="16"/>
                        <w:rtl/>
                      </w:rPr>
                      <w:t xml:space="preserve">אתר בנק ישראל </w:t>
                    </w:r>
                    <w:hyperlink r:id="rId15" w:history="1">
                      <w:r w:rsidRPr="002F6684">
                        <w:rPr>
                          <w:rStyle w:val="Hyperlink"/>
                          <w:rFonts w:cstheme="minorHAnsi"/>
                          <w:sz w:val="14"/>
                          <w:szCs w:val="14"/>
                        </w:rPr>
                        <w:t>https://www.boi.org.il</w:t>
                      </w:r>
                      <w:r w:rsidRPr="002F6684">
                        <w:rPr>
                          <w:rStyle w:val="Hyperlink"/>
                          <w:rFonts w:cstheme="minorHAnsi"/>
                          <w:sz w:val="14"/>
                          <w:szCs w:val="14"/>
                          <w:rtl/>
                        </w:rPr>
                        <w:t>/</w:t>
                      </w:r>
                    </w:hyperlink>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2CD1A3C" wp14:editId="317434A8">
              <wp:simplePos x="0" y="0"/>
              <wp:positionH relativeFrom="column">
                <wp:posOffset>-81915</wp:posOffset>
              </wp:positionH>
              <wp:positionV relativeFrom="paragraph">
                <wp:posOffset>-223149</wp:posOffset>
              </wp:positionV>
              <wp:extent cx="6228080" cy="0"/>
              <wp:effectExtent l="0" t="0" r="20320" b="19050"/>
              <wp:wrapNone/>
              <wp:docPr id="35" name="מחבר ישר 35"/>
              <wp:cNvGraphicFramePr/>
              <a:graphic xmlns:a="http://schemas.openxmlformats.org/drawingml/2006/main">
                <a:graphicData uri="http://schemas.microsoft.com/office/word/2010/wordprocessingShape">
                  <wps:wsp>
                    <wps:cNvCnPr/>
                    <wps:spPr>
                      <a:xfrm flipH="1">
                        <a:off x="0" y="0"/>
                        <a:ext cx="6228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C6B850" id="מחבר ישר 35" o:spid="_x0000_s1026" style="position:absolute;left:0;text-align:left;flip:x;z-index:251673600;visibility:visible;mso-wrap-style:square;mso-wrap-distance-left:9pt;mso-wrap-distance-top:0;mso-wrap-distance-right:9pt;mso-wrap-distance-bottom:0;mso-position-horizontal:absolute;mso-position-horizontal-relative:text;mso-position-vertical:absolute;mso-position-vertical-relative:text" from="-6.45pt,-17.55pt" to="483.9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" strokecolor="black [3040]"/>
          </w:pict>
        </mc:Fallback>
      </mc:AlternateContent>
    </w:r>
    <w:r w:rsidRPr="00571971">
      <w:rPr>
        <w:rFonts w:cs="Calibri"/>
        <w:noProof/>
        <w:rtl/>
      </w:rPr>
      <w:t xml:space="preserve"> </w:t>
    </w:r>
  </w:p>
  <w:p w14:paraId="3AC7B3DE" w14:textId="77777777" w:rsidR="001D340E" w:rsidRPr="009005BA" w:rsidRDefault="001D340E" w:rsidP="001D340E">
    <w:pPr>
      <w:pStyle w:val="ae"/>
    </w:pPr>
  </w:p>
  <w:p w14:paraId="1A4C13CF" w14:textId="77777777" w:rsidR="001D340E" w:rsidRDefault="001D340E">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84276" w14:textId="77777777" w:rsidR="004A3474" w:rsidRDefault="004A3474" w:rsidP="008755E3">
      <w:pPr>
        <w:spacing w:after="0" w:line="240" w:lineRule="auto"/>
      </w:pPr>
      <w:r>
        <w:separator/>
      </w:r>
    </w:p>
  </w:footnote>
  <w:footnote w:type="continuationSeparator" w:id="0">
    <w:p w14:paraId="66C03914" w14:textId="77777777" w:rsidR="004A3474" w:rsidRDefault="004A3474" w:rsidP="008755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37D36"/>
    <w:multiLevelType w:val="hybridMultilevel"/>
    <w:tmpl w:val="9E6ABA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D79E0"/>
    <w:multiLevelType w:val="hybridMultilevel"/>
    <w:tmpl w:val="95901A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9D19D6"/>
    <w:multiLevelType w:val="hybridMultilevel"/>
    <w:tmpl w:val="8D602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7C6386"/>
    <w:multiLevelType w:val="hybridMultilevel"/>
    <w:tmpl w:val="2C042564"/>
    <w:lvl w:ilvl="0" w:tplc="C6926CDE">
      <w:start w:val="1"/>
      <w:numFmt w:val="decimal"/>
      <w:lvlText w:val="%1."/>
      <w:lvlJc w:val="left"/>
      <w:pPr>
        <w:ind w:left="360" w:hanging="360"/>
      </w:pPr>
      <w:rPr>
        <w:rFonts w:eastAsia="Times New Roman" w:hint="default"/>
        <w:b w:val="0"/>
        <w:bCs/>
        <w:color w:val="002060"/>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59D559A"/>
    <w:multiLevelType w:val="hybridMultilevel"/>
    <w:tmpl w:val="FB7C63D0"/>
    <w:lvl w:ilvl="0" w:tplc="DC1219EC">
      <w:start w:val="1"/>
      <w:numFmt w:val="bullet"/>
      <w:lvlText w:val="-"/>
      <w:lvlJc w:val="left"/>
      <w:pPr>
        <w:ind w:left="360" w:hanging="360"/>
      </w:pPr>
      <w:rPr>
        <w:rFonts w:ascii="David" w:eastAsiaTheme="minorHAnsi" w:hAnsi="David"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F73908"/>
    <w:multiLevelType w:val="hybridMultilevel"/>
    <w:tmpl w:val="5B506BD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C834BD"/>
    <w:multiLevelType w:val="hybridMultilevel"/>
    <w:tmpl w:val="480A0F34"/>
    <w:lvl w:ilvl="0" w:tplc="9B5C8622">
      <w:start w:val="1"/>
      <w:numFmt w:val="bullet"/>
      <w:lvlText w:val=""/>
      <w:lvlJc w:val="left"/>
      <w:pPr>
        <w:ind w:left="360" w:hanging="360"/>
      </w:pPr>
      <w:rPr>
        <w:rFonts w:ascii="Wingdings" w:hAnsi="Wingdings" w:hint="default"/>
        <w:color w:val="auto"/>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DF6487FA">
      <w:numFmt w:val="bullet"/>
      <w:lvlText w:val="-"/>
      <w:lvlJc w:val="left"/>
      <w:pPr>
        <w:ind w:left="2520" w:hanging="360"/>
      </w:pPr>
      <w:rPr>
        <w:rFonts w:ascii="David" w:eastAsiaTheme="minorHAnsi" w:hAnsi="David" w:cs="David"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65F44EC"/>
    <w:multiLevelType w:val="hybridMultilevel"/>
    <w:tmpl w:val="1C1837E0"/>
    <w:lvl w:ilvl="0" w:tplc="2AD80856">
      <w:numFmt w:val="bullet"/>
      <w:lvlText w:val="-"/>
      <w:lvlJc w:val="left"/>
      <w:pPr>
        <w:ind w:left="360" w:hanging="360"/>
      </w:pPr>
      <w:rPr>
        <w:rFonts w:ascii="David" w:eastAsia="Times New Roman" w:hAnsi="David"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3AE52B0"/>
    <w:multiLevelType w:val="hybridMultilevel"/>
    <w:tmpl w:val="37787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05C3E11"/>
    <w:multiLevelType w:val="hybridMultilevel"/>
    <w:tmpl w:val="8FC4B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CA49A5"/>
    <w:multiLevelType w:val="hybridMultilevel"/>
    <w:tmpl w:val="D488128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DFE4634"/>
    <w:multiLevelType w:val="hybridMultilevel"/>
    <w:tmpl w:val="0E567BAE"/>
    <w:lvl w:ilvl="0" w:tplc="D8D28A9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FE0056"/>
    <w:multiLevelType w:val="hybridMultilevel"/>
    <w:tmpl w:val="3E163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1F12BEA"/>
    <w:multiLevelType w:val="hybridMultilevel"/>
    <w:tmpl w:val="D4BA808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23A0EE0"/>
    <w:multiLevelType w:val="hybridMultilevel"/>
    <w:tmpl w:val="A3A22F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C721C9"/>
    <w:multiLevelType w:val="hybridMultilevel"/>
    <w:tmpl w:val="8EB677D8"/>
    <w:lvl w:ilvl="0" w:tplc="3B244928">
      <w:start w:val="1"/>
      <w:numFmt w:val="bullet"/>
      <w:lvlText w:val=""/>
      <w:lvlJc w:val="left"/>
      <w:pPr>
        <w:tabs>
          <w:tab w:val="num" w:pos="720"/>
        </w:tabs>
        <w:ind w:left="720" w:hanging="360"/>
      </w:pPr>
      <w:rPr>
        <w:rFonts w:ascii="Wingdings" w:hAnsi="Wingdings" w:hint="default"/>
      </w:rPr>
    </w:lvl>
    <w:lvl w:ilvl="1" w:tplc="DD6C2F8E">
      <w:start w:val="1"/>
      <w:numFmt w:val="bullet"/>
      <w:lvlText w:val=""/>
      <w:lvlJc w:val="left"/>
      <w:pPr>
        <w:tabs>
          <w:tab w:val="num" w:pos="1440"/>
        </w:tabs>
        <w:ind w:left="1440" w:hanging="360"/>
      </w:pPr>
      <w:rPr>
        <w:rFonts w:ascii="Wingdings" w:hAnsi="Wingdings" w:hint="default"/>
      </w:rPr>
    </w:lvl>
    <w:lvl w:ilvl="2" w:tplc="EA8CA652">
      <w:start w:val="1"/>
      <w:numFmt w:val="bullet"/>
      <w:lvlText w:val=""/>
      <w:lvlJc w:val="left"/>
      <w:pPr>
        <w:tabs>
          <w:tab w:val="num" w:pos="2160"/>
        </w:tabs>
        <w:ind w:left="2160" w:hanging="360"/>
      </w:pPr>
      <w:rPr>
        <w:rFonts w:ascii="Wingdings" w:hAnsi="Wingdings" w:hint="default"/>
      </w:rPr>
    </w:lvl>
    <w:lvl w:ilvl="3" w:tplc="4A249B98">
      <w:start w:val="1"/>
      <w:numFmt w:val="bullet"/>
      <w:lvlText w:val=""/>
      <w:lvlJc w:val="left"/>
      <w:pPr>
        <w:tabs>
          <w:tab w:val="num" w:pos="2880"/>
        </w:tabs>
        <w:ind w:left="2880" w:hanging="360"/>
      </w:pPr>
      <w:rPr>
        <w:rFonts w:ascii="Wingdings" w:hAnsi="Wingdings" w:hint="default"/>
      </w:rPr>
    </w:lvl>
    <w:lvl w:ilvl="4" w:tplc="A84E5772">
      <w:start w:val="1"/>
      <w:numFmt w:val="bullet"/>
      <w:lvlText w:val=""/>
      <w:lvlJc w:val="left"/>
      <w:pPr>
        <w:tabs>
          <w:tab w:val="num" w:pos="3600"/>
        </w:tabs>
        <w:ind w:left="3600" w:hanging="360"/>
      </w:pPr>
      <w:rPr>
        <w:rFonts w:ascii="Wingdings" w:hAnsi="Wingdings" w:hint="default"/>
      </w:rPr>
    </w:lvl>
    <w:lvl w:ilvl="5" w:tplc="16FC0E3C">
      <w:start w:val="1"/>
      <w:numFmt w:val="bullet"/>
      <w:lvlText w:val=""/>
      <w:lvlJc w:val="left"/>
      <w:pPr>
        <w:tabs>
          <w:tab w:val="num" w:pos="4320"/>
        </w:tabs>
        <w:ind w:left="4320" w:hanging="360"/>
      </w:pPr>
      <w:rPr>
        <w:rFonts w:ascii="Wingdings" w:hAnsi="Wingdings" w:hint="default"/>
      </w:rPr>
    </w:lvl>
    <w:lvl w:ilvl="6" w:tplc="98E61450">
      <w:start w:val="1"/>
      <w:numFmt w:val="bullet"/>
      <w:lvlText w:val=""/>
      <w:lvlJc w:val="left"/>
      <w:pPr>
        <w:tabs>
          <w:tab w:val="num" w:pos="5040"/>
        </w:tabs>
        <w:ind w:left="5040" w:hanging="360"/>
      </w:pPr>
      <w:rPr>
        <w:rFonts w:ascii="Wingdings" w:hAnsi="Wingdings" w:hint="default"/>
      </w:rPr>
    </w:lvl>
    <w:lvl w:ilvl="7" w:tplc="C79A0AC0">
      <w:start w:val="1"/>
      <w:numFmt w:val="bullet"/>
      <w:lvlText w:val=""/>
      <w:lvlJc w:val="left"/>
      <w:pPr>
        <w:tabs>
          <w:tab w:val="num" w:pos="5760"/>
        </w:tabs>
        <w:ind w:left="5760" w:hanging="360"/>
      </w:pPr>
      <w:rPr>
        <w:rFonts w:ascii="Wingdings" w:hAnsi="Wingdings" w:hint="default"/>
      </w:rPr>
    </w:lvl>
    <w:lvl w:ilvl="8" w:tplc="CD34B972">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5F3F09"/>
    <w:multiLevelType w:val="hybridMultilevel"/>
    <w:tmpl w:val="F9DAA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6C97829"/>
    <w:multiLevelType w:val="hybridMultilevel"/>
    <w:tmpl w:val="DC4CD44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89F3982"/>
    <w:multiLevelType w:val="hybridMultilevel"/>
    <w:tmpl w:val="EFCCFC24"/>
    <w:lvl w:ilvl="0" w:tplc="2FD0C26C">
      <w:start w:val="1"/>
      <w:numFmt w:val="bullet"/>
      <w:lvlText w:val=""/>
      <w:lvlJc w:val="left"/>
      <w:pPr>
        <w:ind w:left="360" w:hanging="360"/>
      </w:pPr>
      <w:rPr>
        <w:rFonts w:ascii="Symbol" w:hAnsi="Symbol" w:hint="default"/>
      </w:rPr>
    </w:lvl>
    <w:lvl w:ilvl="1" w:tplc="5C5C8F80">
      <w:start w:val="1"/>
      <w:numFmt w:val="bullet"/>
      <w:lvlText w:val="o"/>
      <w:lvlJc w:val="left"/>
      <w:pPr>
        <w:ind w:left="1080" w:hanging="360"/>
      </w:pPr>
      <w:rPr>
        <w:rFonts w:ascii="Courier New" w:hAnsi="Courier New" w:cs="Courier New" w:hint="default"/>
      </w:rPr>
    </w:lvl>
    <w:lvl w:ilvl="2" w:tplc="96EC7030" w:tentative="1">
      <w:start w:val="1"/>
      <w:numFmt w:val="bullet"/>
      <w:lvlText w:val=""/>
      <w:lvlJc w:val="left"/>
      <w:pPr>
        <w:ind w:left="1800" w:hanging="360"/>
      </w:pPr>
      <w:rPr>
        <w:rFonts w:ascii="Wingdings" w:hAnsi="Wingdings" w:hint="default"/>
      </w:rPr>
    </w:lvl>
    <w:lvl w:ilvl="3" w:tplc="718C76EE" w:tentative="1">
      <w:start w:val="1"/>
      <w:numFmt w:val="bullet"/>
      <w:lvlText w:val=""/>
      <w:lvlJc w:val="left"/>
      <w:pPr>
        <w:ind w:left="2520" w:hanging="360"/>
      </w:pPr>
      <w:rPr>
        <w:rFonts w:ascii="Symbol" w:hAnsi="Symbol" w:hint="default"/>
      </w:rPr>
    </w:lvl>
    <w:lvl w:ilvl="4" w:tplc="F9302FDE" w:tentative="1">
      <w:start w:val="1"/>
      <w:numFmt w:val="bullet"/>
      <w:lvlText w:val="o"/>
      <w:lvlJc w:val="left"/>
      <w:pPr>
        <w:ind w:left="3240" w:hanging="360"/>
      </w:pPr>
      <w:rPr>
        <w:rFonts w:ascii="Courier New" w:hAnsi="Courier New" w:cs="Courier New" w:hint="default"/>
      </w:rPr>
    </w:lvl>
    <w:lvl w:ilvl="5" w:tplc="A080E298" w:tentative="1">
      <w:start w:val="1"/>
      <w:numFmt w:val="bullet"/>
      <w:lvlText w:val=""/>
      <w:lvlJc w:val="left"/>
      <w:pPr>
        <w:ind w:left="3960" w:hanging="360"/>
      </w:pPr>
      <w:rPr>
        <w:rFonts w:ascii="Wingdings" w:hAnsi="Wingdings" w:hint="default"/>
      </w:rPr>
    </w:lvl>
    <w:lvl w:ilvl="6" w:tplc="6C72CA80" w:tentative="1">
      <w:start w:val="1"/>
      <w:numFmt w:val="bullet"/>
      <w:lvlText w:val=""/>
      <w:lvlJc w:val="left"/>
      <w:pPr>
        <w:ind w:left="4680" w:hanging="360"/>
      </w:pPr>
      <w:rPr>
        <w:rFonts w:ascii="Symbol" w:hAnsi="Symbol" w:hint="default"/>
      </w:rPr>
    </w:lvl>
    <w:lvl w:ilvl="7" w:tplc="32DEDDC8" w:tentative="1">
      <w:start w:val="1"/>
      <w:numFmt w:val="bullet"/>
      <w:lvlText w:val="o"/>
      <w:lvlJc w:val="left"/>
      <w:pPr>
        <w:ind w:left="5400" w:hanging="360"/>
      </w:pPr>
      <w:rPr>
        <w:rFonts w:ascii="Courier New" w:hAnsi="Courier New" w:cs="Courier New" w:hint="default"/>
      </w:rPr>
    </w:lvl>
    <w:lvl w:ilvl="8" w:tplc="E0386D4A" w:tentative="1">
      <w:start w:val="1"/>
      <w:numFmt w:val="bullet"/>
      <w:lvlText w:val=""/>
      <w:lvlJc w:val="left"/>
      <w:pPr>
        <w:ind w:left="6120" w:hanging="360"/>
      </w:pPr>
      <w:rPr>
        <w:rFonts w:ascii="Wingdings" w:hAnsi="Wingdings" w:hint="default"/>
      </w:rPr>
    </w:lvl>
  </w:abstractNum>
  <w:num w:numId="1">
    <w:abstractNumId w:val="3"/>
  </w:num>
  <w:num w:numId="2">
    <w:abstractNumId w:val="7"/>
  </w:num>
  <w:num w:numId="3">
    <w:abstractNumId w:val="4"/>
  </w:num>
  <w:num w:numId="4">
    <w:abstractNumId w:val="6"/>
  </w:num>
  <w:num w:numId="5">
    <w:abstractNumId w:val="5"/>
  </w:num>
  <w:num w:numId="6">
    <w:abstractNumId w:val="1"/>
  </w:num>
  <w:num w:numId="7">
    <w:abstractNumId w:val="12"/>
  </w:num>
  <w:num w:numId="8">
    <w:abstractNumId w:val="16"/>
  </w:num>
  <w:num w:numId="9">
    <w:abstractNumId w:val="17"/>
  </w:num>
  <w:num w:numId="10">
    <w:abstractNumId w:val="13"/>
  </w:num>
  <w:num w:numId="11">
    <w:abstractNumId w:val="10"/>
  </w:num>
  <w:num w:numId="12">
    <w:abstractNumId w:val="14"/>
  </w:num>
  <w:num w:numId="13">
    <w:abstractNumId w:val="8"/>
  </w:num>
  <w:num w:numId="14">
    <w:abstractNumId w:val="2"/>
  </w:num>
  <w:num w:numId="15">
    <w:abstractNumId w:val="15"/>
  </w:num>
  <w:num w:numId="16">
    <w:abstractNumId w:val="0"/>
  </w:num>
  <w:num w:numId="17">
    <w:abstractNumId w:val="18"/>
  </w:num>
  <w:num w:numId="18">
    <w:abstractNumId w:val="9"/>
  </w:num>
  <w:num w:numId="19">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DateAndTime/>
  <w:proofState w:spelling="clean" w:grammar="clean"/>
  <w:documentProtection w:edit="trackedChanges" w:enforcement="0"/>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703"/>
    <w:rsid w:val="00001061"/>
    <w:rsid w:val="00001A6A"/>
    <w:rsid w:val="000027AD"/>
    <w:rsid w:val="0000460A"/>
    <w:rsid w:val="000109E1"/>
    <w:rsid w:val="0001134B"/>
    <w:rsid w:val="000113A8"/>
    <w:rsid w:val="00011A80"/>
    <w:rsid w:val="00014FD0"/>
    <w:rsid w:val="000152DC"/>
    <w:rsid w:val="0001766D"/>
    <w:rsid w:val="00017BFC"/>
    <w:rsid w:val="0002007D"/>
    <w:rsid w:val="00021FB9"/>
    <w:rsid w:val="00023B23"/>
    <w:rsid w:val="00024809"/>
    <w:rsid w:val="00024F11"/>
    <w:rsid w:val="00025519"/>
    <w:rsid w:val="00025537"/>
    <w:rsid w:val="0002698C"/>
    <w:rsid w:val="00032523"/>
    <w:rsid w:val="00033B6D"/>
    <w:rsid w:val="000358D1"/>
    <w:rsid w:val="000360A2"/>
    <w:rsid w:val="00044392"/>
    <w:rsid w:val="000453E0"/>
    <w:rsid w:val="00046F61"/>
    <w:rsid w:val="00047A9B"/>
    <w:rsid w:val="00050663"/>
    <w:rsid w:val="00050E93"/>
    <w:rsid w:val="00052F10"/>
    <w:rsid w:val="00052FF9"/>
    <w:rsid w:val="00054E73"/>
    <w:rsid w:val="00056420"/>
    <w:rsid w:val="0005729C"/>
    <w:rsid w:val="00060928"/>
    <w:rsid w:val="00064D3C"/>
    <w:rsid w:val="0006606D"/>
    <w:rsid w:val="00066BDB"/>
    <w:rsid w:val="00067953"/>
    <w:rsid w:val="000706BA"/>
    <w:rsid w:val="00070B92"/>
    <w:rsid w:val="000718EE"/>
    <w:rsid w:val="00073160"/>
    <w:rsid w:val="00075AC0"/>
    <w:rsid w:val="0007674B"/>
    <w:rsid w:val="00077074"/>
    <w:rsid w:val="0007776B"/>
    <w:rsid w:val="00080CB5"/>
    <w:rsid w:val="00082A1D"/>
    <w:rsid w:val="000902E7"/>
    <w:rsid w:val="00091068"/>
    <w:rsid w:val="000924A8"/>
    <w:rsid w:val="00093045"/>
    <w:rsid w:val="00093FA1"/>
    <w:rsid w:val="00094C4E"/>
    <w:rsid w:val="00094DF9"/>
    <w:rsid w:val="00096921"/>
    <w:rsid w:val="00096A01"/>
    <w:rsid w:val="000A1570"/>
    <w:rsid w:val="000A26D8"/>
    <w:rsid w:val="000A27A2"/>
    <w:rsid w:val="000A40C0"/>
    <w:rsid w:val="000A54C8"/>
    <w:rsid w:val="000A6B7E"/>
    <w:rsid w:val="000A7049"/>
    <w:rsid w:val="000B0E51"/>
    <w:rsid w:val="000B0EE8"/>
    <w:rsid w:val="000B3FAE"/>
    <w:rsid w:val="000B471C"/>
    <w:rsid w:val="000C2F0B"/>
    <w:rsid w:val="000C32D8"/>
    <w:rsid w:val="000C33AB"/>
    <w:rsid w:val="000C346E"/>
    <w:rsid w:val="000C550D"/>
    <w:rsid w:val="000C75FD"/>
    <w:rsid w:val="000D07B1"/>
    <w:rsid w:val="000D1F9E"/>
    <w:rsid w:val="000D3742"/>
    <w:rsid w:val="000D3975"/>
    <w:rsid w:val="000D439D"/>
    <w:rsid w:val="000D5007"/>
    <w:rsid w:val="000D5FE3"/>
    <w:rsid w:val="000D7108"/>
    <w:rsid w:val="000E0A8A"/>
    <w:rsid w:val="000E2793"/>
    <w:rsid w:val="000E2975"/>
    <w:rsid w:val="000E3D04"/>
    <w:rsid w:val="000E779F"/>
    <w:rsid w:val="000E781C"/>
    <w:rsid w:val="000F031D"/>
    <w:rsid w:val="000F0BD4"/>
    <w:rsid w:val="000F0ECA"/>
    <w:rsid w:val="000F1133"/>
    <w:rsid w:val="000F33DC"/>
    <w:rsid w:val="000F3EAC"/>
    <w:rsid w:val="000F40AF"/>
    <w:rsid w:val="000F4A85"/>
    <w:rsid w:val="000F5DDC"/>
    <w:rsid w:val="000F7CAB"/>
    <w:rsid w:val="00100AE5"/>
    <w:rsid w:val="0010186F"/>
    <w:rsid w:val="00102F4F"/>
    <w:rsid w:val="00103EFA"/>
    <w:rsid w:val="00104C0C"/>
    <w:rsid w:val="00104F9A"/>
    <w:rsid w:val="001051E1"/>
    <w:rsid w:val="00105891"/>
    <w:rsid w:val="001077F9"/>
    <w:rsid w:val="00107DB1"/>
    <w:rsid w:val="00110548"/>
    <w:rsid w:val="00111EDD"/>
    <w:rsid w:val="001235DE"/>
    <w:rsid w:val="0012448C"/>
    <w:rsid w:val="00124764"/>
    <w:rsid w:val="00125340"/>
    <w:rsid w:val="001253C6"/>
    <w:rsid w:val="001260EE"/>
    <w:rsid w:val="00131AB3"/>
    <w:rsid w:val="00132ED1"/>
    <w:rsid w:val="00133384"/>
    <w:rsid w:val="00133DB6"/>
    <w:rsid w:val="001343A1"/>
    <w:rsid w:val="0013442E"/>
    <w:rsid w:val="001353DD"/>
    <w:rsid w:val="001371F0"/>
    <w:rsid w:val="0013763C"/>
    <w:rsid w:val="00141888"/>
    <w:rsid w:val="00142115"/>
    <w:rsid w:val="0014229A"/>
    <w:rsid w:val="00142F71"/>
    <w:rsid w:val="00142F72"/>
    <w:rsid w:val="00143EDD"/>
    <w:rsid w:val="00144C67"/>
    <w:rsid w:val="00144CD6"/>
    <w:rsid w:val="00146100"/>
    <w:rsid w:val="001472FC"/>
    <w:rsid w:val="001474C5"/>
    <w:rsid w:val="001513FE"/>
    <w:rsid w:val="0015200F"/>
    <w:rsid w:val="00153235"/>
    <w:rsid w:val="001537BC"/>
    <w:rsid w:val="0015421A"/>
    <w:rsid w:val="0015483F"/>
    <w:rsid w:val="00156E60"/>
    <w:rsid w:val="0015726F"/>
    <w:rsid w:val="00157873"/>
    <w:rsid w:val="0016061D"/>
    <w:rsid w:val="00161A75"/>
    <w:rsid w:val="00164B82"/>
    <w:rsid w:val="00164BA9"/>
    <w:rsid w:val="00166FE3"/>
    <w:rsid w:val="00167449"/>
    <w:rsid w:val="00170461"/>
    <w:rsid w:val="0017071A"/>
    <w:rsid w:val="001712A1"/>
    <w:rsid w:val="00171378"/>
    <w:rsid w:val="0017406E"/>
    <w:rsid w:val="001749ED"/>
    <w:rsid w:val="001750CB"/>
    <w:rsid w:val="00177DF4"/>
    <w:rsid w:val="001804D4"/>
    <w:rsid w:val="001814EF"/>
    <w:rsid w:val="001860B4"/>
    <w:rsid w:val="00186545"/>
    <w:rsid w:val="001867DE"/>
    <w:rsid w:val="0018725C"/>
    <w:rsid w:val="00190517"/>
    <w:rsid w:val="00192F1B"/>
    <w:rsid w:val="00193637"/>
    <w:rsid w:val="00193FCB"/>
    <w:rsid w:val="001941C9"/>
    <w:rsid w:val="001A025E"/>
    <w:rsid w:val="001A0B7F"/>
    <w:rsid w:val="001A16EC"/>
    <w:rsid w:val="001A21CD"/>
    <w:rsid w:val="001A319B"/>
    <w:rsid w:val="001A3E89"/>
    <w:rsid w:val="001A41EE"/>
    <w:rsid w:val="001A5C6A"/>
    <w:rsid w:val="001A759E"/>
    <w:rsid w:val="001B02DB"/>
    <w:rsid w:val="001B4BDA"/>
    <w:rsid w:val="001B571A"/>
    <w:rsid w:val="001B7558"/>
    <w:rsid w:val="001C00E9"/>
    <w:rsid w:val="001C0771"/>
    <w:rsid w:val="001C1A17"/>
    <w:rsid w:val="001C2385"/>
    <w:rsid w:val="001C3136"/>
    <w:rsid w:val="001C3633"/>
    <w:rsid w:val="001C41B6"/>
    <w:rsid w:val="001C623A"/>
    <w:rsid w:val="001C67EF"/>
    <w:rsid w:val="001C6C89"/>
    <w:rsid w:val="001D1076"/>
    <w:rsid w:val="001D2324"/>
    <w:rsid w:val="001D2ECB"/>
    <w:rsid w:val="001D340E"/>
    <w:rsid w:val="001D3E3C"/>
    <w:rsid w:val="001D4545"/>
    <w:rsid w:val="001E2FAE"/>
    <w:rsid w:val="001E78F9"/>
    <w:rsid w:val="001E7BF7"/>
    <w:rsid w:val="001E7EAF"/>
    <w:rsid w:val="001F447F"/>
    <w:rsid w:val="00200E67"/>
    <w:rsid w:val="0020381C"/>
    <w:rsid w:val="002038AB"/>
    <w:rsid w:val="00204097"/>
    <w:rsid w:val="0020650F"/>
    <w:rsid w:val="00211A0B"/>
    <w:rsid w:val="002127C5"/>
    <w:rsid w:val="0021284F"/>
    <w:rsid w:val="00212AA0"/>
    <w:rsid w:val="00212EA1"/>
    <w:rsid w:val="00213EB1"/>
    <w:rsid w:val="0021439A"/>
    <w:rsid w:val="00221E9A"/>
    <w:rsid w:val="00222298"/>
    <w:rsid w:val="002242B9"/>
    <w:rsid w:val="002243FE"/>
    <w:rsid w:val="0022458C"/>
    <w:rsid w:val="00224E07"/>
    <w:rsid w:val="00225595"/>
    <w:rsid w:val="00226E0E"/>
    <w:rsid w:val="002270A1"/>
    <w:rsid w:val="00232ED7"/>
    <w:rsid w:val="002333C8"/>
    <w:rsid w:val="00233B06"/>
    <w:rsid w:val="00235DE2"/>
    <w:rsid w:val="00241C10"/>
    <w:rsid w:val="00242959"/>
    <w:rsid w:val="00242CED"/>
    <w:rsid w:val="00244686"/>
    <w:rsid w:val="002454AE"/>
    <w:rsid w:val="00245CA7"/>
    <w:rsid w:val="00245D31"/>
    <w:rsid w:val="00251589"/>
    <w:rsid w:val="00253EEE"/>
    <w:rsid w:val="00254496"/>
    <w:rsid w:val="00256C13"/>
    <w:rsid w:val="00256FF4"/>
    <w:rsid w:val="002618FB"/>
    <w:rsid w:val="00262FA2"/>
    <w:rsid w:val="002634E2"/>
    <w:rsid w:val="00265839"/>
    <w:rsid w:val="00270BC1"/>
    <w:rsid w:val="00270BFC"/>
    <w:rsid w:val="00270E19"/>
    <w:rsid w:val="00270EAA"/>
    <w:rsid w:val="00272352"/>
    <w:rsid w:val="0027581E"/>
    <w:rsid w:val="00276A46"/>
    <w:rsid w:val="00276E1B"/>
    <w:rsid w:val="002771AE"/>
    <w:rsid w:val="00277311"/>
    <w:rsid w:val="00282A55"/>
    <w:rsid w:val="00283F3C"/>
    <w:rsid w:val="0028653E"/>
    <w:rsid w:val="002869FE"/>
    <w:rsid w:val="00287C92"/>
    <w:rsid w:val="00291EE0"/>
    <w:rsid w:val="00293213"/>
    <w:rsid w:val="00294509"/>
    <w:rsid w:val="00294C82"/>
    <w:rsid w:val="0029598B"/>
    <w:rsid w:val="002977E5"/>
    <w:rsid w:val="002A1CFE"/>
    <w:rsid w:val="002A29E8"/>
    <w:rsid w:val="002A2E4B"/>
    <w:rsid w:val="002A60C9"/>
    <w:rsid w:val="002A707F"/>
    <w:rsid w:val="002B0652"/>
    <w:rsid w:val="002B087B"/>
    <w:rsid w:val="002B1103"/>
    <w:rsid w:val="002B1900"/>
    <w:rsid w:val="002B3702"/>
    <w:rsid w:val="002B5F94"/>
    <w:rsid w:val="002B665C"/>
    <w:rsid w:val="002B668F"/>
    <w:rsid w:val="002B715B"/>
    <w:rsid w:val="002C1302"/>
    <w:rsid w:val="002C5AE6"/>
    <w:rsid w:val="002D0C24"/>
    <w:rsid w:val="002D2422"/>
    <w:rsid w:val="002D27C8"/>
    <w:rsid w:val="002D7104"/>
    <w:rsid w:val="002D7650"/>
    <w:rsid w:val="002D76F6"/>
    <w:rsid w:val="002E16E9"/>
    <w:rsid w:val="002E3788"/>
    <w:rsid w:val="002E3BD1"/>
    <w:rsid w:val="002E65A1"/>
    <w:rsid w:val="002E7606"/>
    <w:rsid w:val="002F14D6"/>
    <w:rsid w:val="002F1587"/>
    <w:rsid w:val="002F2535"/>
    <w:rsid w:val="002F325A"/>
    <w:rsid w:val="002F4B73"/>
    <w:rsid w:val="002F6684"/>
    <w:rsid w:val="002F6C11"/>
    <w:rsid w:val="002F79CD"/>
    <w:rsid w:val="002F7C9A"/>
    <w:rsid w:val="00304EA4"/>
    <w:rsid w:val="00305B79"/>
    <w:rsid w:val="00305F5A"/>
    <w:rsid w:val="00306C2E"/>
    <w:rsid w:val="00307315"/>
    <w:rsid w:val="0030771C"/>
    <w:rsid w:val="00307DCB"/>
    <w:rsid w:val="003110ED"/>
    <w:rsid w:val="00312A60"/>
    <w:rsid w:val="00315372"/>
    <w:rsid w:val="0031662E"/>
    <w:rsid w:val="003174C8"/>
    <w:rsid w:val="003174D5"/>
    <w:rsid w:val="0031785A"/>
    <w:rsid w:val="00317982"/>
    <w:rsid w:val="0032060E"/>
    <w:rsid w:val="00321445"/>
    <w:rsid w:val="00322F85"/>
    <w:rsid w:val="003248FF"/>
    <w:rsid w:val="0032493D"/>
    <w:rsid w:val="00324C9F"/>
    <w:rsid w:val="003254AE"/>
    <w:rsid w:val="00325A0A"/>
    <w:rsid w:val="00325B5B"/>
    <w:rsid w:val="00326B33"/>
    <w:rsid w:val="003273D3"/>
    <w:rsid w:val="00330759"/>
    <w:rsid w:val="00330C1F"/>
    <w:rsid w:val="00331022"/>
    <w:rsid w:val="00336147"/>
    <w:rsid w:val="003369AE"/>
    <w:rsid w:val="00340250"/>
    <w:rsid w:val="003412FE"/>
    <w:rsid w:val="0035096F"/>
    <w:rsid w:val="00351B43"/>
    <w:rsid w:val="003520CA"/>
    <w:rsid w:val="0035399C"/>
    <w:rsid w:val="0035757B"/>
    <w:rsid w:val="0036092C"/>
    <w:rsid w:val="00360A85"/>
    <w:rsid w:val="003612BC"/>
    <w:rsid w:val="0036176A"/>
    <w:rsid w:val="00363AF8"/>
    <w:rsid w:val="003645BD"/>
    <w:rsid w:val="00364F24"/>
    <w:rsid w:val="003650AF"/>
    <w:rsid w:val="00365995"/>
    <w:rsid w:val="00367272"/>
    <w:rsid w:val="0036733B"/>
    <w:rsid w:val="0036771D"/>
    <w:rsid w:val="00371390"/>
    <w:rsid w:val="003715E4"/>
    <w:rsid w:val="003720B1"/>
    <w:rsid w:val="00372BA7"/>
    <w:rsid w:val="00373659"/>
    <w:rsid w:val="00373A72"/>
    <w:rsid w:val="003765BF"/>
    <w:rsid w:val="003801C5"/>
    <w:rsid w:val="003856C8"/>
    <w:rsid w:val="00386B74"/>
    <w:rsid w:val="00387232"/>
    <w:rsid w:val="00387920"/>
    <w:rsid w:val="0039194F"/>
    <w:rsid w:val="00392205"/>
    <w:rsid w:val="00394F2A"/>
    <w:rsid w:val="003951AD"/>
    <w:rsid w:val="00395D24"/>
    <w:rsid w:val="0039616E"/>
    <w:rsid w:val="00396518"/>
    <w:rsid w:val="003A20AA"/>
    <w:rsid w:val="003A2442"/>
    <w:rsid w:val="003A31BD"/>
    <w:rsid w:val="003A3CFE"/>
    <w:rsid w:val="003A4884"/>
    <w:rsid w:val="003A4DD8"/>
    <w:rsid w:val="003A5748"/>
    <w:rsid w:val="003A70FE"/>
    <w:rsid w:val="003B0333"/>
    <w:rsid w:val="003B045F"/>
    <w:rsid w:val="003B2EC1"/>
    <w:rsid w:val="003B58AC"/>
    <w:rsid w:val="003B5DA7"/>
    <w:rsid w:val="003B6A63"/>
    <w:rsid w:val="003B71E4"/>
    <w:rsid w:val="003B743B"/>
    <w:rsid w:val="003B753F"/>
    <w:rsid w:val="003C0DA9"/>
    <w:rsid w:val="003C2509"/>
    <w:rsid w:val="003C2789"/>
    <w:rsid w:val="003C32EF"/>
    <w:rsid w:val="003C3CB3"/>
    <w:rsid w:val="003C4FEF"/>
    <w:rsid w:val="003C6EA7"/>
    <w:rsid w:val="003C70BF"/>
    <w:rsid w:val="003D0694"/>
    <w:rsid w:val="003D0EE3"/>
    <w:rsid w:val="003D1B6A"/>
    <w:rsid w:val="003D2B9E"/>
    <w:rsid w:val="003D2FCA"/>
    <w:rsid w:val="003D653F"/>
    <w:rsid w:val="003D6700"/>
    <w:rsid w:val="003D73BD"/>
    <w:rsid w:val="003D7881"/>
    <w:rsid w:val="003E16A9"/>
    <w:rsid w:val="003E3672"/>
    <w:rsid w:val="003E4CB5"/>
    <w:rsid w:val="003E649A"/>
    <w:rsid w:val="003E7368"/>
    <w:rsid w:val="003E7A93"/>
    <w:rsid w:val="003F02DC"/>
    <w:rsid w:val="003F09BC"/>
    <w:rsid w:val="003F2779"/>
    <w:rsid w:val="003F3956"/>
    <w:rsid w:val="003F5C3F"/>
    <w:rsid w:val="00400CD3"/>
    <w:rsid w:val="0040657F"/>
    <w:rsid w:val="0040658F"/>
    <w:rsid w:val="00407D3F"/>
    <w:rsid w:val="00407DE2"/>
    <w:rsid w:val="00412E40"/>
    <w:rsid w:val="00413182"/>
    <w:rsid w:val="004138B7"/>
    <w:rsid w:val="00413A04"/>
    <w:rsid w:val="00413C47"/>
    <w:rsid w:val="0041443A"/>
    <w:rsid w:val="00414647"/>
    <w:rsid w:val="0041536C"/>
    <w:rsid w:val="0042225D"/>
    <w:rsid w:val="00423E6D"/>
    <w:rsid w:val="004253F3"/>
    <w:rsid w:val="00430FE6"/>
    <w:rsid w:val="00434DF8"/>
    <w:rsid w:val="00435C64"/>
    <w:rsid w:val="00441A75"/>
    <w:rsid w:val="00444416"/>
    <w:rsid w:val="00445971"/>
    <w:rsid w:val="00453E2A"/>
    <w:rsid w:val="004562EE"/>
    <w:rsid w:val="00456351"/>
    <w:rsid w:val="00456854"/>
    <w:rsid w:val="00462E7F"/>
    <w:rsid w:val="00463DF9"/>
    <w:rsid w:val="00464964"/>
    <w:rsid w:val="00464CD5"/>
    <w:rsid w:val="00465B0F"/>
    <w:rsid w:val="00467246"/>
    <w:rsid w:val="00467A2C"/>
    <w:rsid w:val="00471294"/>
    <w:rsid w:val="0047247F"/>
    <w:rsid w:val="00473299"/>
    <w:rsid w:val="0047639C"/>
    <w:rsid w:val="00480BCE"/>
    <w:rsid w:val="004813D2"/>
    <w:rsid w:val="0048245F"/>
    <w:rsid w:val="00482E9C"/>
    <w:rsid w:val="004843DB"/>
    <w:rsid w:val="00490CD9"/>
    <w:rsid w:val="00492C50"/>
    <w:rsid w:val="0049563C"/>
    <w:rsid w:val="00495E66"/>
    <w:rsid w:val="004976BA"/>
    <w:rsid w:val="004A0AF0"/>
    <w:rsid w:val="004A0C72"/>
    <w:rsid w:val="004A275C"/>
    <w:rsid w:val="004A295D"/>
    <w:rsid w:val="004A3474"/>
    <w:rsid w:val="004A3AE6"/>
    <w:rsid w:val="004A74CC"/>
    <w:rsid w:val="004B4676"/>
    <w:rsid w:val="004B5166"/>
    <w:rsid w:val="004B6140"/>
    <w:rsid w:val="004B6D20"/>
    <w:rsid w:val="004B7DB7"/>
    <w:rsid w:val="004C0EC4"/>
    <w:rsid w:val="004C13EB"/>
    <w:rsid w:val="004C1655"/>
    <w:rsid w:val="004C48CC"/>
    <w:rsid w:val="004C5105"/>
    <w:rsid w:val="004C56D2"/>
    <w:rsid w:val="004C5822"/>
    <w:rsid w:val="004C6F2C"/>
    <w:rsid w:val="004C7D34"/>
    <w:rsid w:val="004D1250"/>
    <w:rsid w:val="004D1778"/>
    <w:rsid w:val="004D46CE"/>
    <w:rsid w:val="004D4750"/>
    <w:rsid w:val="004E396A"/>
    <w:rsid w:val="004E4B2A"/>
    <w:rsid w:val="004E6ECA"/>
    <w:rsid w:val="004E7059"/>
    <w:rsid w:val="004F029D"/>
    <w:rsid w:val="004F0AD1"/>
    <w:rsid w:val="004F10CF"/>
    <w:rsid w:val="004F1813"/>
    <w:rsid w:val="004F32D3"/>
    <w:rsid w:val="004F475C"/>
    <w:rsid w:val="004F5B4E"/>
    <w:rsid w:val="004F6CC0"/>
    <w:rsid w:val="004F78DE"/>
    <w:rsid w:val="00500621"/>
    <w:rsid w:val="0050140D"/>
    <w:rsid w:val="00504DD0"/>
    <w:rsid w:val="005064A5"/>
    <w:rsid w:val="0050762D"/>
    <w:rsid w:val="00507C0C"/>
    <w:rsid w:val="00510144"/>
    <w:rsid w:val="00510F9E"/>
    <w:rsid w:val="00511046"/>
    <w:rsid w:val="00511763"/>
    <w:rsid w:val="00511F00"/>
    <w:rsid w:val="00515070"/>
    <w:rsid w:val="0051569C"/>
    <w:rsid w:val="005157D8"/>
    <w:rsid w:val="00515DEB"/>
    <w:rsid w:val="00516B12"/>
    <w:rsid w:val="005171E4"/>
    <w:rsid w:val="005222C7"/>
    <w:rsid w:val="005275E1"/>
    <w:rsid w:val="00531F13"/>
    <w:rsid w:val="0053227B"/>
    <w:rsid w:val="00532693"/>
    <w:rsid w:val="005326A1"/>
    <w:rsid w:val="00535ED0"/>
    <w:rsid w:val="005367FF"/>
    <w:rsid w:val="00536843"/>
    <w:rsid w:val="0053743C"/>
    <w:rsid w:val="00542A34"/>
    <w:rsid w:val="00544F59"/>
    <w:rsid w:val="005461F2"/>
    <w:rsid w:val="005471CB"/>
    <w:rsid w:val="00551454"/>
    <w:rsid w:val="00551484"/>
    <w:rsid w:val="00552FAD"/>
    <w:rsid w:val="00553031"/>
    <w:rsid w:val="00554457"/>
    <w:rsid w:val="00554F85"/>
    <w:rsid w:val="00556181"/>
    <w:rsid w:val="005571E9"/>
    <w:rsid w:val="00560805"/>
    <w:rsid w:val="00560A37"/>
    <w:rsid w:val="00560FF2"/>
    <w:rsid w:val="00562235"/>
    <w:rsid w:val="00563189"/>
    <w:rsid w:val="0056402E"/>
    <w:rsid w:val="00565685"/>
    <w:rsid w:val="00567B37"/>
    <w:rsid w:val="005720F6"/>
    <w:rsid w:val="00573349"/>
    <w:rsid w:val="00576D55"/>
    <w:rsid w:val="00580A13"/>
    <w:rsid w:val="00580ADC"/>
    <w:rsid w:val="00580B70"/>
    <w:rsid w:val="005810DF"/>
    <w:rsid w:val="00582213"/>
    <w:rsid w:val="0058393A"/>
    <w:rsid w:val="005840A7"/>
    <w:rsid w:val="0058488D"/>
    <w:rsid w:val="00584B87"/>
    <w:rsid w:val="005856F7"/>
    <w:rsid w:val="00585EAA"/>
    <w:rsid w:val="00593649"/>
    <w:rsid w:val="00593B4F"/>
    <w:rsid w:val="0059476C"/>
    <w:rsid w:val="005962AD"/>
    <w:rsid w:val="00596C90"/>
    <w:rsid w:val="005A0CCB"/>
    <w:rsid w:val="005A1F96"/>
    <w:rsid w:val="005A4ED4"/>
    <w:rsid w:val="005A71B1"/>
    <w:rsid w:val="005B2C4E"/>
    <w:rsid w:val="005B36B8"/>
    <w:rsid w:val="005B5302"/>
    <w:rsid w:val="005B67C0"/>
    <w:rsid w:val="005B7F79"/>
    <w:rsid w:val="005C1569"/>
    <w:rsid w:val="005C23C4"/>
    <w:rsid w:val="005C33AA"/>
    <w:rsid w:val="005C33D3"/>
    <w:rsid w:val="005C64A4"/>
    <w:rsid w:val="005D0CF3"/>
    <w:rsid w:val="005D1882"/>
    <w:rsid w:val="005D1C50"/>
    <w:rsid w:val="005D42E8"/>
    <w:rsid w:val="005D5659"/>
    <w:rsid w:val="005D7D47"/>
    <w:rsid w:val="005E09FF"/>
    <w:rsid w:val="005E0F7E"/>
    <w:rsid w:val="005E11D5"/>
    <w:rsid w:val="005E2116"/>
    <w:rsid w:val="005E344F"/>
    <w:rsid w:val="005E5C7E"/>
    <w:rsid w:val="005E670C"/>
    <w:rsid w:val="005F1C21"/>
    <w:rsid w:val="005F3BFA"/>
    <w:rsid w:val="005F4BC8"/>
    <w:rsid w:val="005F5870"/>
    <w:rsid w:val="0060118D"/>
    <w:rsid w:val="00603182"/>
    <w:rsid w:val="006039CF"/>
    <w:rsid w:val="00603F47"/>
    <w:rsid w:val="006056E2"/>
    <w:rsid w:val="00610E08"/>
    <w:rsid w:val="00612A19"/>
    <w:rsid w:val="00612D5E"/>
    <w:rsid w:val="00614269"/>
    <w:rsid w:val="006144C3"/>
    <w:rsid w:val="00614952"/>
    <w:rsid w:val="00614BCC"/>
    <w:rsid w:val="00615F80"/>
    <w:rsid w:val="00616D29"/>
    <w:rsid w:val="00617B98"/>
    <w:rsid w:val="00621564"/>
    <w:rsid w:val="0063665D"/>
    <w:rsid w:val="006366A3"/>
    <w:rsid w:val="00641674"/>
    <w:rsid w:val="006431B3"/>
    <w:rsid w:val="00645353"/>
    <w:rsid w:val="00645777"/>
    <w:rsid w:val="00645B06"/>
    <w:rsid w:val="00645E51"/>
    <w:rsid w:val="00647081"/>
    <w:rsid w:val="00652E0E"/>
    <w:rsid w:val="00654E79"/>
    <w:rsid w:val="00657EFD"/>
    <w:rsid w:val="00662D35"/>
    <w:rsid w:val="00663EAB"/>
    <w:rsid w:val="006646E1"/>
    <w:rsid w:val="00670F2B"/>
    <w:rsid w:val="0067409C"/>
    <w:rsid w:val="006743B4"/>
    <w:rsid w:val="00674509"/>
    <w:rsid w:val="006758D9"/>
    <w:rsid w:val="00676C0B"/>
    <w:rsid w:val="0067778F"/>
    <w:rsid w:val="00680703"/>
    <w:rsid w:val="00681F46"/>
    <w:rsid w:val="00684B42"/>
    <w:rsid w:val="00685685"/>
    <w:rsid w:val="00686B6D"/>
    <w:rsid w:val="00686E01"/>
    <w:rsid w:val="006877B6"/>
    <w:rsid w:val="00687CF4"/>
    <w:rsid w:val="00696611"/>
    <w:rsid w:val="006A049C"/>
    <w:rsid w:val="006A3E5E"/>
    <w:rsid w:val="006A623F"/>
    <w:rsid w:val="006A73F1"/>
    <w:rsid w:val="006A75C7"/>
    <w:rsid w:val="006B1718"/>
    <w:rsid w:val="006B6654"/>
    <w:rsid w:val="006B79E9"/>
    <w:rsid w:val="006C134C"/>
    <w:rsid w:val="006C199D"/>
    <w:rsid w:val="006C28FA"/>
    <w:rsid w:val="006C2E29"/>
    <w:rsid w:val="006C50F7"/>
    <w:rsid w:val="006D0142"/>
    <w:rsid w:val="006D0D26"/>
    <w:rsid w:val="006D62A2"/>
    <w:rsid w:val="006D65D3"/>
    <w:rsid w:val="006D71B9"/>
    <w:rsid w:val="006E0608"/>
    <w:rsid w:val="006E1334"/>
    <w:rsid w:val="006E4BF1"/>
    <w:rsid w:val="006E5D28"/>
    <w:rsid w:val="006E6550"/>
    <w:rsid w:val="006E7957"/>
    <w:rsid w:val="006E7D50"/>
    <w:rsid w:val="006F0C22"/>
    <w:rsid w:val="006F1E18"/>
    <w:rsid w:val="006F2048"/>
    <w:rsid w:val="006F29F7"/>
    <w:rsid w:val="006F34EB"/>
    <w:rsid w:val="006F506E"/>
    <w:rsid w:val="006F5C83"/>
    <w:rsid w:val="00700B49"/>
    <w:rsid w:val="007010A1"/>
    <w:rsid w:val="00702511"/>
    <w:rsid w:val="00702ED2"/>
    <w:rsid w:val="007030F0"/>
    <w:rsid w:val="00704331"/>
    <w:rsid w:val="007045F6"/>
    <w:rsid w:val="007050C9"/>
    <w:rsid w:val="007055D8"/>
    <w:rsid w:val="0070611E"/>
    <w:rsid w:val="00707696"/>
    <w:rsid w:val="007076FF"/>
    <w:rsid w:val="007119AA"/>
    <w:rsid w:val="00715E01"/>
    <w:rsid w:val="0072305F"/>
    <w:rsid w:val="0072324B"/>
    <w:rsid w:val="00725182"/>
    <w:rsid w:val="007259E5"/>
    <w:rsid w:val="00725A17"/>
    <w:rsid w:val="00726720"/>
    <w:rsid w:val="00726D5F"/>
    <w:rsid w:val="00726DC7"/>
    <w:rsid w:val="00730EBD"/>
    <w:rsid w:val="00733A21"/>
    <w:rsid w:val="00735F1C"/>
    <w:rsid w:val="00740D80"/>
    <w:rsid w:val="007416A4"/>
    <w:rsid w:val="00742600"/>
    <w:rsid w:val="0074343C"/>
    <w:rsid w:val="007434A8"/>
    <w:rsid w:val="007441FF"/>
    <w:rsid w:val="00744DD7"/>
    <w:rsid w:val="0074544F"/>
    <w:rsid w:val="00746828"/>
    <w:rsid w:val="007507E6"/>
    <w:rsid w:val="00751DD0"/>
    <w:rsid w:val="00753AE4"/>
    <w:rsid w:val="00754237"/>
    <w:rsid w:val="00754A40"/>
    <w:rsid w:val="00755AF2"/>
    <w:rsid w:val="00756D9F"/>
    <w:rsid w:val="00760558"/>
    <w:rsid w:val="00760981"/>
    <w:rsid w:val="00761074"/>
    <w:rsid w:val="007618D8"/>
    <w:rsid w:val="0076287C"/>
    <w:rsid w:val="00762A65"/>
    <w:rsid w:val="007639C4"/>
    <w:rsid w:val="0076511C"/>
    <w:rsid w:val="007724A1"/>
    <w:rsid w:val="007733A3"/>
    <w:rsid w:val="0077392A"/>
    <w:rsid w:val="00774A80"/>
    <w:rsid w:val="00775D5D"/>
    <w:rsid w:val="00780D26"/>
    <w:rsid w:val="00781E95"/>
    <w:rsid w:val="00782302"/>
    <w:rsid w:val="00786313"/>
    <w:rsid w:val="00786BAB"/>
    <w:rsid w:val="00787C13"/>
    <w:rsid w:val="00790973"/>
    <w:rsid w:val="00790BA2"/>
    <w:rsid w:val="0079229D"/>
    <w:rsid w:val="00792903"/>
    <w:rsid w:val="007944E6"/>
    <w:rsid w:val="00796954"/>
    <w:rsid w:val="00796BBD"/>
    <w:rsid w:val="007A1DC9"/>
    <w:rsid w:val="007A63A8"/>
    <w:rsid w:val="007A74C2"/>
    <w:rsid w:val="007B0125"/>
    <w:rsid w:val="007B0741"/>
    <w:rsid w:val="007B0CE1"/>
    <w:rsid w:val="007B100E"/>
    <w:rsid w:val="007B183E"/>
    <w:rsid w:val="007B20FC"/>
    <w:rsid w:val="007B4AC0"/>
    <w:rsid w:val="007B4BD2"/>
    <w:rsid w:val="007B5613"/>
    <w:rsid w:val="007B791D"/>
    <w:rsid w:val="007C27A7"/>
    <w:rsid w:val="007C28B3"/>
    <w:rsid w:val="007C2DB1"/>
    <w:rsid w:val="007C3DB2"/>
    <w:rsid w:val="007C4109"/>
    <w:rsid w:val="007C60ED"/>
    <w:rsid w:val="007C637F"/>
    <w:rsid w:val="007C77F4"/>
    <w:rsid w:val="007D1C9B"/>
    <w:rsid w:val="007D415A"/>
    <w:rsid w:val="007D71C0"/>
    <w:rsid w:val="007E0F0A"/>
    <w:rsid w:val="007E1EB5"/>
    <w:rsid w:val="007E394E"/>
    <w:rsid w:val="007E44E0"/>
    <w:rsid w:val="007E63B9"/>
    <w:rsid w:val="007F2E40"/>
    <w:rsid w:val="007F4DE7"/>
    <w:rsid w:val="007F74D2"/>
    <w:rsid w:val="00800596"/>
    <w:rsid w:val="00801151"/>
    <w:rsid w:val="00805CE4"/>
    <w:rsid w:val="00806F1F"/>
    <w:rsid w:val="00807E47"/>
    <w:rsid w:val="00810681"/>
    <w:rsid w:val="008118B2"/>
    <w:rsid w:val="00814C53"/>
    <w:rsid w:val="008156EE"/>
    <w:rsid w:val="00821AA3"/>
    <w:rsid w:val="00821F23"/>
    <w:rsid w:val="008259C0"/>
    <w:rsid w:val="0082631E"/>
    <w:rsid w:val="00826671"/>
    <w:rsid w:val="00826E7E"/>
    <w:rsid w:val="00827316"/>
    <w:rsid w:val="008276E6"/>
    <w:rsid w:val="00830625"/>
    <w:rsid w:val="00830B39"/>
    <w:rsid w:val="008322C6"/>
    <w:rsid w:val="0083266F"/>
    <w:rsid w:val="008329CD"/>
    <w:rsid w:val="008332D6"/>
    <w:rsid w:val="008344BA"/>
    <w:rsid w:val="00845A55"/>
    <w:rsid w:val="0085168B"/>
    <w:rsid w:val="008517BF"/>
    <w:rsid w:val="00851C86"/>
    <w:rsid w:val="008570B5"/>
    <w:rsid w:val="00861259"/>
    <w:rsid w:val="00862973"/>
    <w:rsid w:val="00863361"/>
    <w:rsid w:val="00863D78"/>
    <w:rsid w:val="00865724"/>
    <w:rsid w:val="00865808"/>
    <w:rsid w:val="008665FD"/>
    <w:rsid w:val="00866A19"/>
    <w:rsid w:val="008707FD"/>
    <w:rsid w:val="00871636"/>
    <w:rsid w:val="00872960"/>
    <w:rsid w:val="00874FB2"/>
    <w:rsid w:val="008755E3"/>
    <w:rsid w:val="008758DB"/>
    <w:rsid w:val="00876019"/>
    <w:rsid w:val="00876F94"/>
    <w:rsid w:val="00877746"/>
    <w:rsid w:val="00877B56"/>
    <w:rsid w:val="00881138"/>
    <w:rsid w:val="00881A07"/>
    <w:rsid w:val="008823A6"/>
    <w:rsid w:val="008823EA"/>
    <w:rsid w:val="00885719"/>
    <w:rsid w:val="008879EB"/>
    <w:rsid w:val="00887FF9"/>
    <w:rsid w:val="0089191C"/>
    <w:rsid w:val="00891A31"/>
    <w:rsid w:val="00892A4E"/>
    <w:rsid w:val="00892F21"/>
    <w:rsid w:val="00895187"/>
    <w:rsid w:val="00896324"/>
    <w:rsid w:val="00897894"/>
    <w:rsid w:val="008A2ACE"/>
    <w:rsid w:val="008A3B73"/>
    <w:rsid w:val="008A423C"/>
    <w:rsid w:val="008A561B"/>
    <w:rsid w:val="008A58A0"/>
    <w:rsid w:val="008A6C45"/>
    <w:rsid w:val="008A7A88"/>
    <w:rsid w:val="008A7FEC"/>
    <w:rsid w:val="008B140D"/>
    <w:rsid w:val="008B2264"/>
    <w:rsid w:val="008B27A1"/>
    <w:rsid w:val="008B6DDA"/>
    <w:rsid w:val="008C21F9"/>
    <w:rsid w:val="008C33FC"/>
    <w:rsid w:val="008C512A"/>
    <w:rsid w:val="008C710A"/>
    <w:rsid w:val="008C7110"/>
    <w:rsid w:val="008C7DDD"/>
    <w:rsid w:val="008D078C"/>
    <w:rsid w:val="008D1B5F"/>
    <w:rsid w:val="008D2464"/>
    <w:rsid w:val="008D2965"/>
    <w:rsid w:val="008D2CB9"/>
    <w:rsid w:val="008D2D76"/>
    <w:rsid w:val="008D5573"/>
    <w:rsid w:val="008E015B"/>
    <w:rsid w:val="008E143F"/>
    <w:rsid w:val="008E3928"/>
    <w:rsid w:val="008E5572"/>
    <w:rsid w:val="008E56C6"/>
    <w:rsid w:val="008E761A"/>
    <w:rsid w:val="008E7BFD"/>
    <w:rsid w:val="008F003D"/>
    <w:rsid w:val="008F0B18"/>
    <w:rsid w:val="008F21C6"/>
    <w:rsid w:val="008F507A"/>
    <w:rsid w:val="008F52D2"/>
    <w:rsid w:val="008F79EA"/>
    <w:rsid w:val="009005BA"/>
    <w:rsid w:val="00900D44"/>
    <w:rsid w:val="009010CE"/>
    <w:rsid w:val="009025CD"/>
    <w:rsid w:val="009027A2"/>
    <w:rsid w:val="00903147"/>
    <w:rsid w:val="00906A25"/>
    <w:rsid w:val="00907809"/>
    <w:rsid w:val="00911ACC"/>
    <w:rsid w:val="00912108"/>
    <w:rsid w:val="009145B6"/>
    <w:rsid w:val="00920DF1"/>
    <w:rsid w:val="00921D47"/>
    <w:rsid w:val="00921E0B"/>
    <w:rsid w:val="00923867"/>
    <w:rsid w:val="00926836"/>
    <w:rsid w:val="009272F9"/>
    <w:rsid w:val="00927565"/>
    <w:rsid w:val="00931053"/>
    <w:rsid w:val="009332A4"/>
    <w:rsid w:val="009333FE"/>
    <w:rsid w:val="009419C3"/>
    <w:rsid w:val="009458A7"/>
    <w:rsid w:val="009458CE"/>
    <w:rsid w:val="00946056"/>
    <w:rsid w:val="0094618E"/>
    <w:rsid w:val="00947BF5"/>
    <w:rsid w:val="0095051F"/>
    <w:rsid w:val="009506A8"/>
    <w:rsid w:val="00960D64"/>
    <w:rsid w:val="009611B7"/>
    <w:rsid w:val="00961DAF"/>
    <w:rsid w:val="00961F2D"/>
    <w:rsid w:val="00963B4C"/>
    <w:rsid w:val="00967D73"/>
    <w:rsid w:val="00970E33"/>
    <w:rsid w:val="009716AB"/>
    <w:rsid w:val="00972230"/>
    <w:rsid w:val="009738C6"/>
    <w:rsid w:val="009751DA"/>
    <w:rsid w:val="0097592B"/>
    <w:rsid w:val="00977073"/>
    <w:rsid w:val="009770FE"/>
    <w:rsid w:val="00982148"/>
    <w:rsid w:val="009824E4"/>
    <w:rsid w:val="00983A2C"/>
    <w:rsid w:val="009861F5"/>
    <w:rsid w:val="009914E8"/>
    <w:rsid w:val="00992744"/>
    <w:rsid w:val="00994495"/>
    <w:rsid w:val="009961B8"/>
    <w:rsid w:val="009A1602"/>
    <w:rsid w:val="009A2641"/>
    <w:rsid w:val="009A26E4"/>
    <w:rsid w:val="009A5850"/>
    <w:rsid w:val="009A635D"/>
    <w:rsid w:val="009A6CE7"/>
    <w:rsid w:val="009A7E41"/>
    <w:rsid w:val="009B1264"/>
    <w:rsid w:val="009B16AE"/>
    <w:rsid w:val="009B35FC"/>
    <w:rsid w:val="009B470A"/>
    <w:rsid w:val="009B5890"/>
    <w:rsid w:val="009B622D"/>
    <w:rsid w:val="009B6E06"/>
    <w:rsid w:val="009C0F0E"/>
    <w:rsid w:val="009C1E94"/>
    <w:rsid w:val="009C2924"/>
    <w:rsid w:val="009C29C9"/>
    <w:rsid w:val="009C7E3D"/>
    <w:rsid w:val="009D1AB8"/>
    <w:rsid w:val="009D2FF9"/>
    <w:rsid w:val="009D4305"/>
    <w:rsid w:val="009D5459"/>
    <w:rsid w:val="009D5FD2"/>
    <w:rsid w:val="009D68BA"/>
    <w:rsid w:val="009D6A33"/>
    <w:rsid w:val="009D78DB"/>
    <w:rsid w:val="009E0994"/>
    <w:rsid w:val="009E0AAD"/>
    <w:rsid w:val="009E27FB"/>
    <w:rsid w:val="009E3490"/>
    <w:rsid w:val="009E5A18"/>
    <w:rsid w:val="009F119F"/>
    <w:rsid w:val="009F1390"/>
    <w:rsid w:val="009F3067"/>
    <w:rsid w:val="009F4EAA"/>
    <w:rsid w:val="009F748A"/>
    <w:rsid w:val="009F78A1"/>
    <w:rsid w:val="00A01454"/>
    <w:rsid w:val="00A029B5"/>
    <w:rsid w:val="00A03CA3"/>
    <w:rsid w:val="00A05F0C"/>
    <w:rsid w:val="00A06013"/>
    <w:rsid w:val="00A115CD"/>
    <w:rsid w:val="00A11890"/>
    <w:rsid w:val="00A11E73"/>
    <w:rsid w:val="00A1456A"/>
    <w:rsid w:val="00A14C14"/>
    <w:rsid w:val="00A1569A"/>
    <w:rsid w:val="00A16568"/>
    <w:rsid w:val="00A168EC"/>
    <w:rsid w:val="00A209EA"/>
    <w:rsid w:val="00A22259"/>
    <w:rsid w:val="00A3115B"/>
    <w:rsid w:val="00A320A1"/>
    <w:rsid w:val="00A3266F"/>
    <w:rsid w:val="00A32FB3"/>
    <w:rsid w:val="00A33522"/>
    <w:rsid w:val="00A3647E"/>
    <w:rsid w:val="00A36ABF"/>
    <w:rsid w:val="00A41052"/>
    <w:rsid w:val="00A416F9"/>
    <w:rsid w:val="00A420C3"/>
    <w:rsid w:val="00A4299E"/>
    <w:rsid w:val="00A42B2B"/>
    <w:rsid w:val="00A4686B"/>
    <w:rsid w:val="00A50841"/>
    <w:rsid w:val="00A515F2"/>
    <w:rsid w:val="00A51BED"/>
    <w:rsid w:val="00A52AB9"/>
    <w:rsid w:val="00A53CD1"/>
    <w:rsid w:val="00A53FD2"/>
    <w:rsid w:val="00A548BB"/>
    <w:rsid w:val="00A566D4"/>
    <w:rsid w:val="00A63469"/>
    <w:rsid w:val="00A6434E"/>
    <w:rsid w:val="00A64576"/>
    <w:rsid w:val="00A65AD1"/>
    <w:rsid w:val="00A65CAA"/>
    <w:rsid w:val="00A71B6D"/>
    <w:rsid w:val="00A753DB"/>
    <w:rsid w:val="00A80250"/>
    <w:rsid w:val="00A80B41"/>
    <w:rsid w:val="00A81916"/>
    <w:rsid w:val="00A81A84"/>
    <w:rsid w:val="00A8271C"/>
    <w:rsid w:val="00A850F9"/>
    <w:rsid w:val="00A85419"/>
    <w:rsid w:val="00A855BD"/>
    <w:rsid w:val="00A87F5C"/>
    <w:rsid w:val="00A90A39"/>
    <w:rsid w:val="00A91116"/>
    <w:rsid w:val="00A91CD3"/>
    <w:rsid w:val="00AA0C01"/>
    <w:rsid w:val="00AA198F"/>
    <w:rsid w:val="00AA27D0"/>
    <w:rsid w:val="00AA2932"/>
    <w:rsid w:val="00AA5F95"/>
    <w:rsid w:val="00AA6341"/>
    <w:rsid w:val="00AA6D6C"/>
    <w:rsid w:val="00AA7586"/>
    <w:rsid w:val="00AB02D6"/>
    <w:rsid w:val="00AB15F9"/>
    <w:rsid w:val="00AB2600"/>
    <w:rsid w:val="00AB3186"/>
    <w:rsid w:val="00AB44D2"/>
    <w:rsid w:val="00AC0EF9"/>
    <w:rsid w:val="00AC27CE"/>
    <w:rsid w:val="00AC2A3B"/>
    <w:rsid w:val="00AC4478"/>
    <w:rsid w:val="00AC5D5B"/>
    <w:rsid w:val="00AD0495"/>
    <w:rsid w:val="00AD0E57"/>
    <w:rsid w:val="00AD1A7E"/>
    <w:rsid w:val="00AD210A"/>
    <w:rsid w:val="00AD2644"/>
    <w:rsid w:val="00AD2F7B"/>
    <w:rsid w:val="00AD32DC"/>
    <w:rsid w:val="00AD4AD7"/>
    <w:rsid w:val="00AD63E9"/>
    <w:rsid w:val="00AD6A29"/>
    <w:rsid w:val="00AE0A30"/>
    <w:rsid w:val="00AE1123"/>
    <w:rsid w:val="00AE1AC4"/>
    <w:rsid w:val="00AE284F"/>
    <w:rsid w:val="00AE5576"/>
    <w:rsid w:val="00AE6A71"/>
    <w:rsid w:val="00AF1531"/>
    <w:rsid w:val="00AF3967"/>
    <w:rsid w:val="00AF408C"/>
    <w:rsid w:val="00AF4878"/>
    <w:rsid w:val="00AF4C8D"/>
    <w:rsid w:val="00AF7FBC"/>
    <w:rsid w:val="00B00ACB"/>
    <w:rsid w:val="00B01532"/>
    <w:rsid w:val="00B016CD"/>
    <w:rsid w:val="00B03D80"/>
    <w:rsid w:val="00B05267"/>
    <w:rsid w:val="00B115E9"/>
    <w:rsid w:val="00B11A45"/>
    <w:rsid w:val="00B11ED2"/>
    <w:rsid w:val="00B12C1C"/>
    <w:rsid w:val="00B130F0"/>
    <w:rsid w:val="00B14537"/>
    <w:rsid w:val="00B16330"/>
    <w:rsid w:val="00B16619"/>
    <w:rsid w:val="00B177CB"/>
    <w:rsid w:val="00B21F54"/>
    <w:rsid w:val="00B22405"/>
    <w:rsid w:val="00B224BE"/>
    <w:rsid w:val="00B23CD3"/>
    <w:rsid w:val="00B253E5"/>
    <w:rsid w:val="00B257B4"/>
    <w:rsid w:val="00B26D7B"/>
    <w:rsid w:val="00B27E75"/>
    <w:rsid w:val="00B33147"/>
    <w:rsid w:val="00B339AC"/>
    <w:rsid w:val="00B33AC5"/>
    <w:rsid w:val="00B3531C"/>
    <w:rsid w:val="00B35B0F"/>
    <w:rsid w:val="00B363A5"/>
    <w:rsid w:val="00B36D26"/>
    <w:rsid w:val="00B43AE3"/>
    <w:rsid w:val="00B44FCC"/>
    <w:rsid w:val="00B4601C"/>
    <w:rsid w:val="00B50F72"/>
    <w:rsid w:val="00B51787"/>
    <w:rsid w:val="00B55C75"/>
    <w:rsid w:val="00B55E3A"/>
    <w:rsid w:val="00B62973"/>
    <w:rsid w:val="00B6364C"/>
    <w:rsid w:val="00B65B71"/>
    <w:rsid w:val="00B6657F"/>
    <w:rsid w:val="00B67A12"/>
    <w:rsid w:val="00B67B62"/>
    <w:rsid w:val="00B70F94"/>
    <w:rsid w:val="00B7205D"/>
    <w:rsid w:val="00B7299C"/>
    <w:rsid w:val="00B72D6E"/>
    <w:rsid w:val="00B77A08"/>
    <w:rsid w:val="00B820FA"/>
    <w:rsid w:val="00B8238B"/>
    <w:rsid w:val="00B82CEB"/>
    <w:rsid w:val="00B82F39"/>
    <w:rsid w:val="00B8462C"/>
    <w:rsid w:val="00B84705"/>
    <w:rsid w:val="00B87E29"/>
    <w:rsid w:val="00B91535"/>
    <w:rsid w:val="00B95355"/>
    <w:rsid w:val="00B956DE"/>
    <w:rsid w:val="00B9580E"/>
    <w:rsid w:val="00B95E3D"/>
    <w:rsid w:val="00B96020"/>
    <w:rsid w:val="00B969C8"/>
    <w:rsid w:val="00B9715D"/>
    <w:rsid w:val="00B97E1E"/>
    <w:rsid w:val="00BA0D93"/>
    <w:rsid w:val="00BA0E45"/>
    <w:rsid w:val="00BA2E27"/>
    <w:rsid w:val="00BB06F1"/>
    <w:rsid w:val="00BB0B61"/>
    <w:rsid w:val="00BB2CB3"/>
    <w:rsid w:val="00BB3D20"/>
    <w:rsid w:val="00BB43FF"/>
    <w:rsid w:val="00BB44DD"/>
    <w:rsid w:val="00BB49A0"/>
    <w:rsid w:val="00BB6032"/>
    <w:rsid w:val="00BB6F00"/>
    <w:rsid w:val="00BB72E6"/>
    <w:rsid w:val="00BB788E"/>
    <w:rsid w:val="00BC16C8"/>
    <w:rsid w:val="00BC1C5E"/>
    <w:rsid w:val="00BC29FC"/>
    <w:rsid w:val="00BC3C04"/>
    <w:rsid w:val="00BC3C0A"/>
    <w:rsid w:val="00BC4188"/>
    <w:rsid w:val="00BC419A"/>
    <w:rsid w:val="00BC4A34"/>
    <w:rsid w:val="00BC531B"/>
    <w:rsid w:val="00BC542A"/>
    <w:rsid w:val="00BC5C45"/>
    <w:rsid w:val="00BC6700"/>
    <w:rsid w:val="00BC7D0B"/>
    <w:rsid w:val="00BD17B8"/>
    <w:rsid w:val="00BD2326"/>
    <w:rsid w:val="00BD5370"/>
    <w:rsid w:val="00BE2693"/>
    <w:rsid w:val="00BE2AFA"/>
    <w:rsid w:val="00BE2DA2"/>
    <w:rsid w:val="00BE499B"/>
    <w:rsid w:val="00BF31DB"/>
    <w:rsid w:val="00BF4421"/>
    <w:rsid w:val="00BF4445"/>
    <w:rsid w:val="00BF445F"/>
    <w:rsid w:val="00BF559D"/>
    <w:rsid w:val="00BF5950"/>
    <w:rsid w:val="00BF788D"/>
    <w:rsid w:val="00C0011C"/>
    <w:rsid w:val="00C00E59"/>
    <w:rsid w:val="00C01FE2"/>
    <w:rsid w:val="00C02E3D"/>
    <w:rsid w:val="00C037AA"/>
    <w:rsid w:val="00C0407C"/>
    <w:rsid w:val="00C04847"/>
    <w:rsid w:val="00C063FE"/>
    <w:rsid w:val="00C06655"/>
    <w:rsid w:val="00C114BD"/>
    <w:rsid w:val="00C11BA9"/>
    <w:rsid w:val="00C14D64"/>
    <w:rsid w:val="00C17875"/>
    <w:rsid w:val="00C23B08"/>
    <w:rsid w:val="00C24F82"/>
    <w:rsid w:val="00C27735"/>
    <w:rsid w:val="00C27AEB"/>
    <w:rsid w:val="00C27C15"/>
    <w:rsid w:val="00C27E7F"/>
    <w:rsid w:val="00C31DD9"/>
    <w:rsid w:val="00C32F28"/>
    <w:rsid w:val="00C33131"/>
    <w:rsid w:val="00C336CD"/>
    <w:rsid w:val="00C34700"/>
    <w:rsid w:val="00C351E3"/>
    <w:rsid w:val="00C40482"/>
    <w:rsid w:val="00C420F0"/>
    <w:rsid w:val="00C46301"/>
    <w:rsid w:val="00C4741D"/>
    <w:rsid w:val="00C50A9E"/>
    <w:rsid w:val="00C50E25"/>
    <w:rsid w:val="00C52F23"/>
    <w:rsid w:val="00C5324A"/>
    <w:rsid w:val="00C53812"/>
    <w:rsid w:val="00C56903"/>
    <w:rsid w:val="00C60FD4"/>
    <w:rsid w:val="00C61BB9"/>
    <w:rsid w:val="00C63603"/>
    <w:rsid w:val="00C70895"/>
    <w:rsid w:val="00C720B7"/>
    <w:rsid w:val="00C72A60"/>
    <w:rsid w:val="00C7312D"/>
    <w:rsid w:val="00C734D5"/>
    <w:rsid w:val="00C766F3"/>
    <w:rsid w:val="00C80D42"/>
    <w:rsid w:val="00C8207A"/>
    <w:rsid w:val="00C82AB9"/>
    <w:rsid w:val="00C8395A"/>
    <w:rsid w:val="00C842A9"/>
    <w:rsid w:val="00C8724D"/>
    <w:rsid w:val="00C9120D"/>
    <w:rsid w:val="00C912F9"/>
    <w:rsid w:val="00C9255C"/>
    <w:rsid w:val="00C93D23"/>
    <w:rsid w:val="00C95FE4"/>
    <w:rsid w:val="00C97459"/>
    <w:rsid w:val="00C979EA"/>
    <w:rsid w:val="00C979FE"/>
    <w:rsid w:val="00CA1401"/>
    <w:rsid w:val="00CA1D8B"/>
    <w:rsid w:val="00CA3DF5"/>
    <w:rsid w:val="00CA3EC8"/>
    <w:rsid w:val="00CA5F10"/>
    <w:rsid w:val="00CA7AF2"/>
    <w:rsid w:val="00CB1495"/>
    <w:rsid w:val="00CB1ECB"/>
    <w:rsid w:val="00CB24F0"/>
    <w:rsid w:val="00CB479F"/>
    <w:rsid w:val="00CB4C36"/>
    <w:rsid w:val="00CB5618"/>
    <w:rsid w:val="00CB5C75"/>
    <w:rsid w:val="00CB65B6"/>
    <w:rsid w:val="00CB6D81"/>
    <w:rsid w:val="00CC51A2"/>
    <w:rsid w:val="00CC6E3B"/>
    <w:rsid w:val="00CC78A4"/>
    <w:rsid w:val="00CC7989"/>
    <w:rsid w:val="00CD1822"/>
    <w:rsid w:val="00CD1DFB"/>
    <w:rsid w:val="00CD2038"/>
    <w:rsid w:val="00CD215C"/>
    <w:rsid w:val="00CD2312"/>
    <w:rsid w:val="00CD3AFE"/>
    <w:rsid w:val="00CD4B9F"/>
    <w:rsid w:val="00CD4BE4"/>
    <w:rsid w:val="00CD5226"/>
    <w:rsid w:val="00CD5B2C"/>
    <w:rsid w:val="00CD5D4F"/>
    <w:rsid w:val="00CD7A7E"/>
    <w:rsid w:val="00CE25F7"/>
    <w:rsid w:val="00CE35A4"/>
    <w:rsid w:val="00CE44EE"/>
    <w:rsid w:val="00CE4CBD"/>
    <w:rsid w:val="00CE6133"/>
    <w:rsid w:val="00CE61ED"/>
    <w:rsid w:val="00CE6A97"/>
    <w:rsid w:val="00CF1658"/>
    <w:rsid w:val="00CF5024"/>
    <w:rsid w:val="00CF7906"/>
    <w:rsid w:val="00D00328"/>
    <w:rsid w:val="00D02989"/>
    <w:rsid w:val="00D02D66"/>
    <w:rsid w:val="00D032C1"/>
    <w:rsid w:val="00D03866"/>
    <w:rsid w:val="00D050A2"/>
    <w:rsid w:val="00D07BFD"/>
    <w:rsid w:val="00D118C0"/>
    <w:rsid w:val="00D11ACB"/>
    <w:rsid w:val="00D122B6"/>
    <w:rsid w:val="00D13394"/>
    <w:rsid w:val="00D14C77"/>
    <w:rsid w:val="00D15300"/>
    <w:rsid w:val="00D15364"/>
    <w:rsid w:val="00D15F5E"/>
    <w:rsid w:val="00D17046"/>
    <w:rsid w:val="00D17466"/>
    <w:rsid w:val="00D17C6B"/>
    <w:rsid w:val="00D20C2D"/>
    <w:rsid w:val="00D20DC6"/>
    <w:rsid w:val="00D2198B"/>
    <w:rsid w:val="00D22BD0"/>
    <w:rsid w:val="00D23926"/>
    <w:rsid w:val="00D23E40"/>
    <w:rsid w:val="00D23F8D"/>
    <w:rsid w:val="00D24785"/>
    <w:rsid w:val="00D24FA4"/>
    <w:rsid w:val="00D26498"/>
    <w:rsid w:val="00D264A9"/>
    <w:rsid w:val="00D26788"/>
    <w:rsid w:val="00D2736D"/>
    <w:rsid w:val="00D301B4"/>
    <w:rsid w:val="00D322B6"/>
    <w:rsid w:val="00D32549"/>
    <w:rsid w:val="00D33CFE"/>
    <w:rsid w:val="00D34911"/>
    <w:rsid w:val="00D35AD1"/>
    <w:rsid w:val="00D35B2F"/>
    <w:rsid w:val="00D37796"/>
    <w:rsid w:val="00D40ADE"/>
    <w:rsid w:val="00D40B65"/>
    <w:rsid w:val="00D40FCB"/>
    <w:rsid w:val="00D4178B"/>
    <w:rsid w:val="00D430B6"/>
    <w:rsid w:val="00D432E5"/>
    <w:rsid w:val="00D434B4"/>
    <w:rsid w:val="00D44089"/>
    <w:rsid w:val="00D47527"/>
    <w:rsid w:val="00D504D7"/>
    <w:rsid w:val="00D50A3A"/>
    <w:rsid w:val="00D51310"/>
    <w:rsid w:val="00D51D14"/>
    <w:rsid w:val="00D532AC"/>
    <w:rsid w:val="00D54267"/>
    <w:rsid w:val="00D54289"/>
    <w:rsid w:val="00D57E17"/>
    <w:rsid w:val="00D615FC"/>
    <w:rsid w:val="00D63C48"/>
    <w:rsid w:val="00D63FE1"/>
    <w:rsid w:val="00D64CFC"/>
    <w:rsid w:val="00D66255"/>
    <w:rsid w:val="00D664E3"/>
    <w:rsid w:val="00D671E3"/>
    <w:rsid w:val="00D6789F"/>
    <w:rsid w:val="00D71448"/>
    <w:rsid w:val="00D71CED"/>
    <w:rsid w:val="00D7267D"/>
    <w:rsid w:val="00D73584"/>
    <w:rsid w:val="00D740A3"/>
    <w:rsid w:val="00D747AB"/>
    <w:rsid w:val="00D76C2C"/>
    <w:rsid w:val="00D77F85"/>
    <w:rsid w:val="00D77FD5"/>
    <w:rsid w:val="00D8003B"/>
    <w:rsid w:val="00D80179"/>
    <w:rsid w:val="00D83F19"/>
    <w:rsid w:val="00D846C0"/>
    <w:rsid w:val="00D87563"/>
    <w:rsid w:val="00D90163"/>
    <w:rsid w:val="00D92AB6"/>
    <w:rsid w:val="00D96BE6"/>
    <w:rsid w:val="00D96C96"/>
    <w:rsid w:val="00D96F2F"/>
    <w:rsid w:val="00D97E8D"/>
    <w:rsid w:val="00D97F2A"/>
    <w:rsid w:val="00DA0961"/>
    <w:rsid w:val="00DA1198"/>
    <w:rsid w:val="00DA2078"/>
    <w:rsid w:val="00DA4082"/>
    <w:rsid w:val="00DA4804"/>
    <w:rsid w:val="00DA540C"/>
    <w:rsid w:val="00DA5C6D"/>
    <w:rsid w:val="00DA6607"/>
    <w:rsid w:val="00DB0EE4"/>
    <w:rsid w:val="00DB2121"/>
    <w:rsid w:val="00DB3F4C"/>
    <w:rsid w:val="00DB4E4A"/>
    <w:rsid w:val="00DB6653"/>
    <w:rsid w:val="00DC138D"/>
    <w:rsid w:val="00DC16A7"/>
    <w:rsid w:val="00DC36AD"/>
    <w:rsid w:val="00DC464E"/>
    <w:rsid w:val="00DC53A4"/>
    <w:rsid w:val="00DC6480"/>
    <w:rsid w:val="00DC6DE0"/>
    <w:rsid w:val="00DC6F14"/>
    <w:rsid w:val="00DD3592"/>
    <w:rsid w:val="00DD59E1"/>
    <w:rsid w:val="00DE08B9"/>
    <w:rsid w:val="00DE0EE6"/>
    <w:rsid w:val="00DE1F1D"/>
    <w:rsid w:val="00DE2A3D"/>
    <w:rsid w:val="00DE4873"/>
    <w:rsid w:val="00DE6A90"/>
    <w:rsid w:val="00DF0111"/>
    <w:rsid w:val="00DF05DF"/>
    <w:rsid w:val="00DF23B3"/>
    <w:rsid w:val="00DF2DA8"/>
    <w:rsid w:val="00DF3213"/>
    <w:rsid w:val="00DF39AB"/>
    <w:rsid w:val="00DF4B50"/>
    <w:rsid w:val="00DF6D21"/>
    <w:rsid w:val="00E00DFC"/>
    <w:rsid w:val="00E037A1"/>
    <w:rsid w:val="00E03A45"/>
    <w:rsid w:val="00E05669"/>
    <w:rsid w:val="00E056DC"/>
    <w:rsid w:val="00E07313"/>
    <w:rsid w:val="00E101CB"/>
    <w:rsid w:val="00E10677"/>
    <w:rsid w:val="00E11A48"/>
    <w:rsid w:val="00E11DE5"/>
    <w:rsid w:val="00E124CD"/>
    <w:rsid w:val="00E126CA"/>
    <w:rsid w:val="00E13C40"/>
    <w:rsid w:val="00E15039"/>
    <w:rsid w:val="00E15FB6"/>
    <w:rsid w:val="00E17F21"/>
    <w:rsid w:val="00E2102D"/>
    <w:rsid w:val="00E21733"/>
    <w:rsid w:val="00E21B62"/>
    <w:rsid w:val="00E21BBA"/>
    <w:rsid w:val="00E22AF4"/>
    <w:rsid w:val="00E314DC"/>
    <w:rsid w:val="00E326F3"/>
    <w:rsid w:val="00E32CFE"/>
    <w:rsid w:val="00E33A1C"/>
    <w:rsid w:val="00E349C8"/>
    <w:rsid w:val="00E36A35"/>
    <w:rsid w:val="00E40627"/>
    <w:rsid w:val="00E41ED2"/>
    <w:rsid w:val="00E43949"/>
    <w:rsid w:val="00E445B8"/>
    <w:rsid w:val="00E44DE9"/>
    <w:rsid w:val="00E46000"/>
    <w:rsid w:val="00E503B5"/>
    <w:rsid w:val="00E50C78"/>
    <w:rsid w:val="00E51353"/>
    <w:rsid w:val="00E52DA4"/>
    <w:rsid w:val="00E532C1"/>
    <w:rsid w:val="00E54BA9"/>
    <w:rsid w:val="00E56AB0"/>
    <w:rsid w:val="00E610B7"/>
    <w:rsid w:val="00E62BDB"/>
    <w:rsid w:val="00E6524A"/>
    <w:rsid w:val="00E665D8"/>
    <w:rsid w:val="00E66B9A"/>
    <w:rsid w:val="00E66BA3"/>
    <w:rsid w:val="00E6783B"/>
    <w:rsid w:val="00E71D38"/>
    <w:rsid w:val="00E723E4"/>
    <w:rsid w:val="00E73941"/>
    <w:rsid w:val="00E74FE9"/>
    <w:rsid w:val="00E7644E"/>
    <w:rsid w:val="00E7700F"/>
    <w:rsid w:val="00E774FF"/>
    <w:rsid w:val="00E8137D"/>
    <w:rsid w:val="00E825B8"/>
    <w:rsid w:val="00E8688F"/>
    <w:rsid w:val="00E86BD4"/>
    <w:rsid w:val="00E870F5"/>
    <w:rsid w:val="00E91844"/>
    <w:rsid w:val="00E92251"/>
    <w:rsid w:val="00E937FB"/>
    <w:rsid w:val="00E93E64"/>
    <w:rsid w:val="00E95A07"/>
    <w:rsid w:val="00E96BCD"/>
    <w:rsid w:val="00E96D3D"/>
    <w:rsid w:val="00E97E8E"/>
    <w:rsid w:val="00EA0D70"/>
    <w:rsid w:val="00EA2540"/>
    <w:rsid w:val="00EA58B3"/>
    <w:rsid w:val="00EA7383"/>
    <w:rsid w:val="00EB0D24"/>
    <w:rsid w:val="00EB20FE"/>
    <w:rsid w:val="00EB3AA0"/>
    <w:rsid w:val="00EB43F7"/>
    <w:rsid w:val="00EB7F0D"/>
    <w:rsid w:val="00EC2054"/>
    <w:rsid w:val="00EC561F"/>
    <w:rsid w:val="00EC57DC"/>
    <w:rsid w:val="00EC628A"/>
    <w:rsid w:val="00ED01C3"/>
    <w:rsid w:val="00ED3320"/>
    <w:rsid w:val="00ED3873"/>
    <w:rsid w:val="00ED72B4"/>
    <w:rsid w:val="00EE28BA"/>
    <w:rsid w:val="00EE38B7"/>
    <w:rsid w:val="00EE662C"/>
    <w:rsid w:val="00EF02EC"/>
    <w:rsid w:val="00EF1001"/>
    <w:rsid w:val="00EF6013"/>
    <w:rsid w:val="00EF6826"/>
    <w:rsid w:val="00EF740A"/>
    <w:rsid w:val="00EF7F40"/>
    <w:rsid w:val="00F04298"/>
    <w:rsid w:val="00F04C55"/>
    <w:rsid w:val="00F04D3E"/>
    <w:rsid w:val="00F055CD"/>
    <w:rsid w:val="00F10B2C"/>
    <w:rsid w:val="00F10D5B"/>
    <w:rsid w:val="00F11304"/>
    <w:rsid w:val="00F11EDB"/>
    <w:rsid w:val="00F133A3"/>
    <w:rsid w:val="00F14181"/>
    <w:rsid w:val="00F14194"/>
    <w:rsid w:val="00F1475C"/>
    <w:rsid w:val="00F14F50"/>
    <w:rsid w:val="00F20242"/>
    <w:rsid w:val="00F23422"/>
    <w:rsid w:val="00F24A43"/>
    <w:rsid w:val="00F25432"/>
    <w:rsid w:val="00F25A6E"/>
    <w:rsid w:val="00F27BB0"/>
    <w:rsid w:val="00F30AD4"/>
    <w:rsid w:val="00F3141F"/>
    <w:rsid w:val="00F3173C"/>
    <w:rsid w:val="00F32389"/>
    <w:rsid w:val="00F344C7"/>
    <w:rsid w:val="00F36D02"/>
    <w:rsid w:val="00F36DF9"/>
    <w:rsid w:val="00F40C89"/>
    <w:rsid w:val="00F42389"/>
    <w:rsid w:val="00F42979"/>
    <w:rsid w:val="00F432C0"/>
    <w:rsid w:val="00F43D62"/>
    <w:rsid w:val="00F457DD"/>
    <w:rsid w:val="00F45D90"/>
    <w:rsid w:val="00F47FC9"/>
    <w:rsid w:val="00F50EA4"/>
    <w:rsid w:val="00F5129A"/>
    <w:rsid w:val="00F52404"/>
    <w:rsid w:val="00F5356A"/>
    <w:rsid w:val="00F61D79"/>
    <w:rsid w:val="00F63BEE"/>
    <w:rsid w:val="00F66550"/>
    <w:rsid w:val="00F67341"/>
    <w:rsid w:val="00F676C8"/>
    <w:rsid w:val="00F702BF"/>
    <w:rsid w:val="00F717ED"/>
    <w:rsid w:val="00F736DF"/>
    <w:rsid w:val="00F744EB"/>
    <w:rsid w:val="00F753F1"/>
    <w:rsid w:val="00F75765"/>
    <w:rsid w:val="00F761A0"/>
    <w:rsid w:val="00F76CFE"/>
    <w:rsid w:val="00F76F35"/>
    <w:rsid w:val="00F774D1"/>
    <w:rsid w:val="00F811EF"/>
    <w:rsid w:val="00F819BF"/>
    <w:rsid w:val="00F865C4"/>
    <w:rsid w:val="00F86688"/>
    <w:rsid w:val="00F86849"/>
    <w:rsid w:val="00F90CF5"/>
    <w:rsid w:val="00F91AD3"/>
    <w:rsid w:val="00F92702"/>
    <w:rsid w:val="00F92905"/>
    <w:rsid w:val="00F93BD9"/>
    <w:rsid w:val="00F94F94"/>
    <w:rsid w:val="00F96D34"/>
    <w:rsid w:val="00FA429E"/>
    <w:rsid w:val="00FB748C"/>
    <w:rsid w:val="00FC1FBB"/>
    <w:rsid w:val="00FC34F2"/>
    <w:rsid w:val="00FC5F81"/>
    <w:rsid w:val="00FC75C5"/>
    <w:rsid w:val="00FD000E"/>
    <w:rsid w:val="00FD1E91"/>
    <w:rsid w:val="00FD2074"/>
    <w:rsid w:val="00FD52AB"/>
    <w:rsid w:val="00FD5926"/>
    <w:rsid w:val="00FD6A78"/>
    <w:rsid w:val="00FE24E8"/>
    <w:rsid w:val="00FE28D3"/>
    <w:rsid w:val="00FE32B4"/>
    <w:rsid w:val="00FE331E"/>
    <w:rsid w:val="00FF1941"/>
    <w:rsid w:val="00FF2E6C"/>
    <w:rsid w:val="00FF3EDC"/>
    <w:rsid w:val="00FF472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051DAC88"/>
  <w15:docId w15:val="{400C101D-74D4-4A40-A68B-65A3DA9C6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67EF"/>
    <w:pPr>
      <w:bidi/>
    </w:pPr>
  </w:style>
  <w:style w:type="paragraph" w:styleId="1">
    <w:name w:val="heading 1"/>
    <w:basedOn w:val="a"/>
    <w:link w:val="10"/>
    <w:uiPriority w:val="9"/>
    <w:qFormat/>
    <w:rsid w:val="00482E9C"/>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0703"/>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680703"/>
    <w:rPr>
      <w:rFonts w:ascii="Tahoma" w:hAnsi="Tahoma" w:cs="Tahoma"/>
      <w:sz w:val="16"/>
      <w:szCs w:val="16"/>
    </w:rPr>
  </w:style>
  <w:style w:type="paragraph" w:styleId="a5">
    <w:name w:val="List Paragraph"/>
    <w:basedOn w:val="a"/>
    <w:link w:val="a6"/>
    <w:uiPriority w:val="34"/>
    <w:qFormat/>
    <w:rsid w:val="00167449"/>
    <w:pPr>
      <w:ind w:left="720"/>
      <w:contextualSpacing/>
    </w:pPr>
  </w:style>
  <w:style w:type="character" w:styleId="a7">
    <w:name w:val="annotation reference"/>
    <w:basedOn w:val="a0"/>
    <w:uiPriority w:val="99"/>
    <w:unhideWhenUsed/>
    <w:rsid w:val="00EB43F7"/>
    <w:rPr>
      <w:sz w:val="16"/>
      <w:szCs w:val="16"/>
    </w:rPr>
  </w:style>
  <w:style w:type="paragraph" w:styleId="a8">
    <w:name w:val="annotation text"/>
    <w:basedOn w:val="a"/>
    <w:link w:val="a9"/>
    <w:uiPriority w:val="99"/>
    <w:unhideWhenUsed/>
    <w:rsid w:val="00EB43F7"/>
    <w:pPr>
      <w:spacing w:line="240" w:lineRule="auto"/>
    </w:pPr>
    <w:rPr>
      <w:sz w:val="20"/>
      <w:szCs w:val="20"/>
    </w:rPr>
  </w:style>
  <w:style w:type="character" w:customStyle="1" w:styleId="a9">
    <w:name w:val="טקסט הערה תו"/>
    <w:basedOn w:val="a0"/>
    <w:link w:val="a8"/>
    <w:uiPriority w:val="99"/>
    <w:rsid w:val="00EB43F7"/>
    <w:rPr>
      <w:sz w:val="20"/>
      <w:szCs w:val="20"/>
    </w:rPr>
  </w:style>
  <w:style w:type="paragraph" w:styleId="aa">
    <w:name w:val="annotation subject"/>
    <w:basedOn w:val="a8"/>
    <w:next w:val="a8"/>
    <w:link w:val="ab"/>
    <w:uiPriority w:val="99"/>
    <w:semiHidden/>
    <w:unhideWhenUsed/>
    <w:rsid w:val="00EB43F7"/>
    <w:rPr>
      <w:b/>
      <w:bCs/>
    </w:rPr>
  </w:style>
  <w:style w:type="character" w:customStyle="1" w:styleId="ab">
    <w:name w:val="נושא הערה תו"/>
    <w:basedOn w:val="a9"/>
    <w:link w:val="aa"/>
    <w:uiPriority w:val="99"/>
    <w:semiHidden/>
    <w:rsid w:val="00EB43F7"/>
    <w:rPr>
      <w:b/>
      <w:bCs/>
      <w:sz w:val="20"/>
      <w:szCs w:val="20"/>
    </w:rPr>
  </w:style>
  <w:style w:type="character" w:styleId="Hyperlink">
    <w:name w:val="Hyperlink"/>
    <w:basedOn w:val="a0"/>
    <w:uiPriority w:val="99"/>
    <w:unhideWhenUsed/>
    <w:rsid w:val="00242CED"/>
    <w:rPr>
      <w:color w:val="0000FF" w:themeColor="hyperlink"/>
      <w:u w:val="single"/>
    </w:rPr>
  </w:style>
  <w:style w:type="paragraph" w:styleId="ac">
    <w:name w:val="header"/>
    <w:basedOn w:val="a"/>
    <w:link w:val="ad"/>
    <w:uiPriority w:val="99"/>
    <w:unhideWhenUsed/>
    <w:rsid w:val="008755E3"/>
    <w:pPr>
      <w:tabs>
        <w:tab w:val="center" w:pos="4153"/>
        <w:tab w:val="right" w:pos="8306"/>
      </w:tabs>
      <w:spacing w:after="0" w:line="240" w:lineRule="auto"/>
    </w:pPr>
  </w:style>
  <w:style w:type="character" w:customStyle="1" w:styleId="ad">
    <w:name w:val="כותרת עליונה תו"/>
    <w:basedOn w:val="a0"/>
    <w:link w:val="ac"/>
    <w:uiPriority w:val="99"/>
    <w:rsid w:val="008755E3"/>
  </w:style>
  <w:style w:type="paragraph" w:styleId="ae">
    <w:name w:val="footer"/>
    <w:basedOn w:val="a"/>
    <w:link w:val="af"/>
    <w:uiPriority w:val="99"/>
    <w:unhideWhenUsed/>
    <w:rsid w:val="008755E3"/>
    <w:pPr>
      <w:tabs>
        <w:tab w:val="center" w:pos="4153"/>
        <w:tab w:val="right" w:pos="8306"/>
      </w:tabs>
      <w:spacing w:after="0" w:line="240" w:lineRule="auto"/>
    </w:pPr>
  </w:style>
  <w:style w:type="character" w:customStyle="1" w:styleId="af">
    <w:name w:val="כותרת תחתונה תו"/>
    <w:basedOn w:val="a0"/>
    <w:link w:val="ae"/>
    <w:uiPriority w:val="99"/>
    <w:rsid w:val="008755E3"/>
  </w:style>
  <w:style w:type="character" w:styleId="FollowedHyperlink">
    <w:name w:val="FollowedHyperlink"/>
    <w:basedOn w:val="a0"/>
    <w:uiPriority w:val="99"/>
    <w:semiHidden/>
    <w:unhideWhenUsed/>
    <w:rsid w:val="00AC5D5B"/>
    <w:rPr>
      <w:color w:val="800080" w:themeColor="followedHyperlink"/>
      <w:u w:val="single"/>
    </w:rPr>
  </w:style>
  <w:style w:type="paragraph" w:styleId="af0">
    <w:name w:val="footnote text"/>
    <w:aliases w:val="fn,fn Char,single space,Footnote Text Char Char Char Char Char Char,Footnote Text Char1,Footnote Text Char Char,Footnote,Fußnote,FSR footnote,lábléc,FOOTNOTES,Footnote Text Char2 Char,Footnote Text Char1 Char Char,תו תו תו,תו תו תו1,תו"/>
    <w:basedOn w:val="a"/>
    <w:link w:val="af1"/>
    <w:uiPriority w:val="99"/>
    <w:unhideWhenUsed/>
    <w:qFormat/>
    <w:rsid w:val="006E5D28"/>
    <w:pPr>
      <w:spacing w:after="0" w:line="240" w:lineRule="auto"/>
    </w:pPr>
    <w:rPr>
      <w:sz w:val="20"/>
      <w:szCs w:val="20"/>
    </w:rPr>
  </w:style>
  <w:style w:type="character" w:customStyle="1" w:styleId="af1">
    <w:name w:val="טקסט הערת שוליים תו"/>
    <w:aliases w:val="fn תו,fn Char תו,single space תו,Footnote Text Char Char Char Char Char Char תו,Footnote Text Char1 תו,Footnote Text Char Char תו,Footnote תו,Fußnote תו,FSR footnote תו,lábléc תו,FOOTNOTES תו,Footnote Text Char2 Char תו,תו תו תו תו"/>
    <w:basedOn w:val="a0"/>
    <w:link w:val="af0"/>
    <w:uiPriority w:val="99"/>
    <w:rsid w:val="006E5D28"/>
    <w:rPr>
      <w:sz w:val="20"/>
      <w:szCs w:val="20"/>
    </w:rPr>
  </w:style>
  <w:style w:type="character" w:styleId="af2">
    <w:name w:val="footnote reference"/>
    <w:aliases w:val="Footnote Reference Superscript,Footnote symbol,Footnote Reference Number,Footnote Reference_LVL6,Footnote Reference_LVL61,Footnote Reference_LVL62,Footnote Reference_LVL63,Footnote Reference_LVL64,fr,SUPERS,טקסט הערת שוליים חדש,number"/>
    <w:basedOn w:val="a0"/>
    <w:uiPriority w:val="99"/>
    <w:unhideWhenUsed/>
    <w:rsid w:val="006E5D28"/>
    <w:rPr>
      <w:vertAlign w:val="superscript"/>
    </w:rPr>
  </w:style>
  <w:style w:type="table" w:styleId="af3">
    <w:name w:val="Table Grid"/>
    <w:basedOn w:val="a1"/>
    <w:uiPriority w:val="39"/>
    <w:rsid w:val="00D97F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A71B6D"/>
    <w:rPr>
      <w:color w:val="605E5C"/>
      <w:shd w:val="clear" w:color="auto" w:fill="E1DFDD"/>
    </w:rPr>
  </w:style>
  <w:style w:type="paragraph" w:styleId="af4">
    <w:name w:val="Revision"/>
    <w:hidden/>
    <w:uiPriority w:val="99"/>
    <w:semiHidden/>
    <w:rsid w:val="0074544F"/>
    <w:pPr>
      <w:spacing w:after="0" w:line="240" w:lineRule="auto"/>
    </w:pPr>
  </w:style>
  <w:style w:type="paragraph" w:styleId="NormalWeb">
    <w:name w:val="Normal (Web)"/>
    <w:basedOn w:val="a"/>
    <w:uiPriority w:val="99"/>
    <w:semiHidden/>
    <w:unhideWhenUsed/>
    <w:rsid w:val="00C734D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פיסקת רשימה תו"/>
    <w:basedOn w:val="a0"/>
    <w:link w:val="a5"/>
    <w:uiPriority w:val="34"/>
    <w:locked/>
    <w:rsid w:val="00C95FE4"/>
  </w:style>
  <w:style w:type="character" w:styleId="af5">
    <w:name w:val="Strong"/>
    <w:basedOn w:val="a0"/>
    <w:uiPriority w:val="22"/>
    <w:qFormat/>
    <w:rsid w:val="00DC16A7"/>
    <w:rPr>
      <w:b/>
      <w:bCs/>
    </w:rPr>
  </w:style>
  <w:style w:type="character" w:customStyle="1" w:styleId="ui-provider">
    <w:name w:val="ui-provider"/>
    <w:basedOn w:val="a0"/>
    <w:rsid w:val="00CA1D8B"/>
  </w:style>
  <w:style w:type="character" w:customStyle="1" w:styleId="10">
    <w:name w:val="כותרת 1 תו"/>
    <w:basedOn w:val="a0"/>
    <w:link w:val="1"/>
    <w:uiPriority w:val="9"/>
    <w:rsid w:val="00482E9C"/>
    <w:rPr>
      <w:rFonts w:ascii="Times New Roman" w:eastAsia="Times New Roman" w:hAnsi="Times New Roman" w:cs="Times New Roman"/>
      <w:b/>
      <w:bCs/>
      <w:kern w:val="36"/>
      <w:sz w:val="48"/>
      <w:szCs w:val="48"/>
    </w:rPr>
  </w:style>
  <w:style w:type="paragraph" w:styleId="af6">
    <w:name w:val="Title"/>
    <w:aliases w:val="איור כותרת ראשית"/>
    <w:basedOn w:val="1"/>
    <w:next w:val="a"/>
    <w:link w:val="af7"/>
    <w:qFormat/>
    <w:rsid w:val="000F40AF"/>
    <w:pPr>
      <w:keepNext/>
      <w:keepLines/>
      <w:bidi/>
      <w:spacing w:before="0" w:beforeAutospacing="0" w:after="0" w:afterAutospacing="0"/>
      <w:jc w:val="center"/>
    </w:pPr>
    <w:rPr>
      <w:rFonts w:ascii="Calibri" w:hAnsi="Calibri" w:cs="Calibri"/>
      <w:kern w:val="0"/>
      <w:sz w:val="24"/>
      <w:szCs w:val="24"/>
    </w:rPr>
  </w:style>
  <w:style w:type="character" w:customStyle="1" w:styleId="af7">
    <w:name w:val="כותרת טקסט תו"/>
    <w:aliases w:val="איור כותרת ראשית תו"/>
    <w:basedOn w:val="a0"/>
    <w:link w:val="af6"/>
    <w:rsid w:val="000F40AF"/>
    <w:rPr>
      <w:rFonts w:ascii="Calibri" w:eastAsia="Times New Roman" w:hAnsi="Calibri" w:cs="Calibri"/>
      <w:b/>
      <w:bCs/>
      <w:sz w:val="24"/>
      <w:szCs w:val="24"/>
    </w:rPr>
  </w:style>
  <w:style w:type="paragraph" w:styleId="af8">
    <w:name w:val="Subtitle"/>
    <w:aliases w:val="איור כותרת משנה"/>
    <w:basedOn w:val="1"/>
    <w:next w:val="a"/>
    <w:link w:val="af9"/>
    <w:qFormat/>
    <w:rsid w:val="000F40AF"/>
    <w:pPr>
      <w:keepNext/>
      <w:keepLines/>
      <w:bidi/>
      <w:spacing w:before="0" w:beforeAutospacing="0" w:after="0" w:afterAutospacing="0"/>
      <w:jc w:val="center"/>
    </w:pPr>
    <w:rPr>
      <w:rFonts w:ascii="Calibri" w:hAnsi="Calibri" w:cs="Calibri"/>
      <w:b w:val="0"/>
      <w:bCs w:val="0"/>
      <w:kern w:val="0"/>
      <w:sz w:val="24"/>
      <w:szCs w:val="24"/>
    </w:rPr>
  </w:style>
  <w:style w:type="character" w:customStyle="1" w:styleId="af9">
    <w:name w:val="כותרת משנה תו"/>
    <w:aliases w:val="איור כותרת משנה תו"/>
    <w:basedOn w:val="a0"/>
    <w:link w:val="af8"/>
    <w:rsid w:val="000F40AF"/>
    <w:rPr>
      <w:rFonts w:ascii="Calibri" w:eastAsia="Times New Roman" w:hAnsi="Calibri" w:cs="Calibri"/>
      <w:sz w:val="24"/>
      <w:szCs w:val="24"/>
    </w:rPr>
  </w:style>
  <w:style w:type="paragraph" w:styleId="afa">
    <w:name w:val="caption"/>
    <w:basedOn w:val="a"/>
    <w:next w:val="a"/>
    <w:uiPriority w:val="35"/>
    <w:unhideWhenUsed/>
    <w:qFormat/>
    <w:rsid w:val="00D15300"/>
    <w:pPr>
      <w:spacing w:line="240" w:lineRule="auto"/>
    </w:pPr>
    <w:rPr>
      <w:i/>
      <w:iCs/>
      <w:color w:val="1F497D" w:themeColor="text2"/>
      <w:sz w:val="18"/>
      <w:szCs w:val="18"/>
    </w:rPr>
  </w:style>
  <w:style w:type="character" w:styleId="afb">
    <w:name w:val="Emphasis"/>
    <w:basedOn w:val="a0"/>
    <w:uiPriority w:val="20"/>
    <w:qFormat/>
    <w:rsid w:val="00B0526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13001">
      <w:bodyDiv w:val="1"/>
      <w:marLeft w:val="0"/>
      <w:marRight w:val="0"/>
      <w:marTop w:val="0"/>
      <w:marBottom w:val="0"/>
      <w:divBdr>
        <w:top w:val="none" w:sz="0" w:space="0" w:color="auto"/>
        <w:left w:val="none" w:sz="0" w:space="0" w:color="auto"/>
        <w:bottom w:val="none" w:sz="0" w:space="0" w:color="auto"/>
        <w:right w:val="none" w:sz="0" w:space="0" w:color="auto"/>
      </w:divBdr>
    </w:div>
    <w:div w:id="33892913">
      <w:bodyDiv w:val="1"/>
      <w:marLeft w:val="0"/>
      <w:marRight w:val="0"/>
      <w:marTop w:val="0"/>
      <w:marBottom w:val="0"/>
      <w:divBdr>
        <w:top w:val="none" w:sz="0" w:space="0" w:color="auto"/>
        <w:left w:val="none" w:sz="0" w:space="0" w:color="auto"/>
        <w:bottom w:val="none" w:sz="0" w:space="0" w:color="auto"/>
        <w:right w:val="none" w:sz="0" w:space="0" w:color="auto"/>
      </w:divBdr>
    </w:div>
    <w:div w:id="65996826">
      <w:bodyDiv w:val="1"/>
      <w:marLeft w:val="0"/>
      <w:marRight w:val="0"/>
      <w:marTop w:val="0"/>
      <w:marBottom w:val="0"/>
      <w:divBdr>
        <w:top w:val="none" w:sz="0" w:space="0" w:color="auto"/>
        <w:left w:val="none" w:sz="0" w:space="0" w:color="auto"/>
        <w:bottom w:val="none" w:sz="0" w:space="0" w:color="auto"/>
        <w:right w:val="none" w:sz="0" w:space="0" w:color="auto"/>
      </w:divBdr>
    </w:div>
    <w:div w:id="166559592">
      <w:bodyDiv w:val="1"/>
      <w:marLeft w:val="0"/>
      <w:marRight w:val="0"/>
      <w:marTop w:val="0"/>
      <w:marBottom w:val="0"/>
      <w:divBdr>
        <w:top w:val="none" w:sz="0" w:space="0" w:color="auto"/>
        <w:left w:val="none" w:sz="0" w:space="0" w:color="auto"/>
        <w:bottom w:val="none" w:sz="0" w:space="0" w:color="auto"/>
        <w:right w:val="none" w:sz="0" w:space="0" w:color="auto"/>
      </w:divBdr>
    </w:div>
    <w:div w:id="207111285">
      <w:bodyDiv w:val="1"/>
      <w:marLeft w:val="0"/>
      <w:marRight w:val="0"/>
      <w:marTop w:val="0"/>
      <w:marBottom w:val="0"/>
      <w:divBdr>
        <w:top w:val="none" w:sz="0" w:space="0" w:color="auto"/>
        <w:left w:val="none" w:sz="0" w:space="0" w:color="auto"/>
        <w:bottom w:val="none" w:sz="0" w:space="0" w:color="auto"/>
        <w:right w:val="none" w:sz="0" w:space="0" w:color="auto"/>
      </w:divBdr>
    </w:div>
    <w:div w:id="229510774">
      <w:bodyDiv w:val="1"/>
      <w:marLeft w:val="0"/>
      <w:marRight w:val="0"/>
      <w:marTop w:val="0"/>
      <w:marBottom w:val="0"/>
      <w:divBdr>
        <w:top w:val="none" w:sz="0" w:space="0" w:color="auto"/>
        <w:left w:val="none" w:sz="0" w:space="0" w:color="auto"/>
        <w:bottom w:val="none" w:sz="0" w:space="0" w:color="auto"/>
        <w:right w:val="none" w:sz="0" w:space="0" w:color="auto"/>
      </w:divBdr>
    </w:div>
    <w:div w:id="247623224">
      <w:bodyDiv w:val="1"/>
      <w:marLeft w:val="0"/>
      <w:marRight w:val="0"/>
      <w:marTop w:val="0"/>
      <w:marBottom w:val="0"/>
      <w:divBdr>
        <w:top w:val="none" w:sz="0" w:space="0" w:color="auto"/>
        <w:left w:val="none" w:sz="0" w:space="0" w:color="auto"/>
        <w:bottom w:val="none" w:sz="0" w:space="0" w:color="auto"/>
        <w:right w:val="none" w:sz="0" w:space="0" w:color="auto"/>
      </w:divBdr>
    </w:div>
    <w:div w:id="250899488">
      <w:bodyDiv w:val="1"/>
      <w:marLeft w:val="0"/>
      <w:marRight w:val="0"/>
      <w:marTop w:val="0"/>
      <w:marBottom w:val="0"/>
      <w:divBdr>
        <w:top w:val="none" w:sz="0" w:space="0" w:color="auto"/>
        <w:left w:val="none" w:sz="0" w:space="0" w:color="auto"/>
        <w:bottom w:val="none" w:sz="0" w:space="0" w:color="auto"/>
        <w:right w:val="none" w:sz="0" w:space="0" w:color="auto"/>
      </w:divBdr>
    </w:div>
    <w:div w:id="255676330">
      <w:bodyDiv w:val="1"/>
      <w:marLeft w:val="0"/>
      <w:marRight w:val="0"/>
      <w:marTop w:val="0"/>
      <w:marBottom w:val="0"/>
      <w:divBdr>
        <w:top w:val="none" w:sz="0" w:space="0" w:color="auto"/>
        <w:left w:val="none" w:sz="0" w:space="0" w:color="auto"/>
        <w:bottom w:val="none" w:sz="0" w:space="0" w:color="auto"/>
        <w:right w:val="none" w:sz="0" w:space="0" w:color="auto"/>
      </w:divBdr>
    </w:div>
    <w:div w:id="256671433">
      <w:bodyDiv w:val="1"/>
      <w:marLeft w:val="0"/>
      <w:marRight w:val="0"/>
      <w:marTop w:val="0"/>
      <w:marBottom w:val="0"/>
      <w:divBdr>
        <w:top w:val="none" w:sz="0" w:space="0" w:color="auto"/>
        <w:left w:val="none" w:sz="0" w:space="0" w:color="auto"/>
        <w:bottom w:val="none" w:sz="0" w:space="0" w:color="auto"/>
        <w:right w:val="none" w:sz="0" w:space="0" w:color="auto"/>
      </w:divBdr>
    </w:div>
    <w:div w:id="276064138">
      <w:bodyDiv w:val="1"/>
      <w:marLeft w:val="0"/>
      <w:marRight w:val="0"/>
      <w:marTop w:val="0"/>
      <w:marBottom w:val="0"/>
      <w:divBdr>
        <w:top w:val="none" w:sz="0" w:space="0" w:color="auto"/>
        <w:left w:val="none" w:sz="0" w:space="0" w:color="auto"/>
        <w:bottom w:val="none" w:sz="0" w:space="0" w:color="auto"/>
        <w:right w:val="none" w:sz="0" w:space="0" w:color="auto"/>
      </w:divBdr>
    </w:div>
    <w:div w:id="333994817">
      <w:bodyDiv w:val="1"/>
      <w:marLeft w:val="0"/>
      <w:marRight w:val="0"/>
      <w:marTop w:val="0"/>
      <w:marBottom w:val="0"/>
      <w:divBdr>
        <w:top w:val="none" w:sz="0" w:space="0" w:color="auto"/>
        <w:left w:val="none" w:sz="0" w:space="0" w:color="auto"/>
        <w:bottom w:val="none" w:sz="0" w:space="0" w:color="auto"/>
        <w:right w:val="none" w:sz="0" w:space="0" w:color="auto"/>
      </w:divBdr>
      <w:divsChild>
        <w:div w:id="803814540">
          <w:marLeft w:val="0"/>
          <w:marRight w:val="446"/>
          <w:marTop w:val="0"/>
          <w:marBottom w:val="0"/>
          <w:divBdr>
            <w:top w:val="none" w:sz="0" w:space="0" w:color="auto"/>
            <w:left w:val="none" w:sz="0" w:space="0" w:color="auto"/>
            <w:bottom w:val="none" w:sz="0" w:space="0" w:color="auto"/>
            <w:right w:val="none" w:sz="0" w:space="0" w:color="auto"/>
          </w:divBdr>
        </w:div>
        <w:div w:id="532576927">
          <w:marLeft w:val="0"/>
          <w:marRight w:val="446"/>
          <w:marTop w:val="0"/>
          <w:marBottom w:val="0"/>
          <w:divBdr>
            <w:top w:val="none" w:sz="0" w:space="0" w:color="auto"/>
            <w:left w:val="none" w:sz="0" w:space="0" w:color="auto"/>
            <w:bottom w:val="none" w:sz="0" w:space="0" w:color="auto"/>
            <w:right w:val="none" w:sz="0" w:space="0" w:color="auto"/>
          </w:divBdr>
        </w:div>
        <w:div w:id="752356431">
          <w:marLeft w:val="0"/>
          <w:marRight w:val="446"/>
          <w:marTop w:val="0"/>
          <w:marBottom w:val="0"/>
          <w:divBdr>
            <w:top w:val="none" w:sz="0" w:space="0" w:color="auto"/>
            <w:left w:val="none" w:sz="0" w:space="0" w:color="auto"/>
            <w:bottom w:val="none" w:sz="0" w:space="0" w:color="auto"/>
            <w:right w:val="none" w:sz="0" w:space="0" w:color="auto"/>
          </w:divBdr>
        </w:div>
        <w:div w:id="1602104925">
          <w:marLeft w:val="0"/>
          <w:marRight w:val="547"/>
          <w:marTop w:val="0"/>
          <w:marBottom w:val="0"/>
          <w:divBdr>
            <w:top w:val="none" w:sz="0" w:space="0" w:color="auto"/>
            <w:left w:val="none" w:sz="0" w:space="0" w:color="auto"/>
            <w:bottom w:val="none" w:sz="0" w:space="0" w:color="auto"/>
            <w:right w:val="none" w:sz="0" w:space="0" w:color="auto"/>
          </w:divBdr>
        </w:div>
        <w:div w:id="1571577784">
          <w:marLeft w:val="0"/>
          <w:marRight w:val="547"/>
          <w:marTop w:val="0"/>
          <w:marBottom w:val="0"/>
          <w:divBdr>
            <w:top w:val="none" w:sz="0" w:space="0" w:color="auto"/>
            <w:left w:val="none" w:sz="0" w:space="0" w:color="auto"/>
            <w:bottom w:val="none" w:sz="0" w:space="0" w:color="auto"/>
            <w:right w:val="none" w:sz="0" w:space="0" w:color="auto"/>
          </w:divBdr>
        </w:div>
      </w:divsChild>
    </w:div>
    <w:div w:id="340817816">
      <w:bodyDiv w:val="1"/>
      <w:marLeft w:val="0"/>
      <w:marRight w:val="0"/>
      <w:marTop w:val="0"/>
      <w:marBottom w:val="0"/>
      <w:divBdr>
        <w:top w:val="none" w:sz="0" w:space="0" w:color="auto"/>
        <w:left w:val="none" w:sz="0" w:space="0" w:color="auto"/>
        <w:bottom w:val="none" w:sz="0" w:space="0" w:color="auto"/>
        <w:right w:val="none" w:sz="0" w:space="0" w:color="auto"/>
      </w:divBdr>
    </w:div>
    <w:div w:id="353969637">
      <w:bodyDiv w:val="1"/>
      <w:marLeft w:val="0"/>
      <w:marRight w:val="0"/>
      <w:marTop w:val="0"/>
      <w:marBottom w:val="0"/>
      <w:divBdr>
        <w:top w:val="none" w:sz="0" w:space="0" w:color="auto"/>
        <w:left w:val="none" w:sz="0" w:space="0" w:color="auto"/>
        <w:bottom w:val="none" w:sz="0" w:space="0" w:color="auto"/>
        <w:right w:val="none" w:sz="0" w:space="0" w:color="auto"/>
      </w:divBdr>
    </w:div>
    <w:div w:id="372311746">
      <w:bodyDiv w:val="1"/>
      <w:marLeft w:val="0"/>
      <w:marRight w:val="0"/>
      <w:marTop w:val="0"/>
      <w:marBottom w:val="0"/>
      <w:divBdr>
        <w:top w:val="none" w:sz="0" w:space="0" w:color="auto"/>
        <w:left w:val="none" w:sz="0" w:space="0" w:color="auto"/>
        <w:bottom w:val="none" w:sz="0" w:space="0" w:color="auto"/>
        <w:right w:val="none" w:sz="0" w:space="0" w:color="auto"/>
      </w:divBdr>
    </w:div>
    <w:div w:id="396125081">
      <w:bodyDiv w:val="1"/>
      <w:marLeft w:val="0"/>
      <w:marRight w:val="0"/>
      <w:marTop w:val="0"/>
      <w:marBottom w:val="0"/>
      <w:divBdr>
        <w:top w:val="none" w:sz="0" w:space="0" w:color="auto"/>
        <w:left w:val="none" w:sz="0" w:space="0" w:color="auto"/>
        <w:bottom w:val="none" w:sz="0" w:space="0" w:color="auto"/>
        <w:right w:val="none" w:sz="0" w:space="0" w:color="auto"/>
      </w:divBdr>
    </w:div>
    <w:div w:id="437870102">
      <w:bodyDiv w:val="1"/>
      <w:marLeft w:val="0"/>
      <w:marRight w:val="0"/>
      <w:marTop w:val="0"/>
      <w:marBottom w:val="0"/>
      <w:divBdr>
        <w:top w:val="none" w:sz="0" w:space="0" w:color="auto"/>
        <w:left w:val="none" w:sz="0" w:space="0" w:color="auto"/>
        <w:bottom w:val="none" w:sz="0" w:space="0" w:color="auto"/>
        <w:right w:val="none" w:sz="0" w:space="0" w:color="auto"/>
      </w:divBdr>
    </w:div>
    <w:div w:id="448547861">
      <w:bodyDiv w:val="1"/>
      <w:marLeft w:val="0"/>
      <w:marRight w:val="0"/>
      <w:marTop w:val="0"/>
      <w:marBottom w:val="0"/>
      <w:divBdr>
        <w:top w:val="none" w:sz="0" w:space="0" w:color="auto"/>
        <w:left w:val="none" w:sz="0" w:space="0" w:color="auto"/>
        <w:bottom w:val="none" w:sz="0" w:space="0" w:color="auto"/>
        <w:right w:val="none" w:sz="0" w:space="0" w:color="auto"/>
      </w:divBdr>
    </w:div>
    <w:div w:id="517281739">
      <w:bodyDiv w:val="1"/>
      <w:marLeft w:val="0"/>
      <w:marRight w:val="0"/>
      <w:marTop w:val="0"/>
      <w:marBottom w:val="0"/>
      <w:divBdr>
        <w:top w:val="none" w:sz="0" w:space="0" w:color="auto"/>
        <w:left w:val="none" w:sz="0" w:space="0" w:color="auto"/>
        <w:bottom w:val="none" w:sz="0" w:space="0" w:color="auto"/>
        <w:right w:val="none" w:sz="0" w:space="0" w:color="auto"/>
      </w:divBdr>
    </w:div>
    <w:div w:id="529613323">
      <w:bodyDiv w:val="1"/>
      <w:marLeft w:val="0"/>
      <w:marRight w:val="0"/>
      <w:marTop w:val="0"/>
      <w:marBottom w:val="0"/>
      <w:divBdr>
        <w:top w:val="none" w:sz="0" w:space="0" w:color="auto"/>
        <w:left w:val="none" w:sz="0" w:space="0" w:color="auto"/>
        <w:bottom w:val="none" w:sz="0" w:space="0" w:color="auto"/>
        <w:right w:val="none" w:sz="0" w:space="0" w:color="auto"/>
      </w:divBdr>
    </w:div>
    <w:div w:id="541359404">
      <w:bodyDiv w:val="1"/>
      <w:marLeft w:val="0"/>
      <w:marRight w:val="0"/>
      <w:marTop w:val="0"/>
      <w:marBottom w:val="0"/>
      <w:divBdr>
        <w:top w:val="none" w:sz="0" w:space="0" w:color="auto"/>
        <w:left w:val="none" w:sz="0" w:space="0" w:color="auto"/>
        <w:bottom w:val="none" w:sz="0" w:space="0" w:color="auto"/>
        <w:right w:val="none" w:sz="0" w:space="0" w:color="auto"/>
      </w:divBdr>
    </w:div>
    <w:div w:id="614026659">
      <w:bodyDiv w:val="1"/>
      <w:marLeft w:val="0"/>
      <w:marRight w:val="0"/>
      <w:marTop w:val="0"/>
      <w:marBottom w:val="0"/>
      <w:divBdr>
        <w:top w:val="none" w:sz="0" w:space="0" w:color="auto"/>
        <w:left w:val="none" w:sz="0" w:space="0" w:color="auto"/>
        <w:bottom w:val="none" w:sz="0" w:space="0" w:color="auto"/>
        <w:right w:val="none" w:sz="0" w:space="0" w:color="auto"/>
      </w:divBdr>
    </w:div>
    <w:div w:id="661741560">
      <w:bodyDiv w:val="1"/>
      <w:marLeft w:val="0"/>
      <w:marRight w:val="0"/>
      <w:marTop w:val="0"/>
      <w:marBottom w:val="0"/>
      <w:divBdr>
        <w:top w:val="none" w:sz="0" w:space="0" w:color="auto"/>
        <w:left w:val="none" w:sz="0" w:space="0" w:color="auto"/>
        <w:bottom w:val="none" w:sz="0" w:space="0" w:color="auto"/>
        <w:right w:val="none" w:sz="0" w:space="0" w:color="auto"/>
      </w:divBdr>
    </w:div>
    <w:div w:id="849296838">
      <w:bodyDiv w:val="1"/>
      <w:marLeft w:val="0"/>
      <w:marRight w:val="0"/>
      <w:marTop w:val="0"/>
      <w:marBottom w:val="0"/>
      <w:divBdr>
        <w:top w:val="none" w:sz="0" w:space="0" w:color="auto"/>
        <w:left w:val="none" w:sz="0" w:space="0" w:color="auto"/>
        <w:bottom w:val="none" w:sz="0" w:space="0" w:color="auto"/>
        <w:right w:val="none" w:sz="0" w:space="0" w:color="auto"/>
      </w:divBdr>
    </w:div>
    <w:div w:id="882330605">
      <w:bodyDiv w:val="1"/>
      <w:marLeft w:val="0"/>
      <w:marRight w:val="0"/>
      <w:marTop w:val="0"/>
      <w:marBottom w:val="0"/>
      <w:divBdr>
        <w:top w:val="none" w:sz="0" w:space="0" w:color="auto"/>
        <w:left w:val="none" w:sz="0" w:space="0" w:color="auto"/>
        <w:bottom w:val="none" w:sz="0" w:space="0" w:color="auto"/>
        <w:right w:val="none" w:sz="0" w:space="0" w:color="auto"/>
      </w:divBdr>
    </w:div>
    <w:div w:id="897283666">
      <w:bodyDiv w:val="1"/>
      <w:marLeft w:val="0"/>
      <w:marRight w:val="0"/>
      <w:marTop w:val="0"/>
      <w:marBottom w:val="0"/>
      <w:divBdr>
        <w:top w:val="none" w:sz="0" w:space="0" w:color="auto"/>
        <w:left w:val="none" w:sz="0" w:space="0" w:color="auto"/>
        <w:bottom w:val="none" w:sz="0" w:space="0" w:color="auto"/>
        <w:right w:val="none" w:sz="0" w:space="0" w:color="auto"/>
      </w:divBdr>
    </w:div>
    <w:div w:id="916935258">
      <w:bodyDiv w:val="1"/>
      <w:marLeft w:val="0"/>
      <w:marRight w:val="0"/>
      <w:marTop w:val="0"/>
      <w:marBottom w:val="0"/>
      <w:divBdr>
        <w:top w:val="none" w:sz="0" w:space="0" w:color="auto"/>
        <w:left w:val="none" w:sz="0" w:space="0" w:color="auto"/>
        <w:bottom w:val="none" w:sz="0" w:space="0" w:color="auto"/>
        <w:right w:val="none" w:sz="0" w:space="0" w:color="auto"/>
      </w:divBdr>
    </w:div>
    <w:div w:id="943925373">
      <w:bodyDiv w:val="1"/>
      <w:marLeft w:val="0"/>
      <w:marRight w:val="0"/>
      <w:marTop w:val="0"/>
      <w:marBottom w:val="0"/>
      <w:divBdr>
        <w:top w:val="none" w:sz="0" w:space="0" w:color="auto"/>
        <w:left w:val="none" w:sz="0" w:space="0" w:color="auto"/>
        <w:bottom w:val="none" w:sz="0" w:space="0" w:color="auto"/>
        <w:right w:val="none" w:sz="0" w:space="0" w:color="auto"/>
      </w:divBdr>
    </w:div>
    <w:div w:id="958488293">
      <w:bodyDiv w:val="1"/>
      <w:marLeft w:val="0"/>
      <w:marRight w:val="0"/>
      <w:marTop w:val="0"/>
      <w:marBottom w:val="0"/>
      <w:divBdr>
        <w:top w:val="none" w:sz="0" w:space="0" w:color="auto"/>
        <w:left w:val="none" w:sz="0" w:space="0" w:color="auto"/>
        <w:bottom w:val="none" w:sz="0" w:space="0" w:color="auto"/>
        <w:right w:val="none" w:sz="0" w:space="0" w:color="auto"/>
      </w:divBdr>
    </w:div>
    <w:div w:id="998533610">
      <w:bodyDiv w:val="1"/>
      <w:marLeft w:val="0"/>
      <w:marRight w:val="0"/>
      <w:marTop w:val="0"/>
      <w:marBottom w:val="0"/>
      <w:divBdr>
        <w:top w:val="none" w:sz="0" w:space="0" w:color="auto"/>
        <w:left w:val="none" w:sz="0" w:space="0" w:color="auto"/>
        <w:bottom w:val="none" w:sz="0" w:space="0" w:color="auto"/>
        <w:right w:val="none" w:sz="0" w:space="0" w:color="auto"/>
      </w:divBdr>
    </w:div>
    <w:div w:id="1031495771">
      <w:bodyDiv w:val="1"/>
      <w:marLeft w:val="0"/>
      <w:marRight w:val="0"/>
      <w:marTop w:val="0"/>
      <w:marBottom w:val="0"/>
      <w:divBdr>
        <w:top w:val="none" w:sz="0" w:space="0" w:color="auto"/>
        <w:left w:val="none" w:sz="0" w:space="0" w:color="auto"/>
        <w:bottom w:val="none" w:sz="0" w:space="0" w:color="auto"/>
        <w:right w:val="none" w:sz="0" w:space="0" w:color="auto"/>
      </w:divBdr>
    </w:div>
    <w:div w:id="1039357109">
      <w:bodyDiv w:val="1"/>
      <w:marLeft w:val="0"/>
      <w:marRight w:val="0"/>
      <w:marTop w:val="0"/>
      <w:marBottom w:val="0"/>
      <w:divBdr>
        <w:top w:val="none" w:sz="0" w:space="0" w:color="auto"/>
        <w:left w:val="none" w:sz="0" w:space="0" w:color="auto"/>
        <w:bottom w:val="none" w:sz="0" w:space="0" w:color="auto"/>
        <w:right w:val="none" w:sz="0" w:space="0" w:color="auto"/>
      </w:divBdr>
    </w:div>
    <w:div w:id="1110466423">
      <w:bodyDiv w:val="1"/>
      <w:marLeft w:val="0"/>
      <w:marRight w:val="0"/>
      <w:marTop w:val="0"/>
      <w:marBottom w:val="0"/>
      <w:divBdr>
        <w:top w:val="none" w:sz="0" w:space="0" w:color="auto"/>
        <w:left w:val="none" w:sz="0" w:space="0" w:color="auto"/>
        <w:bottom w:val="none" w:sz="0" w:space="0" w:color="auto"/>
        <w:right w:val="none" w:sz="0" w:space="0" w:color="auto"/>
      </w:divBdr>
    </w:div>
    <w:div w:id="1126236568">
      <w:bodyDiv w:val="1"/>
      <w:marLeft w:val="0"/>
      <w:marRight w:val="0"/>
      <w:marTop w:val="0"/>
      <w:marBottom w:val="0"/>
      <w:divBdr>
        <w:top w:val="none" w:sz="0" w:space="0" w:color="auto"/>
        <w:left w:val="none" w:sz="0" w:space="0" w:color="auto"/>
        <w:bottom w:val="none" w:sz="0" w:space="0" w:color="auto"/>
        <w:right w:val="none" w:sz="0" w:space="0" w:color="auto"/>
      </w:divBdr>
    </w:div>
    <w:div w:id="1130515702">
      <w:bodyDiv w:val="1"/>
      <w:marLeft w:val="0"/>
      <w:marRight w:val="0"/>
      <w:marTop w:val="0"/>
      <w:marBottom w:val="0"/>
      <w:divBdr>
        <w:top w:val="none" w:sz="0" w:space="0" w:color="auto"/>
        <w:left w:val="none" w:sz="0" w:space="0" w:color="auto"/>
        <w:bottom w:val="none" w:sz="0" w:space="0" w:color="auto"/>
        <w:right w:val="none" w:sz="0" w:space="0" w:color="auto"/>
      </w:divBdr>
    </w:div>
    <w:div w:id="1187909696">
      <w:bodyDiv w:val="1"/>
      <w:marLeft w:val="0"/>
      <w:marRight w:val="0"/>
      <w:marTop w:val="0"/>
      <w:marBottom w:val="0"/>
      <w:divBdr>
        <w:top w:val="none" w:sz="0" w:space="0" w:color="auto"/>
        <w:left w:val="none" w:sz="0" w:space="0" w:color="auto"/>
        <w:bottom w:val="none" w:sz="0" w:space="0" w:color="auto"/>
        <w:right w:val="none" w:sz="0" w:space="0" w:color="auto"/>
      </w:divBdr>
    </w:div>
    <w:div w:id="1206412068">
      <w:bodyDiv w:val="1"/>
      <w:marLeft w:val="0"/>
      <w:marRight w:val="0"/>
      <w:marTop w:val="0"/>
      <w:marBottom w:val="0"/>
      <w:divBdr>
        <w:top w:val="none" w:sz="0" w:space="0" w:color="auto"/>
        <w:left w:val="none" w:sz="0" w:space="0" w:color="auto"/>
        <w:bottom w:val="none" w:sz="0" w:space="0" w:color="auto"/>
        <w:right w:val="none" w:sz="0" w:space="0" w:color="auto"/>
      </w:divBdr>
    </w:div>
    <w:div w:id="1207064842">
      <w:bodyDiv w:val="1"/>
      <w:marLeft w:val="0"/>
      <w:marRight w:val="0"/>
      <w:marTop w:val="0"/>
      <w:marBottom w:val="0"/>
      <w:divBdr>
        <w:top w:val="none" w:sz="0" w:space="0" w:color="auto"/>
        <w:left w:val="none" w:sz="0" w:space="0" w:color="auto"/>
        <w:bottom w:val="none" w:sz="0" w:space="0" w:color="auto"/>
        <w:right w:val="none" w:sz="0" w:space="0" w:color="auto"/>
      </w:divBdr>
      <w:divsChild>
        <w:div w:id="2025282340">
          <w:marLeft w:val="0"/>
          <w:marRight w:val="547"/>
          <w:marTop w:val="0"/>
          <w:marBottom w:val="0"/>
          <w:divBdr>
            <w:top w:val="none" w:sz="0" w:space="0" w:color="auto"/>
            <w:left w:val="none" w:sz="0" w:space="0" w:color="auto"/>
            <w:bottom w:val="none" w:sz="0" w:space="0" w:color="auto"/>
            <w:right w:val="none" w:sz="0" w:space="0" w:color="auto"/>
          </w:divBdr>
        </w:div>
        <w:div w:id="589697107">
          <w:marLeft w:val="0"/>
          <w:marRight w:val="547"/>
          <w:marTop w:val="0"/>
          <w:marBottom w:val="0"/>
          <w:divBdr>
            <w:top w:val="none" w:sz="0" w:space="0" w:color="auto"/>
            <w:left w:val="none" w:sz="0" w:space="0" w:color="auto"/>
            <w:bottom w:val="none" w:sz="0" w:space="0" w:color="auto"/>
            <w:right w:val="none" w:sz="0" w:space="0" w:color="auto"/>
          </w:divBdr>
        </w:div>
      </w:divsChild>
    </w:div>
    <w:div w:id="1230846443">
      <w:bodyDiv w:val="1"/>
      <w:marLeft w:val="0"/>
      <w:marRight w:val="0"/>
      <w:marTop w:val="0"/>
      <w:marBottom w:val="0"/>
      <w:divBdr>
        <w:top w:val="none" w:sz="0" w:space="0" w:color="auto"/>
        <w:left w:val="none" w:sz="0" w:space="0" w:color="auto"/>
        <w:bottom w:val="none" w:sz="0" w:space="0" w:color="auto"/>
        <w:right w:val="none" w:sz="0" w:space="0" w:color="auto"/>
      </w:divBdr>
    </w:div>
    <w:div w:id="1234240939">
      <w:bodyDiv w:val="1"/>
      <w:marLeft w:val="0"/>
      <w:marRight w:val="0"/>
      <w:marTop w:val="0"/>
      <w:marBottom w:val="0"/>
      <w:divBdr>
        <w:top w:val="none" w:sz="0" w:space="0" w:color="auto"/>
        <w:left w:val="none" w:sz="0" w:space="0" w:color="auto"/>
        <w:bottom w:val="none" w:sz="0" w:space="0" w:color="auto"/>
        <w:right w:val="none" w:sz="0" w:space="0" w:color="auto"/>
      </w:divBdr>
    </w:div>
    <w:div w:id="1237858858">
      <w:bodyDiv w:val="1"/>
      <w:marLeft w:val="0"/>
      <w:marRight w:val="0"/>
      <w:marTop w:val="0"/>
      <w:marBottom w:val="0"/>
      <w:divBdr>
        <w:top w:val="none" w:sz="0" w:space="0" w:color="auto"/>
        <w:left w:val="none" w:sz="0" w:space="0" w:color="auto"/>
        <w:bottom w:val="none" w:sz="0" w:space="0" w:color="auto"/>
        <w:right w:val="none" w:sz="0" w:space="0" w:color="auto"/>
      </w:divBdr>
    </w:div>
    <w:div w:id="1245534900">
      <w:bodyDiv w:val="1"/>
      <w:marLeft w:val="0"/>
      <w:marRight w:val="0"/>
      <w:marTop w:val="0"/>
      <w:marBottom w:val="0"/>
      <w:divBdr>
        <w:top w:val="none" w:sz="0" w:space="0" w:color="auto"/>
        <w:left w:val="none" w:sz="0" w:space="0" w:color="auto"/>
        <w:bottom w:val="none" w:sz="0" w:space="0" w:color="auto"/>
        <w:right w:val="none" w:sz="0" w:space="0" w:color="auto"/>
      </w:divBdr>
    </w:div>
    <w:div w:id="1274822415">
      <w:bodyDiv w:val="1"/>
      <w:marLeft w:val="0"/>
      <w:marRight w:val="0"/>
      <w:marTop w:val="0"/>
      <w:marBottom w:val="0"/>
      <w:divBdr>
        <w:top w:val="none" w:sz="0" w:space="0" w:color="auto"/>
        <w:left w:val="none" w:sz="0" w:space="0" w:color="auto"/>
        <w:bottom w:val="none" w:sz="0" w:space="0" w:color="auto"/>
        <w:right w:val="none" w:sz="0" w:space="0" w:color="auto"/>
      </w:divBdr>
    </w:div>
    <w:div w:id="1414276046">
      <w:bodyDiv w:val="1"/>
      <w:marLeft w:val="0"/>
      <w:marRight w:val="0"/>
      <w:marTop w:val="0"/>
      <w:marBottom w:val="0"/>
      <w:divBdr>
        <w:top w:val="none" w:sz="0" w:space="0" w:color="auto"/>
        <w:left w:val="none" w:sz="0" w:space="0" w:color="auto"/>
        <w:bottom w:val="none" w:sz="0" w:space="0" w:color="auto"/>
        <w:right w:val="none" w:sz="0" w:space="0" w:color="auto"/>
      </w:divBdr>
    </w:div>
    <w:div w:id="1417437542">
      <w:bodyDiv w:val="1"/>
      <w:marLeft w:val="0"/>
      <w:marRight w:val="0"/>
      <w:marTop w:val="0"/>
      <w:marBottom w:val="0"/>
      <w:divBdr>
        <w:top w:val="none" w:sz="0" w:space="0" w:color="auto"/>
        <w:left w:val="none" w:sz="0" w:space="0" w:color="auto"/>
        <w:bottom w:val="none" w:sz="0" w:space="0" w:color="auto"/>
        <w:right w:val="none" w:sz="0" w:space="0" w:color="auto"/>
      </w:divBdr>
    </w:div>
    <w:div w:id="1427188339">
      <w:bodyDiv w:val="1"/>
      <w:marLeft w:val="0"/>
      <w:marRight w:val="0"/>
      <w:marTop w:val="0"/>
      <w:marBottom w:val="0"/>
      <w:divBdr>
        <w:top w:val="none" w:sz="0" w:space="0" w:color="auto"/>
        <w:left w:val="none" w:sz="0" w:space="0" w:color="auto"/>
        <w:bottom w:val="none" w:sz="0" w:space="0" w:color="auto"/>
        <w:right w:val="none" w:sz="0" w:space="0" w:color="auto"/>
      </w:divBdr>
    </w:div>
    <w:div w:id="1440954217">
      <w:bodyDiv w:val="1"/>
      <w:marLeft w:val="0"/>
      <w:marRight w:val="0"/>
      <w:marTop w:val="0"/>
      <w:marBottom w:val="0"/>
      <w:divBdr>
        <w:top w:val="none" w:sz="0" w:space="0" w:color="auto"/>
        <w:left w:val="none" w:sz="0" w:space="0" w:color="auto"/>
        <w:bottom w:val="none" w:sz="0" w:space="0" w:color="auto"/>
        <w:right w:val="none" w:sz="0" w:space="0" w:color="auto"/>
      </w:divBdr>
    </w:div>
    <w:div w:id="1442257604">
      <w:bodyDiv w:val="1"/>
      <w:marLeft w:val="0"/>
      <w:marRight w:val="0"/>
      <w:marTop w:val="0"/>
      <w:marBottom w:val="0"/>
      <w:divBdr>
        <w:top w:val="none" w:sz="0" w:space="0" w:color="auto"/>
        <w:left w:val="none" w:sz="0" w:space="0" w:color="auto"/>
        <w:bottom w:val="none" w:sz="0" w:space="0" w:color="auto"/>
        <w:right w:val="none" w:sz="0" w:space="0" w:color="auto"/>
      </w:divBdr>
    </w:div>
    <w:div w:id="1444306021">
      <w:bodyDiv w:val="1"/>
      <w:marLeft w:val="0"/>
      <w:marRight w:val="0"/>
      <w:marTop w:val="0"/>
      <w:marBottom w:val="0"/>
      <w:divBdr>
        <w:top w:val="none" w:sz="0" w:space="0" w:color="auto"/>
        <w:left w:val="none" w:sz="0" w:space="0" w:color="auto"/>
        <w:bottom w:val="none" w:sz="0" w:space="0" w:color="auto"/>
        <w:right w:val="none" w:sz="0" w:space="0" w:color="auto"/>
      </w:divBdr>
    </w:div>
    <w:div w:id="1475678322">
      <w:bodyDiv w:val="1"/>
      <w:marLeft w:val="0"/>
      <w:marRight w:val="0"/>
      <w:marTop w:val="0"/>
      <w:marBottom w:val="0"/>
      <w:divBdr>
        <w:top w:val="none" w:sz="0" w:space="0" w:color="auto"/>
        <w:left w:val="none" w:sz="0" w:space="0" w:color="auto"/>
        <w:bottom w:val="none" w:sz="0" w:space="0" w:color="auto"/>
        <w:right w:val="none" w:sz="0" w:space="0" w:color="auto"/>
      </w:divBdr>
    </w:div>
    <w:div w:id="1505900082">
      <w:bodyDiv w:val="1"/>
      <w:marLeft w:val="0"/>
      <w:marRight w:val="0"/>
      <w:marTop w:val="0"/>
      <w:marBottom w:val="0"/>
      <w:divBdr>
        <w:top w:val="none" w:sz="0" w:space="0" w:color="auto"/>
        <w:left w:val="none" w:sz="0" w:space="0" w:color="auto"/>
        <w:bottom w:val="none" w:sz="0" w:space="0" w:color="auto"/>
        <w:right w:val="none" w:sz="0" w:space="0" w:color="auto"/>
      </w:divBdr>
      <w:divsChild>
        <w:div w:id="1944916835">
          <w:marLeft w:val="0"/>
          <w:marRight w:val="446"/>
          <w:marTop w:val="0"/>
          <w:marBottom w:val="0"/>
          <w:divBdr>
            <w:top w:val="none" w:sz="0" w:space="0" w:color="auto"/>
            <w:left w:val="none" w:sz="0" w:space="0" w:color="auto"/>
            <w:bottom w:val="none" w:sz="0" w:space="0" w:color="auto"/>
            <w:right w:val="none" w:sz="0" w:space="0" w:color="auto"/>
          </w:divBdr>
        </w:div>
        <w:div w:id="1680890453">
          <w:marLeft w:val="0"/>
          <w:marRight w:val="446"/>
          <w:marTop w:val="0"/>
          <w:marBottom w:val="0"/>
          <w:divBdr>
            <w:top w:val="none" w:sz="0" w:space="0" w:color="auto"/>
            <w:left w:val="none" w:sz="0" w:space="0" w:color="auto"/>
            <w:bottom w:val="none" w:sz="0" w:space="0" w:color="auto"/>
            <w:right w:val="none" w:sz="0" w:space="0" w:color="auto"/>
          </w:divBdr>
        </w:div>
        <w:div w:id="1423990461">
          <w:marLeft w:val="0"/>
          <w:marRight w:val="446"/>
          <w:marTop w:val="0"/>
          <w:marBottom w:val="0"/>
          <w:divBdr>
            <w:top w:val="none" w:sz="0" w:space="0" w:color="auto"/>
            <w:left w:val="none" w:sz="0" w:space="0" w:color="auto"/>
            <w:bottom w:val="none" w:sz="0" w:space="0" w:color="auto"/>
            <w:right w:val="none" w:sz="0" w:space="0" w:color="auto"/>
          </w:divBdr>
        </w:div>
        <w:div w:id="1564638701">
          <w:marLeft w:val="0"/>
          <w:marRight w:val="446"/>
          <w:marTop w:val="0"/>
          <w:marBottom w:val="0"/>
          <w:divBdr>
            <w:top w:val="none" w:sz="0" w:space="0" w:color="auto"/>
            <w:left w:val="none" w:sz="0" w:space="0" w:color="auto"/>
            <w:bottom w:val="none" w:sz="0" w:space="0" w:color="auto"/>
            <w:right w:val="none" w:sz="0" w:space="0" w:color="auto"/>
          </w:divBdr>
        </w:div>
        <w:div w:id="1912739293">
          <w:marLeft w:val="0"/>
          <w:marRight w:val="446"/>
          <w:marTop w:val="0"/>
          <w:marBottom w:val="0"/>
          <w:divBdr>
            <w:top w:val="none" w:sz="0" w:space="0" w:color="auto"/>
            <w:left w:val="none" w:sz="0" w:space="0" w:color="auto"/>
            <w:bottom w:val="none" w:sz="0" w:space="0" w:color="auto"/>
            <w:right w:val="none" w:sz="0" w:space="0" w:color="auto"/>
          </w:divBdr>
        </w:div>
        <w:div w:id="1388408365">
          <w:marLeft w:val="0"/>
          <w:marRight w:val="446"/>
          <w:marTop w:val="0"/>
          <w:marBottom w:val="0"/>
          <w:divBdr>
            <w:top w:val="none" w:sz="0" w:space="0" w:color="auto"/>
            <w:left w:val="none" w:sz="0" w:space="0" w:color="auto"/>
            <w:bottom w:val="none" w:sz="0" w:space="0" w:color="auto"/>
            <w:right w:val="none" w:sz="0" w:space="0" w:color="auto"/>
          </w:divBdr>
        </w:div>
        <w:div w:id="806506387">
          <w:marLeft w:val="0"/>
          <w:marRight w:val="446"/>
          <w:marTop w:val="0"/>
          <w:marBottom w:val="0"/>
          <w:divBdr>
            <w:top w:val="none" w:sz="0" w:space="0" w:color="auto"/>
            <w:left w:val="none" w:sz="0" w:space="0" w:color="auto"/>
            <w:bottom w:val="none" w:sz="0" w:space="0" w:color="auto"/>
            <w:right w:val="none" w:sz="0" w:space="0" w:color="auto"/>
          </w:divBdr>
        </w:div>
        <w:div w:id="1472626659">
          <w:marLeft w:val="0"/>
          <w:marRight w:val="446"/>
          <w:marTop w:val="0"/>
          <w:marBottom w:val="0"/>
          <w:divBdr>
            <w:top w:val="none" w:sz="0" w:space="0" w:color="auto"/>
            <w:left w:val="none" w:sz="0" w:space="0" w:color="auto"/>
            <w:bottom w:val="none" w:sz="0" w:space="0" w:color="auto"/>
            <w:right w:val="none" w:sz="0" w:space="0" w:color="auto"/>
          </w:divBdr>
        </w:div>
      </w:divsChild>
    </w:div>
    <w:div w:id="1577473282">
      <w:bodyDiv w:val="1"/>
      <w:marLeft w:val="0"/>
      <w:marRight w:val="0"/>
      <w:marTop w:val="0"/>
      <w:marBottom w:val="0"/>
      <w:divBdr>
        <w:top w:val="none" w:sz="0" w:space="0" w:color="auto"/>
        <w:left w:val="none" w:sz="0" w:space="0" w:color="auto"/>
        <w:bottom w:val="none" w:sz="0" w:space="0" w:color="auto"/>
        <w:right w:val="none" w:sz="0" w:space="0" w:color="auto"/>
      </w:divBdr>
    </w:div>
    <w:div w:id="1584102084">
      <w:bodyDiv w:val="1"/>
      <w:marLeft w:val="0"/>
      <w:marRight w:val="0"/>
      <w:marTop w:val="0"/>
      <w:marBottom w:val="0"/>
      <w:divBdr>
        <w:top w:val="none" w:sz="0" w:space="0" w:color="auto"/>
        <w:left w:val="none" w:sz="0" w:space="0" w:color="auto"/>
        <w:bottom w:val="none" w:sz="0" w:space="0" w:color="auto"/>
        <w:right w:val="none" w:sz="0" w:space="0" w:color="auto"/>
      </w:divBdr>
    </w:div>
    <w:div w:id="1598445584">
      <w:bodyDiv w:val="1"/>
      <w:marLeft w:val="0"/>
      <w:marRight w:val="0"/>
      <w:marTop w:val="0"/>
      <w:marBottom w:val="0"/>
      <w:divBdr>
        <w:top w:val="none" w:sz="0" w:space="0" w:color="auto"/>
        <w:left w:val="none" w:sz="0" w:space="0" w:color="auto"/>
        <w:bottom w:val="none" w:sz="0" w:space="0" w:color="auto"/>
        <w:right w:val="none" w:sz="0" w:space="0" w:color="auto"/>
      </w:divBdr>
    </w:div>
    <w:div w:id="1615794168">
      <w:bodyDiv w:val="1"/>
      <w:marLeft w:val="0"/>
      <w:marRight w:val="0"/>
      <w:marTop w:val="0"/>
      <w:marBottom w:val="0"/>
      <w:divBdr>
        <w:top w:val="none" w:sz="0" w:space="0" w:color="auto"/>
        <w:left w:val="none" w:sz="0" w:space="0" w:color="auto"/>
        <w:bottom w:val="none" w:sz="0" w:space="0" w:color="auto"/>
        <w:right w:val="none" w:sz="0" w:space="0" w:color="auto"/>
      </w:divBdr>
    </w:div>
    <w:div w:id="1618177515">
      <w:bodyDiv w:val="1"/>
      <w:marLeft w:val="0"/>
      <w:marRight w:val="0"/>
      <w:marTop w:val="0"/>
      <w:marBottom w:val="0"/>
      <w:divBdr>
        <w:top w:val="none" w:sz="0" w:space="0" w:color="auto"/>
        <w:left w:val="none" w:sz="0" w:space="0" w:color="auto"/>
        <w:bottom w:val="none" w:sz="0" w:space="0" w:color="auto"/>
        <w:right w:val="none" w:sz="0" w:space="0" w:color="auto"/>
      </w:divBdr>
    </w:div>
    <w:div w:id="1692950244">
      <w:bodyDiv w:val="1"/>
      <w:marLeft w:val="0"/>
      <w:marRight w:val="0"/>
      <w:marTop w:val="0"/>
      <w:marBottom w:val="0"/>
      <w:divBdr>
        <w:top w:val="none" w:sz="0" w:space="0" w:color="auto"/>
        <w:left w:val="none" w:sz="0" w:space="0" w:color="auto"/>
        <w:bottom w:val="none" w:sz="0" w:space="0" w:color="auto"/>
        <w:right w:val="none" w:sz="0" w:space="0" w:color="auto"/>
      </w:divBdr>
    </w:div>
    <w:div w:id="1703508440">
      <w:bodyDiv w:val="1"/>
      <w:marLeft w:val="0"/>
      <w:marRight w:val="0"/>
      <w:marTop w:val="0"/>
      <w:marBottom w:val="0"/>
      <w:divBdr>
        <w:top w:val="none" w:sz="0" w:space="0" w:color="auto"/>
        <w:left w:val="none" w:sz="0" w:space="0" w:color="auto"/>
        <w:bottom w:val="none" w:sz="0" w:space="0" w:color="auto"/>
        <w:right w:val="none" w:sz="0" w:space="0" w:color="auto"/>
      </w:divBdr>
      <w:divsChild>
        <w:div w:id="681782365">
          <w:marLeft w:val="0"/>
          <w:marRight w:val="274"/>
          <w:marTop w:val="0"/>
          <w:marBottom w:val="0"/>
          <w:divBdr>
            <w:top w:val="none" w:sz="0" w:space="0" w:color="auto"/>
            <w:left w:val="none" w:sz="0" w:space="0" w:color="auto"/>
            <w:bottom w:val="none" w:sz="0" w:space="0" w:color="auto"/>
            <w:right w:val="none" w:sz="0" w:space="0" w:color="auto"/>
          </w:divBdr>
        </w:div>
        <w:div w:id="1683437044">
          <w:marLeft w:val="0"/>
          <w:marRight w:val="274"/>
          <w:marTop w:val="0"/>
          <w:marBottom w:val="0"/>
          <w:divBdr>
            <w:top w:val="none" w:sz="0" w:space="0" w:color="auto"/>
            <w:left w:val="none" w:sz="0" w:space="0" w:color="auto"/>
            <w:bottom w:val="none" w:sz="0" w:space="0" w:color="auto"/>
            <w:right w:val="none" w:sz="0" w:space="0" w:color="auto"/>
          </w:divBdr>
        </w:div>
      </w:divsChild>
    </w:div>
    <w:div w:id="1758015908">
      <w:bodyDiv w:val="1"/>
      <w:marLeft w:val="0"/>
      <w:marRight w:val="0"/>
      <w:marTop w:val="0"/>
      <w:marBottom w:val="0"/>
      <w:divBdr>
        <w:top w:val="none" w:sz="0" w:space="0" w:color="auto"/>
        <w:left w:val="none" w:sz="0" w:space="0" w:color="auto"/>
        <w:bottom w:val="none" w:sz="0" w:space="0" w:color="auto"/>
        <w:right w:val="none" w:sz="0" w:space="0" w:color="auto"/>
      </w:divBdr>
    </w:div>
    <w:div w:id="1782645766">
      <w:bodyDiv w:val="1"/>
      <w:marLeft w:val="0"/>
      <w:marRight w:val="0"/>
      <w:marTop w:val="0"/>
      <w:marBottom w:val="0"/>
      <w:divBdr>
        <w:top w:val="none" w:sz="0" w:space="0" w:color="auto"/>
        <w:left w:val="none" w:sz="0" w:space="0" w:color="auto"/>
        <w:bottom w:val="none" w:sz="0" w:space="0" w:color="auto"/>
        <w:right w:val="none" w:sz="0" w:space="0" w:color="auto"/>
      </w:divBdr>
    </w:div>
    <w:div w:id="1809590501">
      <w:bodyDiv w:val="1"/>
      <w:marLeft w:val="0"/>
      <w:marRight w:val="0"/>
      <w:marTop w:val="0"/>
      <w:marBottom w:val="0"/>
      <w:divBdr>
        <w:top w:val="none" w:sz="0" w:space="0" w:color="auto"/>
        <w:left w:val="none" w:sz="0" w:space="0" w:color="auto"/>
        <w:bottom w:val="none" w:sz="0" w:space="0" w:color="auto"/>
        <w:right w:val="none" w:sz="0" w:space="0" w:color="auto"/>
      </w:divBdr>
    </w:div>
    <w:div w:id="1831435952">
      <w:bodyDiv w:val="1"/>
      <w:marLeft w:val="0"/>
      <w:marRight w:val="0"/>
      <w:marTop w:val="0"/>
      <w:marBottom w:val="0"/>
      <w:divBdr>
        <w:top w:val="none" w:sz="0" w:space="0" w:color="auto"/>
        <w:left w:val="none" w:sz="0" w:space="0" w:color="auto"/>
        <w:bottom w:val="none" w:sz="0" w:space="0" w:color="auto"/>
        <w:right w:val="none" w:sz="0" w:space="0" w:color="auto"/>
      </w:divBdr>
    </w:div>
    <w:div w:id="1891190836">
      <w:bodyDiv w:val="1"/>
      <w:marLeft w:val="0"/>
      <w:marRight w:val="0"/>
      <w:marTop w:val="0"/>
      <w:marBottom w:val="0"/>
      <w:divBdr>
        <w:top w:val="none" w:sz="0" w:space="0" w:color="auto"/>
        <w:left w:val="none" w:sz="0" w:space="0" w:color="auto"/>
        <w:bottom w:val="none" w:sz="0" w:space="0" w:color="auto"/>
        <w:right w:val="none" w:sz="0" w:space="0" w:color="auto"/>
      </w:divBdr>
    </w:div>
    <w:div w:id="1942687224">
      <w:bodyDiv w:val="1"/>
      <w:marLeft w:val="0"/>
      <w:marRight w:val="0"/>
      <w:marTop w:val="0"/>
      <w:marBottom w:val="0"/>
      <w:divBdr>
        <w:top w:val="none" w:sz="0" w:space="0" w:color="auto"/>
        <w:left w:val="none" w:sz="0" w:space="0" w:color="auto"/>
        <w:bottom w:val="none" w:sz="0" w:space="0" w:color="auto"/>
        <w:right w:val="none" w:sz="0" w:space="0" w:color="auto"/>
      </w:divBdr>
    </w:div>
    <w:div w:id="1943025767">
      <w:bodyDiv w:val="1"/>
      <w:marLeft w:val="0"/>
      <w:marRight w:val="0"/>
      <w:marTop w:val="0"/>
      <w:marBottom w:val="0"/>
      <w:divBdr>
        <w:top w:val="none" w:sz="0" w:space="0" w:color="auto"/>
        <w:left w:val="none" w:sz="0" w:space="0" w:color="auto"/>
        <w:bottom w:val="none" w:sz="0" w:space="0" w:color="auto"/>
        <w:right w:val="none" w:sz="0" w:space="0" w:color="auto"/>
      </w:divBdr>
      <w:divsChild>
        <w:div w:id="2091198167">
          <w:marLeft w:val="0"/>
          <w:marRight w:val="274"/>
          <w:marTop w:val="0"/>
          <w:marBottom w:val="0"/>
          <w:divBdr>
            <w:top w:val="none" w:sz="0" w:space="0" w:color="auto"/>
            <w:left w:val="none" w:sz="0" w:space="0" w:color="auto"/>
            <w:bottom w:val="none" w:sz="0" w:space="0" w:color="auto"/>
            <w:right w:val="none" w:sz="0" w:space="0" w:color="auto"/>
          </w:divBdr>
        </w:div>
        <w:div w:id="552036254">
          <w:marLeft w:val="0"/>
          <w:marRight w:val="274"/>
          <w:marTop w:val="0"/>
          <w:marBottom w:val="0"/>
          <w:divBdr>
            <w:top w:val="none" w:sz="0" w:space="0" w:color="auto"/>
            <w:left w:val="none" w:sz="0" w:space="0" w:color="auto"/>
            <w:bottom w:val="none" w:sz="0" w:space="0" w:color="auto"/>
            <w:right w:val="none" w:sz="0" w:space="0" w:color="auto"/>
          </w:divBdr>
        </w:div>
        <w:div w:id="1556425972">
          <w:marLeft w:val="0"/>
          <w:marRight w:val="547"/>
          <w:marTop w:val="0"/>
          <w:marBottom w:val="0"/>
          <w:divBdr>
            <w:top w:val="none" w:sz="0" w:space="0" w:color="auto"/>
            <w:left w:val="none" w:sz="0" w:space="0" w:color="auto"/>
            <w:bottom w:val="none" w:sz="0" w:space="0" w:color="auto"/>
            <w:right w:val="none" w:sz="0" w:space="0" w:color="auto"/>
          </w:divBdr>
        </w:div>
        <w:div w:id="488909129">
          <w:marLeft w:val="0"/>
          <w:marRight w:val="547"/>
          <w:marTop w:val="0"/>
          <w:marBottom w:val="0"/>
          <w:divBdr>
            <w:top w:val="none" w:sz="0" w:space="0" w:color="auto"/>
            <w:left w:val="none" w:sz="0" w:space="0" w:color="auto"/>
            <w:bottom w:val="none" w:sz="0" w:space="0" w:color="auto"/>
            <w:right w:val="none" w:sz="0" w:space="0" w:color="auto"/>
          </w:divBdr>
        </w:div>
      </w:divsChild>
    </w:div>
    <w:div w:id="2029940607">
      <w:bodyDiv w:val="1"/>
      <w:marLeft w:val="0"/>
      <w:marRight w:val="0"/>
      <w:marTop w:val="0"/>
      <w:marBottom w:val="0"/>
      <w:divBdr>
        <w:top w:val="none" w:sz="0" w:space="0" w:color="auto"/>
        <w:left w:val="none" w:sz="0" w:space="0" w:color="auto"/>
        <w:bottom w:val="none" w:sz="0" w:space="0" w:color="auto"/>
        <w:right w:val="none" w:sz="0" w:space="0" w:color="auto"/>
      </w:divBdr>
    </w:div>
    <w:div w:id="2042895864">
      <w:bodyDiv w:val="1"/>
      <w:marLeft w:val="0"/>
      <w:marRight w:val="0"/>
      <w:marTop w:val="0"/>
      <w:marBottom w:val="0"/>
      <w:divBdr>
        <w:top w:val="none" w:sz="0" w:space="0" w:color="auto"/>
        <w:left w:val="none" w:sz="0" w:space="0" w:color="auto"/>
        <w:bottom w:val="none" w:sz="0" w:space="0" w:color="auto"/>
        <w:right w:val="none" w:sz="0" w:space="0" w:color="auto"/>
      </w:divBdr>
      <w:divsChild>
        <w:div w:id="700472936">
          <w:marLeft w:val="0"/>
          <w:marRight w:val="274"/>
          <w:marTop w:val="0"/>
          <w:marBottom w:val="0"/>
          <w:divBdr>
            <w:top w:val="none" w:sz="0" w:space="0" w:color="auto"/>
            <w:left w:val="none" w:sz="0" w:space="0" w:color="auto"/>
            <w:bottom w:val="none" w:sz="0" w:space="0" w:color="auto"/>
            <w:right w:val="none" w:sz="0" w:space="0" w:color="auto"/>
          </w:divBdr>
        </w:div>
        <w:div w:id="1174109900">
          <w:marLeft w:val="0"/>
          <w:marRight w:val="274"/>
          <w:marTop w:val="0"/>
          <w:marBottom w:val="0"/>
          <w:divBdr>
            <w:top w:val="none" w:sz="0" w:space="0" w:color="auto"/>
            <w:left w:val="none" w:sz="0" w:space="0" w:color="auto"/>
            <w:bottom w:val="none" w:sz="0" w:space="0" w:color="auto"/>
            <w:right w:val="none" w:sz="0" w:space="0" w:color="auto"/>
          </w:divBdr>
        </w:div>
      </w:divsChild>
    </w:div>
    <w:div w:id="2063093758">
      <w:bodyDiv w:val="1"/>
      <w:marLeft w:val="0"/>
      <w:marRight w:val="0"/>
      <w:marTop w:val="0"/>
      <w:marBottom w:val="0"/>
      <w:divBdr>
        <w:top w:val="none" w:sz="0" w:space="0" w:color="auto"/>
        <w:left w:val="none" w:sz="0" w:space="0" w:color="auto"/>
        <w:bottom w:val="none" w:sz="0" w:space="0" w:color="auto"/>
        <w:right w:val="none" w:sz="0" w:space="0" w:color="auto"/>
      </w:divBdr>
    </w:div>
    <w:div w:id="2104641005">
      <w:bodyDiv w:val="1"/>
      <w:marLeft w:val="0"/>
      <w:marRight w:val="0"/>
      <w:marTop w:val="0"/>
      <w:marBottom w:val="0"/>
      <w:divBdr>
        <w:top w:val="none" w:sz="0" w:space="0" w:color="auto"/>
        <w:left w:val="none" w:sz="0" w:space="0" w:color="auto"/>
        <w:bottom w:val="none" w:sz="0" w:space="0" w:color="auto"/>
        <w:right w:val="none" w:sz="0" w:space="0" w:color="auto"/>
      </w:divBdr>
    </w:div>
    <w:div w:id="2119444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https://did.li/spotify-third-side-of-coin" TargetMode="External"/><Relationship Id="rId13" Type="http://schemas.openxmlformats.org/officeDocument/2006/relationships/hyperlink" Target="https://www.facebook.com/bankisraelvc" TargetMode="External"/><Relationship Id="rId3" Type="http://schemas.microsoft.com/office/2007/relationships/hdphoto" Target="media/hdphoto1.wdp"/><Relationship Id="rId7" Type="http://schemas.microsoft.com/office/2007/relationships/hdphoto" Target="media/hdphoto3.wdp"/><Relationship Id="rId12" Type="http://schemas.openxmlformats.org/officeDocument/2006/relationships/hyperlink" Target="https://www.facebook.com/bankisraelvc" TargetMode="External"/><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png"/><Relationship Id="rId11" Type="http://schemas.openxmlformats.org/officeDocument/2006/relationships/hyperlink" Target="https://www.youtube.com/user/thebankofisrael" TargetMode="External"/><Relationship Id="rId5" Type="http://schemas.microsoft.com/office/2007/relationships/hdphoto" Target="media/hdphoto2.wdp"/><Relationship Id="rId15" Type="http://schemas.openxmlformats.org/officeDocument/2006/relationships/hyperlink" Target="https://www.boi.org.il/" TargetMode="External"/><Relationship Id="rId10" Type="http://schemas.openxmlformats.org/officeDocument/2006/relationships/hyperlink" Target="https://www.youtube.com/user/thebankofisrael" TargetMode="External"/><Relationship Id="rId4" Type="http://schemas.openxmlformats.org/officeDocument/2006/relationships/image" Target="media/image6.png"/><Relationship Id="rId9" Type="http://schemas.openxmlformats.org/officeDocument/2006/relationships/hyperlink" Target="https://did.li/spotify-third-side-of-coin" TargetMode="External"/><Relationship Id="rId14" Type="http://schemas.openxmlformats.org/officeDocument/2006/relationships/hyperlink" Target="https://www.boi.org.i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_____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_________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76585706242913"/>
          <c:y val="9.9046017489019908E-2"/>
          <c:w val="0.8480647805459649"/>
          <c:h val="0.69282989751909163"/>
        </c:manualLayout>
      </c:layout>
      <c:barChart>
        <c:barDir val="col"/>
        <c:grouping val="clustered"/>
        <c:varyColors val="0"/>
        <c:ser>
          <c:idx val="0"/>
          <c:order val="0"/>
          <c:tx>
            <c:strRef>
              <c:f>'הודעה לעיתונות'!$B$1</c:f>
              <c:strCache>
                <c:ptCount val="1"/>
                <c:pt idx="0">
                  <c:v>מודל חלקי</c:v>
                </c:pt>
              </c:strCache>
            </c:strRef>
          </c:tx>
          <c:spPr>
            <a:solidFill>
              <a:srgbClr val="DA8F32"/>
            </a:solidFill>
            <a:ln>
              <a:noFill/>
            </a:ln>
            <a:effectLst>
              <a:outerShdw sx="0" sy="0" rotWithShape="0">
                <a:scrgbClr r="0" g="0" b="0">
                  <a:alpha val="0"/>
                </a:scrgbClr>
              </a:outerShdw>
            </a:effectLst>
            <a:scene3d>
              <a:camera prst="orthographicFront"/>
              <a:lightRig rig="flat" dir="t"/>
            </a:scene3d>
            <a:extLst>
              <a:ext uri="{91240B29-F687-4F45-9708-019B960494DF}">
                <a14:hiddenLine xmlns:a14="http://schemas.microsoft.com/office/drawing/2010/main">
                  <a:noFill/>
                </a14:hiddenLine>
              </a:ext>
            </a:extLst>
          </c:spPr>
          <c:invertIfNegative val="0"/>
          <c:cat>
            <c:strRef>
              <c:f>'הודעה לעיתונות'!$A$2:$A$4</c:f>
              <c:strCache>
                <c:ptCount val="3"/>
                <c:pt idx="0">
                  <c:v>החזאים הפרטיים</c:v>
                </c:pt>
                <c:pt idx="1">
                  <c:v>חוזי האינפלציה</c:v>
                </c:pt>
                <c:pt idx="2">
                  <c:v>הבנקים המסחריים</c:v>
                </c:pt>
              </c:strCache>
            </c:strRef>
          </c:cat>
          <c:val>
            <c:numRef>
              <c:f>'הודעה לעיתונות'!$B$2:$B$4</c:f>
              <c:numCache>
                <c:formatCode>General</c:formatCode>
                <c:ptCount val="3"/>
                <c:pt idx="0">
                  <c:v>0.08</c:v>
                </c:pt>
                <c:pt idx="1">
                  <c:v>0.13</c:v>
                </c:pt>
                <c:pt idx="2">
                  <c:v>0.14000000000000001</c:v>
                </c:pt>
              </c:numCache>
            </c:numRef>
          </c:val>
          <c:extLst>
            <c:ext xmlns:c16="http://schemas.microsoft.com/office/drawing/2014/chart" uri="{C3380CC4-5D6E-409C-BE32-E72D297353CC}">
              <c16:uniqueId val="{00000000-244B-4F19-A09D-16500F4F18C0}"/>
            </c:ext>
          </c:extLst>
        </c:ser>
        <c:ser>
          <c:idx val="1"/>
          <c:order val="1"/>
          <c:tx>
            <c:strRef>
              <c:f>'הודעה לעיתונות'!$C$1</c:f>
              <c:strCache>
                <c:ptCount val="1"/>
                <c:pt idx="0">
                  <c:v>מודל מלא</c:v>
                </c:pt>
              </c:strCache>
            </c:strRef>
          </c:tx>
          <c:spPr>
            <a:solidFill>
              <a:srgbClr val="008DA3"/>
            </a:solidFill>
            <a:ln>
              <a:noFill/>
            </a:ln>
            <a:effectLst>
              <a:outerShdw sx="0" sy="0" rotWithShape="0">
                <a:scrgbClr r="0" g="0" b="0">
                  <a:alpha val="0"/>
                </a:scrgbClr>
              </a:outerShdw>
            </a:effectLst>
            <a:scene3d>
              <a:camera prst="orthographicFront"/>
              <a:lightRig rig="flat" dir="t"/>
            </a:scene3d>
            <a:extLst>
              <a:ext uri="{91240B29-F687-4F45-9708-019B960494DF}">
                <a14:hiddenLine xmlns:a14="http://schemas.microsoft.com/office/drawing/2010/main">
                  <a:noFill/>
                </a14:hiddenLine>
              </a:ext>
            </a:extLst>
          </c:spPr>
          <c:invertIfNegative val="0"/>
          <c:cat>
            <c:strRef>
              <c:f>'הודעה לעיתונות'!$A$2:$A$4</c:f>
              <c:strCache>
                <c:ptCount val="3"/>
                <c:pt idx="0">
                  <c:v>החזאים הפרטיים</c:v>
                </c:pt>
                <c:pt idx="1">
                  <c:v>חוזי האינפלציה</c:v>
                </c:pt>
                <c:pt idx="2">
                  <c:v>הבנקים המסחריים</c:v>
                </c:pt>
              </c:strCache>
            </c:strRef>
          </c:cat>
          <c:val>
            <c:numRef>
              <c:f>'הודעה לעיתונות'!$C$2:$C$4</c:f>
              <c:numCache>
                <c:formatCode>General</c:formatCode>
                <c:ptCount val="3"/>
                <c:pt idx="0">
                  <c:v>0.36</c:v>
                </c:pt>
                <c:pt idx="1">
                  <c:v>0.3</c:v>
                </c:pt>
                <c:pt idx="2">
                  <c:v>0.28000000000000003</c:v>
                </c:pt>
              </c:numCache>
            </c:numRef>
          </c:val>
          <c:extLst>
            <c:ext xmlns:c16="http://schemas.microsoft.com/office/drawing/2014/chart" uri="{C3380CC4-5D6E-409C-BE32-E72D297353CC}">
              <c16:uniqueId val="{00000001-244B-4F19-A09D-16500F4F18C0}"/>
            </c:ext>
          </c:extLst>
        </c:ser>
        <c:dLbls>
          <c:showLegendKey val="0"/>
          <c:showVal val="0"/>
          <c:showCatName val="0"/>
          <c:showSerName val="0"/>
          <c:showPercent val="0"/>
          <c:showBubbleSize val="0"/>
        </c:dLbls>
        <c:gapWidth val="150"/>
        <c:axId val="715482312"/>
        <c:axId val="715483296"/>
      </c:barChart>
      <c:catAx>
        <c:axId val="71548231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e-IL" sz="1000" b="0" i="0" u="none" strike="noStrike" baseline="0">
                    <a:effectLst/>
                    <a:latin typeface="Calibri" panose="020F0502020204030204" pitchFamily="34" charset="0"/>
                    <a:cs typeface="Calibri" panose="020F0502020204030204" pitchFamily="34" charset="0"/>
                  </a:rPr>
                  <a:t>המקורות הנחזים</a:t>
                </a:r>
                <a:endParaRPr lang="he-IL" sz="1000">
                  <a:latin typeface="Calibri" panose="020F0502020204030204" pitchFamily="34" charset="0"/>
                  <a:cs typeface="Calibri" panose="020F0502020204030204" pitchFamily="34" charset="0"/>
                </a:endParaRPr>
              </a:p>
            </c:rich>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low"/>
        <c:spPr>
          <a:noFill/>
          <a:ln w="6350"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Calibri"/>
                <a:ea typeface="Calibri"/>
                <a:cs typeface="Calibri"/>
              </a:defRPr>
            </a:pPr>
            <a:endParaRPr lang="he-IL"/>
          </a:p>
        </c:txPr>
        <c:crossAx val="715483296"/>
        <c:crosses val="autoZero"/>
        <c:auto val="1"/>
        <c:lblAlgn val="ctr"/>
        <c:lblOffset val="100"/>
        <c:noMultiLvlLbl val="0"/>
      </c:catAx>
      <c:valAx>
        <c:axId val="715483296"/>
        <c:scaling>
          <c:orientation val="minMax"/>
        </c:scaling>
        <c:delete val="0"/>
        <c:axPos val="l"/>
        <c:majorGridlines>
          <c:spPr>
            <a:ln w="6350" cap="flat" cmpd="sng" algn="ctr">
              <a:solidFill>
                <a:srgbClr val="D9D9D9"/>
              </a:solidFill>
              <a:prstDash val="solid"/>
              <a:round/>
            </a:ln>
            <a:effectLst/>
          </c:spPr>
        </c:majorGridlines>
        <c:title>
          <c:tx>
            <c:rich>
              <a:bodyPr rot="0" spcFirstLastPara="1" vertOverflow="ellipsis" wrap="square" anchor="t" anchorCtr="0"/>
              <a:lstStyle/>
              <a:p>
                <a:pPr>
                  <a:defRPr sz="900" b="0" i="0" u="none" strike="noStrike" kern="1200" baseline="0">
                    <a:solidFill>
                      <a:schemeClr val="tx1">
                        <a:lumMod val="65000"/>
                        <a:lumOff val="35000"/>
                      </a:schemeClr>
                    </a:solidFill>
                    <a:latin typeface="+mn-lt"/>
                    <a:ea typeface="+mn-ea"/>
                    <a:cs typeface="+mn-cs"/>
                  </a:defRPr>
                </a:pPr>
                <a:r>
                  <a:rPr lang="he-IL" sz="900">
                    <a:solidFill>
                      <a:sysClr val="windowText" lastClr="000000"/>
                    </a:solidFill>
                  </a:rPr>
                  <a:t>%</a:t>
                </a:r>
              </a:p>
            </c:rich>
          </c:tx>
          <c:layout>
            <c:manualLayout>
              <c:xMode val="edge"/>
              <c:yMode val="edge"/>
              <c:x val="2.8197381671701913E-2"/>
              <c:y val="1.9934317255569183E-3"/>
            </c:manualLayout>
          </c:layout>
          <c:overlay val="0"/>
          <c:spPr>
            <a:noFill/>
            <a:ln>
              <a:noFill/>
            </a:ln>
            <a:effectLst/>
          </c:spPr>
          <c:txPr>
            <a:bodyPr rot="0" spcFirstLastPara="1" vertOverflow="ellipsis" wrap="square" anchor="t" anchorCtr="0"/>
            <a:lstStyle/>
            <a:p>
              <a:pPr>
                <a:defRPr sz="9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low"/>
        <c:spPr>
          <a:noFill/>
          <a:ln w="6350">
            <a:solidFill>
              <a:srgbClr val="000000"/>
            </a:solidFill>
            <a:prstDash val="solid"/>
          </a:ln>
          <a:effectLst/>
        </c:spPr>
        <c:txPr>
          <a:bodyPr rot="0" spcFirstLastPara="1" vertOverflow="ellipsis" wrap="square" anchor="ctr" anchorCtr="1"/>
          <a:lstStyle/>
          <a:p>
            <a:pPr>
              <a:defRPr sz="1000" b="0" i="0" u="none" strike="noStrike" kern="1200" baseline="0">
                <a:solidFill>
                  <a:srgbClr val="000000"/>
                </a:solidFill>
                <a:latin typeface="Calibri"/>
                <a:ea typeface="Calibri"/>
                <a:cs typeface="Calibri"/>
              </a:defRPr>
            </a:pPr>
            <a:endParaRPr lang="he-IL"/>
          </a:p>
        </c:txPr>
        <c:crossAx val="715482312"/>
        <c:crosses val="autoZero"/>
        <c:crossBetween val="between"/>
        <c:majorUnit val="0.1"/>
      </c:valAx>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plotArea>
    <c:plotVisOnly val="1"/>
    <c:dispBlanksAs val="gap"/>
    <c:showDLblsOverMax val="0"/>
  </c:chart>
  <c:spPr>
    <a:solidFill>
      <a:srgbClr val="FFFFFF"/>
    </a:solidFill>
    <a:ln w="9525" cap="flat" cmpd="sng" algn="ctr">
      <a:noFill/>
      <a:prstDash val="solid"/>
      <a:round/>
    </a:ln>
    <a:effectLst/>
  </c:spPr>
  <c:txPr>
    <a:bodyPr/>
    <a:lstStyle/>
    <a:p>
      <a:pPr>
        <a:defRPr/>
      </a:pPr>
      <a:endParaRPr lang="he-I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93699513288994"/>
          <c:y val="0.10972539864677719"/>
          <c:w val="0.84770054532018446"/>
          <c:h val="0.68215051636133428"/>
        </c:manualLayout>
      </c:layout>
      <c:barChart>
        <c:barDir val="col"/>
        <c:grouping val="clustered"/>
        <c:varyColors val="0"/>
        <c:ser>
          <c:idx val="0"/>
          <c:order val="0"/>
          <c:tx>
            <c:strRef>
              <c:f>'הודעה לעיתונות'!$F$1</c:f>
              <c:strCache>
                <c:ptCount val="1"/>
                <c:pt idx="0">
                  <c:v>מודל חלקי</c:v>
                </c:pt>
              </c:strCache>
            </c:strRef>
          </c:tx>
          <c:spPr>
            <a:solidFill>
              <a:srgbClr val="DA8F32"/>
            </a:solidFill>
            <a:ln>
              <a:noFill/>
            </a:ln>
            <a:effectLst>
              <a:outerShdw sx="0" sy="0" rotWithShape="0">
                <a:scrgbClr r="0" g="0" b="0">
                  <a:alpha val="0"/>
                </a:scrgbClr>
              </a:outerShdw>
            </a:effectLst>
            <a:scene3d>
              <a:camera prst="orthographicFront"/>
              <a:lightRig rig="flat" dir="t"/>
            </a:scene3d>
            <a:extLst>
              <a:ext uri="{91240B29-F687-4F45-9708-019B960494DF}">
                <a14:hiddenLine xmlns:a14="http://schemas.microsoft.com/office/drawing/2010/main">
                  <a:noFill/>
                </a14:hiddenLine>
              </a:ext>
            </a:extLst>
          </c:spPr>
          <c:invertIfNegative val="0"/>
          <c:cat>
            <c:strRef>
              <c:f>'הודעה לעיתונות'!$E$2:$E$4</c:f>
              <c:strCache>
                <c:ptCount val="3"/>
                <c:pt idx="0">
                  <c:v>החזאים הפרטיים</c:v>
                </c:pt>
                <c:pt idx="1">
                  <c:v>חוזי האינפלציה</c:v>
                </c:pt>
                <c:pt idx="2">
                  <c:v>הבנקים המסחריים</c:v>
                </c:pt>
              </c:strCache>
            </c:strRef>
          </c:cat>
          <c:val>
            <c:numRef>
              <c:f>'הודעה לעיתונות'!$F$2:$F$4</c:f>
              <c:numCache>
                <c:formatCode>General</c:formatCode>
                <c:ptCount val="3"/>
                <c:pt idx="0">
                  <c:v>0.06</c:v>
                </c:pt>
                <c:pt idx="1">
                  <c:v>0.06</c:v>
                </c:pt>
                <c:pt idx="2">
                  <c:v>0.06</c:v>
                </c:pt>
              </c:numCache>
            </c:numRef>
          </c:val>
          <c:extLst>
            <c:ext xmlns:c16="http://schemas.microsoft.com/office/drawing/2014/chart" uri="{C3380CC4-5D6E-409C-BE32-E72D297353CC}">
              <c16:uniqueId val="{00000000-660B-41FF-9B5A-CE63CA9123E8}"/>
            </c:ext>
          </c:extLst>
        </c:ser>
        <c:ser>
          <c:idx val="1"/>
          <c:order val="1"/>
          <c:tx>
            <c:strRef>
              <c:f>'הודעה לעיתונות'!$G$1</c:f>
              <c:strCache>
                <c:ptCount val="1"/>
                <c:pt idx="0">
                  <c:v>מודל מלא</c:v>
                </c:pt>
              </c:strCache>
            </c:strRef>
          </c:tx>
          <c:spPr>
            <a:solidFill>
              <a:srgbClr val="008DA3"/>
            </a:solidFill>
            <a:ln>
              <a:noFill/>
            </a:ln>
            <a:effectLst>
              <a:outerShdw sx="0" sy="0" rotWithShape="0">
                <a:scrgbClr r="0" g="0" b="0">
                  <a:alpha val="0"/>
                </a:scrgbClr>
              </a:outerShdw>
            </a:effectLst>
            <a:scene3d>
              <a:camera prst="orthographicFront"/>
              <a:lightRig rig="flat" dir="t"/>
            </a:scene3d>
            <a:extLst>
              <a:ext uri="{91240B29-F687-4F45-9708-019B960494DF}">
                <a14:hiddenLine xmlns:a14="http://schemas.microsoft.com/office/drawing/2010/main">
                  <a:noFill/>
                </a14:hiddenLine>
              </a:ext>
            </a:extLst>
          </c:spPr>
          <c:invertIfNegative val="0"/>
          <c:cat>
            <c:strRef>
              <c:f>'הודעה לעיתונות'!$E$2:$E$4</c:f>
              <c:strCache>
                <c:ptCount val="3"/>
                <c:pt idx="0">
                  <c:v>החזאים הפרטיים</c:v>
                </c:pt>
                <c:pt idx="1">
                  <c:v>חוזי האינפלציה</c:v>
                </c:pt>
                <c:pt idx="2">
                  <c:v>הבנקים המסחריים</c:v>
                </c:pt>
              </c:strCache>
            </c:strRef>
          </c:cat>
          <c:val>
            <c:numRef>
              <c:f>'הודעה לעיתונות'!$G$2:$G$4</c:f>
              <c:numCache>
                <c:formatCode>General</c:formatCode>
                <c:ptCount val="3"/>
                <c:pt idx="0">
                  <c:v>7.0000000000000007E-2</c:v>
                </c:pt>
                <c:pt idx="1">
                  <c:v>0.08</c:v>
                </c:pt>
                <c:pt idx="2">
                  <c:v>7.0000000000000007E-2</c:v>
                </c:pt>
              </c:numCache>
            </c:numRef>
          </c:val>
          <c:extLst>
            <c:ext xmlns:c16="http://schemas.microsoft.com/office/drawing/2014/chart" uri="{C3380CC4-5D6E-409C-BE32-E72D297353CC}">
              <c16:uniqueId val="{00000001-660B-41FF-9B5A-CE63CA9123E8}"/>
            </c:ext>
          </c:extLst>
        </c:ser>
        <c:dLbls>
          <c:showLegendKey val="0"/>
          <c:showVal val="0"/>
          <c:showCatName val="0"/>
          <c:showSerName val="0"/>
          <c:showPercent val="0"/>
          <c:showBubbleSize val="0"/>
        </c:dLbls>
        <c:gapWidth val="150"/>
        <c:axId val="715481328"/>
        <c:axId val="715490840"/>
      </c:barChart>
      <c:catAx>
        <c:axId val="71548132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e-IL" sz="1000">
                    <a:latin typeface="Calibri" panose="020F0502020204030204" pitchFamily="34" charset="0"/>
                    <a:cs typeface="Calibri" panose="020F0502020204030204" pitchFamily="34" charset="0"/>
                  </a:rPr>
                  <a:t>המקורות המשמשים לחיזוי</a:t>
                </a:r>
              </a:p>
            </c:rich>
          </c:tx>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low"/>
        <c:spPr>
          <a:noFill/>
          <a:ln w="6350"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Calibri"/>
                <a:ea typeface="Calibri"/>
                <a:cs typeface="Calibri"/>
              </a:defRPr>
            </a:pPr>
            <a:endParaRPr lang="he-IL"/>
          </a:p>
        </c:txPr>
        <c:crossAx val="715490840"/>
        <c:crosses val="autoZero"/>
        <c:auto val="1"/>
        <c:lblAlgn val="ctr"/>
        <c:lblOffset val="100"/>
        <c:noMultiLvlLbl val="0"/>
      </c:catAx>
      <c:valAx>
        <c:axId val="715490840"/>
        <c:scaling>
          <c:orientation val="minMax"/>
          <c:max val="0.4"/>
        </c:scaling>
        <c:delete val="0"/>
        <c:axPos val="l"/>
        <c:majorGridlines>
          <c:spPr>
            <a:ln w="6350" cap="flat" cmpd="sng" algn="ctr">
              <a:solidFill>
                <a:srgbClr val="D9D9D9"/>
              </a:solidFill>
              <a:prstDash val="solid"/>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sz="900">
                    <a:solidFill>
                      <a:sysClr val="windowText" lastClr="000000"/>
                    </a:solidFill>
                  </a:rPr>
                  <a:t>%</a:t>
                </a:r>
              </a:p>
            </c:rich>
          </c:tx>
          <c:layout>
            <c:manualLayout>
              <c:xMode val="edge"/>
              <c:yMode val="edge"/>
              <c:x val="2.0226537216828478E-2"/>
              <c:y val="1.2358247932576269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low"/>
        <c:spPr>
          <a:noFill/>
          <a:ln w="6350">
            <a:solidFill>
              <a:srgbClr val="000000"/>
            </a:solidFill>
            <a:prstDash val="solid"/>
          </a:ln>
          <a:effectLst/>
        </c:spPr>
        <c:txPr>
          <a:bodyPr rot="0" spcFirstLastPara="1" vertOverflow="ellipsis" wrap="square" anchor="ctr" anchorCtr="1"/>
          <a:lstStyle/>
          <a:p>
            <a:pPr>
              <a:defRPr sz="1000" b="0" i="0" u="none" strike="noStrike" kern="1200" baseline="0">
                <a:solidFill>
                  <a:srgbClr val="000000"/>
                </a:solidFill>
                <a:latin typeface="Calibri"/>
                <a:ea typeface="Calibri"/>
                <a:cs typeface="Calibri"/>
              </a:defRPr>
            </a:pPr>
            <a:endParaRPr lang="he-IL"/>
          </a:p>
        </c:txPr>
        <c:crossAx val="715481328"/>
        <c:crosses val="autoZero"/>
        <c:crossBetween val="between"/>
        <c:majorUnit val="0.1"/>
      </c:valAx>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plotArea>
    <c:plotVisOnly val="1"/>
    <c:dispBlanksAs val="gap"/>
    <c:showDLblsOverMax val="0"/>
  </c:chart>
  <c:spPr>
    <a:solidFill>
      <a:srgbClr val="FFFFFF"/>
    </a:solidFill>
    <a:ln w="9525" cap="flat" cmpd="sng" algn="ctr">
      <a:noFill/>
      <a:prstDash val="solid"/>
      <a:round/>
    </a:ln>
    <a:effectLst/>
  </c:spPr>
  <c:txPr>
    <a:bodyPr/>
    <a:lstStyle/>
    <a:p>
      <a:pPr>
        <a:defRPr/>
      </a:pPr>
      <a:endParaRPr lang="he-I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5F6CF-2718-42D6-99CE-137D565E1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651</Words>
  <Characters>3256</Characters>
  <Application>Microsoft Office Word</Application>
  <DocSecurity>4</DocSecurity>
  <Lines>27</Lines>
  <Paragraphs>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סיגל ריבון</dc:creator>
  <cp:lastModifiedBy>טלי בן משה</cp:lastModifiedBy>
  <cp:revision>2</cp:revision>
  <dcterms:created xsi:type="dcterms:W3CDTF">2026-02-09T14:30:00Z</dcterms:created>
  <dcterms:modified xsi:type="dcterms:W3CDTF">2026-02-09T14:30:00Z</dcterms:modified>
</cp:coreProperties>
</file>