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0105E584" w:rsidR="00650B9A" w:rsidRDefault="00125AB8" w:rsidP="00A60E0E">
      <w:pPr>
        <w:pStyle w:val="regpar"/>
        <w:spacing w:line="300" w:lineRule="atLeast"/>
        <w:ind w:firstLine="0"/>
        <w:jc w:val="center"/>
        <w:rPr>
          <w:rFonts w:ascii="Times New Roman" w:hAnsi="Times New Roman" w:cs="David"/>
          <w:bCs/>
        </w:rPr>
      </w:pPr>
      <w:r>
        <w:rPr>
          <w:noProof/>
        </w:rPr>
        <w:drawing>
          <wp:inline distT="0" distB="0" distL="0" distR="0" wp14:anchorId="48CFD75F" wp14:editId="68863E03">
            <wp:extent cx="2924175" cy="971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971550"/>
                    </a:xfrm>
                    <a:prstGeom prst="rect">
                      <a:avLst/>
                    </a:prstGeom>
                    <a:noFill/>
                    <a:ln>
                      <a:noFill/>
                    </a:ln>
                  </pic:spPr>
                </pic:pic>
              </a:graphicData>
            </a:graphic>
          </wp:inline>
        </w:drawing>
      </w:r>
    </w:p>
    <w:p w14:paraId="5A42A60F" w14:textId="77777777" w:rsidR="00125AB8" w:rsidRDefault="00125AB8" w:rsidP="00A60E0E">
      <w:pPr>
        <w:pStyle w:val="regpar"/>
        <w:spacing w:line="300" w:lineRule="atLeast"/>
        <w:ind w:firstLine="0"/>
        <w:jc w:val="center"/>
        <w:rPr>
          <w:rFonts w:ascii="Times New Roman" w:hAnsi="Times New Roman" w:cs="David"/>
          <w:bCs/>
        </w:rPr>
      </w:pPr>
    </w:p>
    <w:p w14:paraId="5FEC0092" w14:textId="77777777" w:rsidR="00650B9A" w:rsidRPr="0012431B" w:rsidRDefault="00650B9A" w:rsidP="00A60E0E">
      <w:pPr>
        <w:pStyle w:val="regpar"/>
        <w:spacing w:line="300" w:lineRule="atLeast"/>
        <w:ind w:firstLine="0"/>
        <w:jc w:val="center"/>
        <w:rPr>
          <w:rFonts w:ascii="Segoe UI" w:hAnsi="Segoe UI" w:cs="Segoe UI"/>
          <w:bCs/>
          <w:sz w:val="22"/>
          <w:szCs w:val="22"/>
        </w:rPr>
      </w:pPr>
      <w:r w:rsidRPr="0012431B">
        <w:rPr>
          <w:rFonts w:ascii="Segoe UI" w:hAnsi="Segoe UI" w:cs="Segoe UI"/>
          <w:bCs/>
          <w:sz w:val="22"/>
          <w:szCs w:val="22"/>
        </w:rPr>
        <w:t>BANK OF ISRAEL</w:t>
      </w:r>
    </w:p>
    <w:p w14:paraId="7BDED074" w14:textId="1F140308" w:rsidR="00650B9A" w:rsidRPr="0012431B" w:rsidRDefault="00650B9A"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 xml:space="preserve">Office of the </w:t>
      </w:r>
      <w:r w:rsidR="0009048D" w:rsidRPr="0012431B">
        <w:rPr>
          <w:rFonts w:ascii="Segoe UI" w:hAnsi="Segoe UI" w:cs="Segoe UI"/>
          <w:sz w:val="22"/>
          <w:szCs w:val="22"/>
        </w:rPr>
        <w:t>Spokesperson and Economic Information</w:t>
      </w:r>
    </w:p>
    <w:p w14:paraId="5DC516B5" w14:textId="6D04FE8F" w:rsidR="0009048D" w:rsidRPr="0012431B" w:rsidRDefault="0009048D" w:rsidP="0009048D">
      <w:pPr>
        <w:pStyle w:val="regpar"/>
        <w:spacing w:line="300" w:lineRule="atLeast"/>
        <w:ind w:firstLine="0"/>
        <w:jc w:val="center"/>
        <w:rPr>
          <w:rFonts w:ascii="Segoe UI" w:hAnsi="Segoe UI" w:cs="Segoe UI"/>
          <w:sz w:val="22"/>
          <w:szCs w:val="22"/>
        </w:rPr>
      </w:pPr>
    </w:p>
    <w:p w14:paraId="73A6A7DC" w14:textId="3569AD15" w:rsidR="0009048D" w:rsidRPr="0012431B" w:rsidRDefault="0009048D"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Press release</w:t>
      </w:r>
    </w:p>
    <w:p w14:paraId="2DEFF62A" w14:textId="77777777" w:rsidR="00DD0AB5" w:rsidRPr="0012431B" w:rsidRDefault="00DD0AB5" w:rsidP="00A60E0E">
      <w:pPr>
        <w:pStyle w:val="regpar"/>
        <w:spacing w:line="300" w:lineRule="atLeast"/>
        <w:ind w:firstLine="0"/>
        <w:jc w:val="center"/>
        <w:rPr>
          <w:rFonts w:ascii="Segoe UI" w:hAnsi="Segoe UI" w:cs="Segoe UI"/>
          <w:b/>
          <w:sz w:val="22"/>
          <w:szCs w:val="22"/>
        </w:rPr>
      </w:pPr>
    </w:p>
    <w:p w14:paraId="0CD9A423" w14:textId="3423C8A0" w:rsidR="007617BD" w:rsidRPr="0012431B" w:rsidRDefault="008226D3" w:rsidP="00167A70">
      <w:pPr>
        <w:pStyle w:val="regpar"/>
        <w:rPr>
          <w:rFonts w:ascii="Segoe UI" w:hAnsi="Segoe UI" w:cs="Segoe UI"/>
          <w:sz w:val="22"/>
          <w:szCs w:val="22"/>
        </w:rPr>
      </w:pPr>
      <w:r>
        <w:rPr>
          <w:rFonts w:ascii="Segoe UI" w:hAnsi="Segoe UI" w:cs="Segoe UI"/>
          <w:sz w:val="22"/>
          <w:szCs w:val="22"/>
        </w:rPr>
        <w:t>November</w:t>
      </w:r>
      <w:r w:rsidR="00952A64">
        <w:rPr>
          <w:rFonts w:ascii="Segoe UI" w:hAnsi="Segoe UI" w:cs="Segoe UI"/>
          <w:sz w:val="22"/>
          <w:szCs w:val="22"/>
        </w:rPr>
        <w:t xml:space="preserve"> </w:t>
      </w:r>
      <w:r>
        <w:rPr>
          <w:rFonts w:ascii="Segoe UI" w:hAnsi="Segoe UI" w:cs="Segoe UI"/>
          <w:sz w:val="22"/>
          <w:szCs w:val="22"/>
        </w:rPr>
        <w:t>19</w:t>
      </w:r>
      <w:r w:rsidR="008D25AA">
        <w:rPr>
          <w:rFonts w:ascii="Segoe UI" w:hAnsi="Segoe UI" w:cs="Segoe UI"/>
          <w:sz w:val="22"/>
          <w:szCs w:val="22"/>
        </w:rPr>
        <w:t>,</w:t>
      </w:r>
      <w:r w:rsidR="00443EB3">
        <w:rPr>
          <w:rFonts w:ascii="Segoe UI" w:hAnsi="Segoe UI" w:cs="Segoe UI"/>
          <w:sz w:val="22"/>
          <w:szCs w:val="22"/>
        </w:rPr>
        <w:t xml:space="preserve"> 2</w:t>
      </w:r>
      <w:bookmarkStart w:id="0" w:name="_GoBack"/>
      <w:bookmarkEnd w:id="0"/>
      <w:r w:rsidR="00443EB3">
        <w:rPr>
          <w:rFonts w:ascii="Segoe UI" w:hAnsi="Segoe UI" w:cs="Segoe UI"/>
          <w:sz w:val="22"/>
          <w:szCs w:val="22"/>
        </w:rPr>
        <w:t>025</w:t>
      </w:r>
    </w:p>
    <w:p w14:paraId="22D7AE78" w14:textId="3BEA9B84" w:rsidR="00F23C43" w:rsidRPr="0012431B" w:rsidRDefault="00F23C43" w:rsidP="00F23C43">
      <w:pPr>
        <w:pStyle w:val="regpar"/>
        <w:rPr>
          <w:rFonts w:ascii="Segoe UI" w:hAnsi="Segoe UI" w:cs="Segoe UI"/>
          <w:sz w:val="22"/>
          <w:szCs w:val="22"/>
        </w:rPr>
      </w:pPr>
    </w:p>
    <w:p w14:paraId="325CE029" w14:textId="62F036B2" w:rsidR="00D00CF7" w:rsidRDefault="00D00CF7" w:rsidP="00D00CF7">
      <w:pPr>
        <w:pStyle w:val="regpar"/>
        <w:jc w:val="center"/>
        <w:rPr>
          <w:rFonts w:ascii="Segoe UI" w:hAnsi="Segoe UI" w:cs="Segoe UI"/>
          <w:b/>
          <w:bCs/>
          <w:sz w:val="22"/>
          <w:szCs w:val="22"/>
        </w:rPr>
      </w:pPr>
    </w:p>
    <w:p w14:paraId="105F4C2B" w14:textId="77777777" w:rsidR="002356FA" w:rsidRPr="007064D7" w:rsidRDefault="002356FA" w:rsidP="002356FA">
      <w:pPr>
        <w:pStyle w:val="regpar"/>
        <w:ind w:firstLine="0"/>
        <w:jc w:val="center"/>
        <w:rPr>
          <w:rFonts w:ascii="Segoe UI" w:hAnsi="Segoe UI" w:cs="Segoe UI"/>
          <w:b/>
          <w:bCs/>
        </w:rPr>
      </w:pPr>
      <w:r>
        <w:rPr>
          <w:rFonts w:ascii="Segoe UI" w:hAnsi="Segoe UI" w:cs="Segoe UI"/>
          <w:b/>
          <w:bCs/>
          <w:sz w:val="22"/>
          <w:szCs w:val="22"/>
        </w:rPr>
        <w:t>The monthly Index of Economic Activity was unchanged in October</w:t>
      </w:r>
    </w:p>
    <w:p w14:paraId="32F9C79E" w14:textId="77777777" w:rsidR="002356FA" w:rsidRPr="007064D7" w:rsidRDefault="002356FA" w:rsidP="002356FA">
      <w:pPr>
        <w:pStyle w:val="regpar"/>
        <w:ind w:firstLine="0"/>
        <w:jc w:val="center"/>
        <w:rPr>
          <w:rFonts w:ascii="Segoe UI" w:hAnsi="Segoe UI" w:cs="Segoe UI"/>
        </w:rPr>
      </w:pPr>
    </w:p>
    <w:p w14:paraId="336BC281" w14:textId="50F8926A" w:rsidR="002356FA" w:rsidRDefault="002356FA" w:rsidP="00ED7E05">
      <w:pPr>
        <w:spacing w:before="100" w:beforeAutospacing="1" w:after="100" w:afterAutospacing="1"/>
        <w:jc w:val="both"/>
        <w:rPr>
          <w:rFonts w:ascii="Segoe UI" w:hAnsi="Segoe UI" w:cs="Segoe UI"/>
          <w:sz w:val="22"/>
          <w:szCs w:val="22"/>
        </w:rPr>
      </w:pPr>
      <w:r>
        <w:rPr>
          <w:rFonts w:ascii="Segoe UI" w:hAnsi="Segoe UI" w:cs="Segoe UI"/>
          <w:sz w:val="22"/>
          <w:szCs w:val="22"/>
        </w:rPr>
        <w:t>The monthly Index of Economic Activity</w:t>
      </w:r>
      <w:r>
        <w:rPr>
          <w:rStyle w:val="FootnoteReference"/>
          <w:rFonts w:ascii="Segoe UI" w:hAnsi="Segoe UI" w:cs="Segoe UI"/>
        </w:rPr>
        <w:footnoteReference w:id="1"/>
      </w:r>
      <w:r>
        <w:rPr>
          <w:rFonts w:ascii="Segoe UI" w:hAnsi="Segoe UI" w:cs="Segoe UI"/>
          <w:sz w:val="22"/>
          <w:szCs w:val="22"/>
        </w:rPr>
        <w:t xml:space="preserve"> was virtually unchanged in October, following an increase in September that reflected the emergence from Israel’s military operation against Iran (Figure 1). The index this month reflects the average monthly growth estimate from August to October.  </w:t>
      </w:r>
      <w:proofErr w:type="gramStart"/>
      <w:r>
        <w:rPr>
          <w:rFonts w:ascii="Segoe UI" w:hAnsi="Segoe UI" w:cs="Segoe UI"/>
          <w:sz w:val="22"/>
          <w:szCs w:val="22"/>
        </w:rPr>
        <w:t>The Index was negatively influenced by declines in credit card purchase data, mainly in August and October, data on goods exports in the mixed-high technology industries in August and September, data on other services exports in August, data on goods imports in August and October, trade and services revenue and industrial production of construction inputs and of mixed-high technology in August, labor market data regarding real wage payments in August, and gasoline consumption in September.</w:t>
      </w:r>
      <w:proofErr w:type="gramEnd"/>
    </w:p>
    <w:p w14:paraId="48119AFE" w14:textId="77777777" w:rsidR="002356FA" w:rsidRDefault="002356FA" w:rsidP="002356FA">
      <w:pPr>
        <w:spacing w:before="100" w:beforeAutospacing="1" w:after="100" w:afterAutospacing="1"/>
        <w:jc w:val="both"/>
        <w:rPr>
          <w:rFonts w:ascii="Segoe UI" w:hAnsi="Segoe UI" w:cs="Segoe UI"/>
          <w:sz w:val="22"/>
          <w:szCs w:val="22"/>
        </w:rPr>
      </w:pPr>
      <w:r>
        <w:rPr>
          <w:rFonts w:ascii="Segoe UI" w:hAnsi="Segoe UI" w:cs="Segoe UI"/>
          <w:sz w:val="22"/>
          <w:szCs w:val="22"/>
        </w:rPr>
        <w:t>In contrast, indirect tax and income tax data for September, and actual GDP for the third quarter moderated the decline in the Index (Tables 1 and 2).</w:t>
      </w:r>
    </w:p>
    <w:p w14:paraId="6673CABA" w14:textId="77777777" w:rsidR="002356FA" w:rsidRDefault="002356FA" w:rsidP="002356FA">
      <w:pPr>
        <w:spacing w:before="100" w:beforeAutospacing="1" w:after="100" w:afterAutospacing="1"/>
        <w:jc w:val="both"/>
        <w:rPr>
          <w:rFonts w:ascii="Segoe UI" w:hAnsi="Segoe UI" w:cs="Segoe UI"/>
          <w:sz w:val="22"/>
          <w:szCs w:val="22"/>
          <w:rtl/>
        </w:rPr>
      </w:pPr>
      <w:r>
        <w:rPr>
          <w:rFonts w:ascii="Segoe UI" w:hAnsi="Segoe UI" w:cs="Segoe UI"/>
          <w:sz w:val="22"/>
          <w:szCs w:val="22"/>
        </w:rPr>
        <w:t xml:space="preserve">The Index for the past two months </w:t>
      </w:r>
      <w:proofErr w:type="gramStart"/>
      <w:r>
        <w:rPr>
          <w:rFonts w:ascii="Segoe UI" w:hAnsi="Segoe UI" w:cs="Segoe UI"/>
          <w:sz w:val="22"/>
          <w:szCs w:val="22"/>
        </w:rPr>
        <w:t>was revised</w:t>
      </w:r>
      <w:proofErr w:type="gramEnd"/>
      <w:r>
        <w:rPr>
          <w:rFonts w:ascii="Segoe UI" w:hAnsi="Segoe UI" w:cs="Segoe UI"/>
          <w:sz w:val="22"/>
          <w:szCs w:val="22"/>
        </w:rPr>
        <w:t xml:space="preserve"> upward with the completion of data that were previously missing, including actual GDP data for the third quarter.</w:t>
      </w:r>
    </w:p>
    <w:p w14:paraId="03353437" w14:textId="77777777" w:rsidR="002356FA" w:rsidRDefault="002356FA" w:rsidP="002356FA">
      <w:pPr>
        <w:spacing w:before="100" w:beforeAutospacing="1" w:after="100" w:afterAutospacing="1"/>
        <w:jc w:val="both"/>
        <w:rPr>
          <w:rFonts w:ascii="Segoe UI" w:hAnsi="Segoe UI" w:cs="Segoe UI"/>
          <w:sz w:val="22"/>
          <w:szCs w:val="22"/>
        </w:rPr>
      </w:pPr>
      <w:r>
        <w:rPr>
          <w:rFonts w:ascii="Segoe UI" w:hAnsi="Segoe UI" w:cs="Segoe UI"/>
          <w:sz w:val="22"/>
          <w:szCs w:val="22"/>
        </w:rPr>
        <w:t>Figure 1 presents the Index data over the past two years.  Table 1 presents the contributions of the Index’s components to the overall estimate and revisions to the Index, and Table 2 presents the monthly rate of change in the Index’s components.</w:t>
      </w:r>
    </w:p>
    <w:p w14:paraId="0C5DB5EA" w14:textId="77777777" w:rsidR="0059693F" w:rsidRDefault="0059693F" w:rsidP="00B227DE">
      <w:pPr>
        <w:spacing w:before="100" w:beforeAutospacing="1" w:after="100" w:afterAutospacing="1"/>
        <w:jc w:val="both"/>
        <w:rPr>
          <w:rFonts w:ascii="Segoe UI" w:hAnsi="Segoe UI" w:cs="Segoe UI"/>
          <w:b/>
          <w:bCs/>
          <w:sz w:val="22"/>
          <w:szCs w:val="22"/>
        </w:rPr>
      </w:pPr>
    </w:p>
    <w:p w14:paraId="012D5E94" w14:textId="77777777" w:rsidR="0059693F" w:rsidRDefault="0059693F" w:rsidP="00B227DE">
      <w:pPr>
        <w:spacing w:before="100" w:beforeAutospacing="1" w:after="100" w:afterAutospacing="1"/>
        <w:jc w:val="both"/>
        <w:rPr>
          <w:rFonts w:ascii="Segoe UI" w:hAnsi="Segoe UI" w:cs="Segoe UI"/>
          <w:b/>
          <w:bCs/>
          <w:sz w:val="22"/>
          <w:szCs w:val="22"/>
        </w:rPr>
      </w:pPr>
    </w:p>
    <w:p w14:paraId="2F583346" w14:textId="77777777" w:rsidR="0059693F" w:rsidRDefault="0059693F" w:rsidP="00B227DE">
      <w:pPr>
        <w:spacing w:before="100" w:beforeAutospacing="1" w:after="100" w:afterAutospacing="1"/>
        <w:jc w:val="both"/>
        <w:rPr>
          <w:rFonts w:ascii="Segoe UI" w:hAnsi="Segoe UI" w:cs="Segoe UI"/>
          <w:b/>
          <w:bCs/>
          <w:sz w:val="22"/>
          <w:szCs w:val="22"/>
        </w:rPr>
      </w:pPr>
    </w:p>
    <w:p w14:paraId="3F06FE63" w14:textId="77777777" w:rsidR="0059693F" w:rsidRDefault="0059693F" w:rsidP="00B227DE">
      <w:pPr>
        <w:spacing w:before="100" w:beforeAutospacing="1" w:after="100" w:afterAutospacing="1"/>
        <w:jc w:val="both"/>
        <w:rPr>
          <w:rFonts w:ascii="Segoe UI" w:hAnsi="Segoe UI" w:cs="Segoe UI"/>
          <w:b/>
          <w:bCs/>
          <w:sz w:val="22"/>
          <w:szCs w:val="22"/>
        </w:rPr>
      </w:pPr>
    </w:p>
    <w:p w14:paraId="3823926A" w14:textId="77777777" w:rsidR="0059693F" w:rsidRDefault="0059693F" w:rsidP="00B227DE">
      <w:pPr>
        <w:spacing w:before="100" w:beforeAutospacing="1" w:after="100" w:afterAutospacing="1"/>
        <w:jc w:val="both"/>
        <w:rPr>
          <w:rFonts w:ascii="Segoe UI" w:hAnsi="Segoe UI" w:cs="Segoe UI"/>
          <w:b/>
          <w:bCs/>
          <w:sz w:val="22"/>
          <w:szCs w:val="22"/>
        </w:rPr>
      </w:pPr>
    </w:p>
    <w:p w14:paraId="7BABC733" w14:textId="77777777" w:rsidR="0059693F" w:rsidRDefault="0059693F" w:rsidP="00B227DE">
      <w:pPr>
        <w:spacing w:before="100" w:beforeAutospacing="1" w:after="100" w:afterAutospacing="1"/>
        <w:jc w:val="both"/>
        <w:rPr>
          <w:rFonts w:ascii="Segoe UI" w:hAnsi="Segoe UI" w:cs="Segoe UI"/>
          <w:b/>
          <w:bCs/>
          <w:sz w:val="22"/>
          <w:szCs w:val="22"/>
        </w:rPr>
      </w:pPr>
    </w:p>
    <w:p w14:paraId="685FF85E" w14:textId="77777777" w:rsidR="0059693F" w:rsidRDefault="0059693F" w:rsidP="00B227DE">
      <w:pPr>
        <w:spacing w:before="100" w:beforeAutospacing="1" w:after="100" w:afterAutospacing="1"/>
        <w:jc w:val="both"/>
        <w:rPr>
          <w:rFonts w:ascii="Segoe UI" w:hAnsi="Segoe UI" w:cs="Segoe UI"/>
          <w:b/>
          <w:bCs/>
          <w:sz w:val="22"/>
          <w:szCs w:val="22"/>
        </w:rPr>
      </w:pPr>
    </w:p>
    <w:p w14:paraId="049EFA40" w14:textId="44C82848" w:rsidR="00B227DE" w:rsidRDefault="00FF32C5" w:rsidP="00B227DE">
      <w:pPr>
        <w:spacing w:before="100" w:beforeAutospacing="1" w:after="100" w:afterAutospacing="1"/>
        <w:jc w:val="both"/>
        <w:rPr>
          <w:rFonts w:ascii="Segoe UI" w:hAnsi="Segoe UI" w:cs="Segoe UI"/>
          <w:b/>
          <w:bCs/>
          <w:sz w:val="22"/>
          <w:szCs w:val="22"/>
        </w:rPr>
      </w:pPr>
      <w:r w:rsidRPr="000A560F">
        <w:rPr>
          <w:rFonts w:ascii="Segoe UI" w:hAnsi="Segoe UI" w:cs="Segoe UI"/>
          <w:b/>
          <w:bCs/>
          <w:sz w:val="22"/>
          <w:szCs w:val="22"/>
        </w:rPr>
        <w:t>FIGURE 1</w:t>
      </w:r>
      <w:r w:rsidR="000A560F">
        <w:rPr>
          <w:rFonts w:ascii="Segoe UI" w:hAnsi="Segoe UI" w:cs="Segoe UI"/>
          <w:b/>
          <w:bCs/>
          <w:sz w:val="22"/>
          <w:szCs w:val="22"/>
        </w:rPr>
        <w:t>: The Monthly Index of Economic Activity</w:t>
      </w:r>
    </w:p>
    <w:p w14:paraId="628EC424" w14:textId="1CE5214D" w:rsidR="0059693F" w:rsidRPr="0059693F" w:rsidRDefault="00CB3D1C" w:rsidP="00CB3D1C">
      <w:pPr>
        <w:pStyle w:val="regpar"/>
      </w:pPr>
      <w:r w:rsidRPr="00CB3D1C">
        <w:rPr>
          <w:noProof/>
        </w:rPr>
        <w:drawing>
          <wp:inline distT="0" distB="0" distL="0" distR="0" wp14:anchorId="1C0C25AB" wp14:editId="166904D8">
            <wp:extent cx="5760720" cy="3442902"/>
            <wp:effectExtent l="0" t="0" r="0" b="571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3442902"/>
                    </a:xfrm>
                    <a:prstGeom prst="rect">
                      <a:avLst/>
                    </a:prstGeom>
                    <a:noFill/>
                    <a:ln>
                      <a:noFill/>
                    </a:ln>
                  </pic:spPr>
                </pic:pic>
              </a:graphicData>
            </a:graphic>
          </wp:inline>
        </w:drawing>
      </w:r>
    </w:p>
    <w:p w14:paraId="248DA665" w14:textId="77777777" w:rsidR="00EF2D2F" w:rsidRDefault="00EF2D2F"/>
    <w:p w14:paraId="38238700" w14:textId="77777777" w:rsidR="00EF2D2F" w:rsidRDefault="00EF2D2F"/>
    <w:p w14:paraId="5B7901FD" w14:textId="77777777" w:rsidR="00EF2D2F" w:rsidRDefault="00EF2D2F"/>
    <w:p w14:paraId="401A6F9B" w14:textId="515E23F6" w:rsidR="00EF2D2F" w:rsidRDefault="0002229E">
      <w:r w:rsidRPr="0002229E">
        <w:rPr>
          <w:noProof/>
        </w:rPr>
        <w:drawing>
          <wp:inline distT="0" distB="0" distL="0" distR="0" wp14:anchorId="38D4F513" wp14:editId="050FFCB3">
            <wp:extent cx="5607050" cy="3674745"/>
            <wp:effectExtent l="0" t="0" r="0" b="190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7050" cy="3674745"/>
                    </a:xfrm>
                    <a:prstGeom prst="rect">
                      <a:avLst/>
                    </a:prstGeom>
                    <a:noFill/>
                    <a:ln>
                      <a:noFill/>
                    </a:ln>
                  </pic:spPr>
                </pic:pic>
              </a:graphicData>
            </a:graphic>
          </wp:inline>
        </w:drawing>
      </w:r>
    </w:p>
    <w:p w14:paraId="7DF785A6" w14:textId="77777777" w:rsidR="00EF2D2F" w:rsidRPr="00CB19D6" w:rsidRDefault="00EF2D2F" w:rsidP="00EF2D2F">
      <w:pPr>
        <w:rPr>
          <w:rFonts w:ascii="Segoe UI" w:hAnsi="Segoe UI" w:cs="Segoe UI"/>
          <w:sz w:val="18"/>
          <w:szCs w:val="18"/>
        </w:rPr>
      </w:pPr>
      <w:r w:rsidRPr="00EF2D2F">
        <w:rPr>
          <w:rFonts w:ascii="Segoe UI" w:hAnsi="Segoe UI" w:cs="Segoe UI"/>
          <w:sz w:val="18"/>
          <w:szCs w:val="18"/>
        </w:rPr>
        <w:t>* The table presents the contribution of each group of components in the monthly index, such that the monthly estimate constitutes the sum of the contributions of each of the components detailed in the table.  Some of the raw data influence the monthly estimate with a lag or influence the estimates of several months.</w:t>
      </w:r>
    </w:p>
    <w:p w14:paraId="6AAA1738" w14:textId="6FFFB6F3" w:rsidR="00FF32C5" w:rsidRDefault="00FF32C5">
      <w:r>
        <w:br w:type="page"/>
      </w:r>
    </w:p>
    <w:p w14:paraId="5B0FF645" w14:textId="0E54D94E" w:rsidR="003959A9" w:rsidRPr="00B227DE" w:rsidRDefault="003959A9" w:rsidP="00B227DE">
      <w:pPr>
        <w:pStyle w:val="regpar"/>
        <w:ind w:firstLine="0"/>
        <w:rPr>
          <w:rtl/>
        </w:rPr>
      </w:pPr>
    </w:p>
    <w:p w14:paraId="4E8CAFA2" w14:textId="00CAB7A3" w:rsidR="00D1445C" w:rsidRDefault="006D62EA" w:rsidP="00D1445C">
      <w:pPr>
        <w:bidi/>
        <w:jc w:val="center"/>
        <w:rPr>
          <w:rFonts w:ascii="Calibri" w:hAnsi="Calibri" w:cs="Calibri"/>
          <w:b/>
          <w:sz w:val="28"/>
          <w:szCs w:val="28"/>
        </w:rPr>
      </w:pPr>
      <w:r w:rsidRPr="006D62EA">
        <w:rPr>
          <w:rFonts w:ascii="Segoe UI" w:hAnsi="Segoe UI" w:cs="Segoe UI"/>
          <w:sz w:val="22"/>
          <w:szCs w:val="22"/>
        </w:rPr>
        <w:t> </w:t>
      </w:r>
      <w:r w:rsidR="00D1445C">
        <w:rPr>
          <w:rFonts w:ascii="Calibri" w:hAnsi="Calibri" w:cs="Calibri"/>
          <w:b/>
          <w:sz w:val="28"/>
          <w:szCs w:val="28"/>
        </w:rPr>
        <w:t>Table 2 | Changes in the Index Components in Recent Months</w:t>
      </w:r>
      <w:r w:rsidR="00D1445C">
        <w:rPr>
          <w:rFonts w:ascii="Calibri" w:hAnsi="Calibri" w:cs="Calibri"/>
          <w:b/>
          <w:sz w:val="28"/>
          <w:szCs w:val="28"/>
          <w:rtl/>
        </w:rPr>
        <w:t xml:space="preserve"> </w:t>
      </w:r>
    </w:p>
    <w:p w14:paraId="063AC42E" w14:textId="29861CA5" w:rsidR="00D1445C" w:rsidRDefault="00D1445C" w:rsidP="00D1445C">
      <w:pPr>
        <w:bidi/>
        <w:jc w:val="center"/>
        <w:rPr>
          <w:rFonts w:ascii="Calibri" w:hAnsi="Calibri" w:cs="Calibri"/>
          <w:sz w:val="28"/>
          <w:szCs w:val="28"/>
          <w:rtl/>
        </w:rPr>
      </w:pPr>
      <w:r>
        <w:rPr>
          <w:rFonts w:ascii="Calibri" w:hAnsi="Calibri" w:cs="Calibri" w:hint="cs"/>
          <w:sz w:val="28"/>
          <w:szCs w:val="28"/>
          <w:rtl/>
        </w:rPr>
        <w:t>(</w:t>
      </w:r>
      <w:r>
        <w:rPr>
          <w:rFonts w:ascii="Calibri" w:hAnsi="Calibri" w:cs="Calibri"/>
          <w:sz w:val="28"/>
          <w:szCs w:val="28"/>
        </w:rPr>
        <w:t>monthly rates of change, percent, seasonally adjusted</w:t>
      </w:r>
      <w:r>
        <w:rPr>
          <w:rFonts w:ascii="Calibri" w:hAnsi="Calibri" w:cs="Calibri" w:hint="cs"/>
          <w:sz w:val="28"/>
          <w:szCs w:val="28"/>
          <w:rtl/>
        </w:rPr>
        <w:t>)</w:t>
      </w:r>
    </w:p>
    <w:p w14:paraId="1905A1D0" w14:textId="19CE6AFC" w:rsidR="003F1897" w:rsidRPr="003F1897" w:rsidRDefault="00B76AC0" w:rsidP="003F1897">
      <w:pPr>
        <w:pStyle w:val="regpar"/>
        <w:bidi/>
        <w:rPr>
          <w:rtl/>
        </w:rPr>
      </w:pPr>
      <w:r w:rsidRPr="00B76AC0">
        <w:rPr>
          <w:rFonts w:ascii="Assistant" w:hAnsi="Assistant" w:cs="Assistant"/>
          <w:noProof/>
          <w:rtl/>
        </w:rPr>
        <w:drawing>
          <wp:inline distT="0" distB="0" distL="0" distR="0" wp14:anchorId="05278AE8" wp14:editId="5450E88C">
            <wp:extent cx="5760085" cy="6538822"/>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9553" cy="6560922"/>
                    </a:xfrm>
                    <a:prstGeom prst="rect">
                      <a:avLst/>
                    </a:prstGeom>
                    <a:noFill/>
                    <a:ln>
                      <a:noFill/>
                    </a:ln>
                  </pic:spPr>
                </pic:pic>
              </a:graphicData>
            </a:graphic>
          </wp:inline>
        </w:drawing>
      </w:r>
    </w:p>
    <w:p w14:paraId="3C79EB93" w14:textId="68214134" w:rsidR="006D62EA" w:rsidRPr="006D62EA" w:rsidRDefault="006D62EA" w:rsidP="006D62EA">
      <w:pPr>
        <w:pStyle w:val="regpar"/>
        <w:ind w:firstLine="0"/>
        <w:rPr>
          <w:rFonts w:ascii="Segoe UI" w:hAnsi="Segoe UI" w:cs="Segoe UI"/>
          <w:sz w:val="22"/>
          <w:szCs w:val="22"/>
        </w:rPr>
      </w:pPr>
    </w:p>
    <w:sectPr w:rsidR="006D62EA" w:rsidRPr="006D62EA" w:rsidSect="00E46C61">
      <w:headerReference w:type="default" r:id="rId15"/>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9DE67" w14:textId="77777777" w:rsidR="00097E1A" w:rsidRDefault="00097E1A">
      <w:r>
        <w:separator/>
      </w:r>
    </w:p>
  </w:endnote>
  <w:endnote w:type="continuationSeparator" w:id="0">
    <w:p w14:paraId="0DD52200" w14:textId="77777777" w:rsidR="00097E1A" w:rsidRDefault="0009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Assistant">
    <w:panose1 w:val="00000500000000000000"/>
    <w:charset w:val="00"/>
    <w:family w:val="auto"/>
    <w:pitch w:val="variable"/>
    <w:sig w:usb0="00000807" w:usb1="40000000" w:usb2="00000000" w:usb3="00000000" w:csb0="0000002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BD08D" w14:textId="77777777" w:rsidR="00097E1A" w:rsidRDefault="00097E1A">
      <w:pPr>
        <w:spacing w:line="160" w:lineRule="exact"/>
      </w:pPr>
    </w:p>
  </w:footnote>
  <w:footnote w:type="continuationSeparator" w:id="0">
    <w:p w14:paraId="02A06487" w14:textId="77777777" w:rsidR="00097E1A" w:rsidRDefault="00097E1A">
      <w:pPr>
        <w:pStyle w:val="rule"/>
      </w:pPr>
      <w:r>
        <w:t>–––––––––––––––––––––––––––</w:t>
      </w:r>
    </w:p>
    <w:p w14:paraId="5E3D4B5C" w14:textId="77777777" w:rsidR="00097E1A" w:rsidRDefault="00097E1A">
      <w:pPr>
        <w:pStyle w:val="noteseparator"/>
      </w:pPr>
    </w:p>
  </w:footnote>
  <w:footnote w:id="1">
    <w:p w14:paraId="2B20D203" w14:textId="77777777" w:rsidR="002356FA" w:rsidRPr="00B227DE" w:rsidRDefault="002356FA" w:rsidP="002356FA">
      <w:pPr>
        <w:pStyle w:val="FootnoteText"/>
        <w:jc w:val="both"/>
        <w:rPr>
          <w:rFonts w:ascii="Segoe UI" w:hAnsi="Segoe UI" w:cs="Segoe UI"/>
          <w:rtl/>
        </w:rPr>
      </w:pPr>
      <w:r>
        <w:rPr>
          <w:rStyle w:val="FootnoteReference"/>
        </w:rPr>
        <w:footnoteRef/>
      </w:r>
      <w:r>
        <w:t xml:space="preserve"> </w:t>
      </w:r>
      <w:r>
        <w:rPr>
          <w:rFonts w:ascii="Segoe UI" w:hAnsi="Segoe UI" w:cs="Segoe UI"/>
        </w:rPr>
        <w:t xml:space="preserve">The monthly Index of Economic Activity reflects the three-month average of the estimated monthly growth of GDP.  The estimate </w:t>
      </w:r>
      <w:proofErr w:type="gramStart"/>
      <w:r>
        <w:rPr>
          <w:rFonts w:ascii="Segoe UI" w:hAnsi="Segoe UI" w:cs="Segoe UI"/>
        </w:rPr>
        <w:t>is based</w:t>
      </w:r>
      <w:proofErr w:type="gramEnd"/>
      <w:r>
        <w:rPr>
          <w:rFonts w:ascii="Segoe UI" w:hAnsi="Segoe UI" w:cs="Segoe UI"/>
        </w:rPr>
        <w:t xml:space="preserve"> on a model developed at the Bank of Israel (</w:t>
      </w:r>
      <w:proofErr w:type="spellStart"/>
      <w:r>
        <w:rPr>
          <w:rFonts w:ascii="Segoe UI" w:hAnsi="Segoe UI" w:cs="Segoe UI"/>
        </w:rPr>
        <w:t>Ginker</w:t>
      </w:r>
      <w:proofErr w:type="spellEnd"/>
      <w:r>
        <w:rPr>
          <w:rFonts w:ascii="Segoe UI" w:hAnsi="Segoe UI" w:cs="Segoe UI"/>
        </w:rPr>
        <w:t xml:space="preserve"> and </w:t>
      </w:r>
      <w:proofErr w:type="spellStart"/>
      <w:r>
        <w:rPr>
          <w:rFonts w:ascii="Segoe UI" w:hAnsi="Segoe UI" w:cs="Segoe UI"/>
        </w:rPr>
        <w:t>Suhoy</w:t>
      </w:r>
      <w:proofErr w:type="spellEnd"/>
      <w:r>
        <w:rPr>
          <w:rFonts w:ascii="Segoe UI" w:hAnsi="Segoe UI" w:cs="Segoe UI"/>
        </w:rPr>
        <w: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C1D97"/>
    <w:multiLevelType w:val="hybridMultilevel"/>
    <w:tmpl w:val="C320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5"/>
  </w:num>
  <w:num w:numId="10">
    <w:abstractNumId w:val="16"/>
  </w:num>
  <w:num w:numId="11">
    <w:abstractNumId w:val="12"/>
  </w:num>
  <w:num w:numId="12">
    <w:abstractNumId w:val="10"/>
  </w:num>
  <w:num w:numId="13">
    <w:abstractNumId w:val="4"/>
  </w:num>
  <w:num w:numId="14">
    <w:abstractNumId w:val="2"/>
  </w:num>
  <w:num w:numId="15">
    <w:abstractNumId w:val="11"/>
  </w:num>
  <w:num w:numId="16">
    <w:abstractNumId w:val="1"/>
  </w:num>
  <w:num w:numId="17">
    <w:abstractNumId w:val="17"/>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2229E"/>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97E1A"/>
    <w:rsid w:val="000A0AE8"/>
    <w:rsid w:val="000A560F"/>
    <w:rsid w:val="000B13FB"/>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31B"/>
    <w:rsid w:val="00124970"/>
    <w:rsid w:val="00124AB5"/>
    <w:rsid w:val="00124ED8"/>
    <w:rsid w:val="00125AB8"/>
    <w:rsid w:val="00126370"/>
    <w:rsid w:val="00127549"/>
    <w:rsid w:val="00130460"/>
    <w:rsid w:val="00136CC4"/>
    <w:rsid w:val="00143F0D"/>
    <w:rsid w:val="0014603A"/>
    <w:rsid w:val="001550A7"/>
    <w:rsid w:val="00160123"/>
    <w:rsid w:val="00161743"/>
    <w:rsid w:val="00162F9E"/>
    <w:rsid w:val="0016621D"/>
    <w:rsid w:val="00166ECD"/>
    <w:rsid w:val="00167A70"/>
    <w:rsid w:val="00181A09"/>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017D"/>
    <w:rsid w:val="002356FA"/>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0012"/>
    <w:rsid w:val="003814C4"/>
    <w:rsid w:val="0038232A"/>
    <w:rsid w:val="003938F8"/>
    <w:rsid w:val="003959A9"/>
    <w:rsid w:val="00395D70"/>
    <w:rsid w:val="003A1107"/>
    <w:rsid w:val="003A3B39"/>
    <w:rsid w:val="003A6723"/>
    <w:rsid w:val="003B0942"/>
    <w:rsid w:val="003B2C70"/>
    <w:rsid w:val="003B4074"/>
    <w:rsid w:val="003B4DF1"/>
    <w:rsid w:val="003C3B6F"/>
    <w:rsid w:val="003C522E"/>
    <w:rsid w:val="003C6E15"/>
    <w:rsid w:val="003D0E36"/>
    <w:rsid w:val="003D71F7"/>
    <w:rsid w:val="003E0432"/>
    <w:rsid w:val="003E107B"/>
    <w:rsid w:val="003F1897"/>
    <w:rsid w:val="003F360E"/>
    <w:rsid w:val="00403AF2"/>
    <w:rsid w:val="00406562"/>
    <w:rsid w:val="00406709"/>
    <w:rsid w:val="00406809"/>
    <w:rsid w:val="00407252"/>
    <w:rsid w:val="00421E16"/>
    <w:rsid w:val="00423781"/>
    <w:rsid w:val="0042406A"/>
    <w:rsid w:val="00425894"/>
    <w:rsid w:val="004266FD"/>
    <w:rsid w:val="004307F0"/>
    <w:rsid w:val="00434601"/>
    <w:rsid w:val="004356C6"/>
    <w:rsid w:val="004361EA"/>
    <w:rsid w:val="00437FD7"/>
    <w:rsid w:val="00441DC9"/>
    <w:rsid w:val="004421CE"/>
    <w:rsid w:val="00443EB3"/>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DF5"/>
    <w:rsid w:val="00572E97"/>
    <w:rsid w:val="00581AE6"/>
    <w:rsid w:val="00590949"/>
    <w:rsid w:val="00591171"/>
    <w:rsid w:val="00592585"/>
    <w:rsid w:val="00594895"/>
    <w:rsid w:val="0059693F"/>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16D"/>
    <w:rsid w:val="006C17E0"/>
    <w:rsid w:val="006D10C5"/>
    <w:rsid w:val="006D62EA"/>
    <w:rsid w:val="006D738F"/>
    <w:rsid w:val="006E30C1"/>
    <w:rsid w:val="006E33B5"/>
    <w:rsid w:val="006E35F9"/>
    <w:rsid w:val="006E4E37"/>
    <w:rsid w:val="006F331D"/>
    <w:rsid w:val="007012E2"/>
    <w:rsid w:val="00701620"/>
    <w:rsid w:val="007064D7"/>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59CC"/>
    <w:rsid w:val="007B71B6"/>
    <w:rsid w:val="007C085F"/>
    <w:rsid w:val="007C1B58"/>
    <w:rsid w:val="007D19FC"/>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26D3"/>
    <w:rsid w:val="00826845"/>
    <w:rsid w:val="00836D7A"/>
    <w:rsid w:val="00841E41"/>
    <w:rsid w:val="0084331E"/>
    <w:rsid w:val="00843E13"/>
    <w:rsid w:val="00843F4B"/>
    <w:rsid w:val="0084597D"/>
    <w:rsid w:val="00850D4E"/>
    <w:rsid w:val="0085482F"/>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298D"/>
    <w:rsid w:val="008A4E71"/>
    <w:rsid w:val="008B3910"/>
    <w:rsid w:val="008B564A"/>
    <w:rsid w:val="008C0767"/>
    <w:rsid w:val="008C2D26"/>
    <w:rsid w:val="008C671A"/>
    <w:rsid w:val="008D0CD2"/>
    <w:rsid w:val="008D2340"/>
    <w:rsid w:val="008D25AA"/>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4ECF"/>
    <w:rsid w:val="00946CAD"/>
    <w:rsid w:val="00951190"/>
    <w:rsid w:val="00952A64"/>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50E3"/>
    <w:rsid w:val="00A06CAC"/>
    <w:rsid w:val="00A10C60"/>
    <w:rsid w:val="00A176D5"/>
    <w:rsid w:val="00A2357F"/>
    <w:rsid w:val="00A2557F"/>
    <w:rsid w:val="00A27711"/>
    <w:rsid w:val="00A30E4A"/>
    <w:rsid w:val="00A326F3"/>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4655"/>
    <w:rsid w:val="00B158CF"/>
    <w:rsid w:val="00B227DE"/>
    <w:rsid w:val="00B23E71"/>
    <w:rsid w:val="00B269CD"/>
    <w:rsid w:val="00B3068E"/>
    <w:rsid w:val="00B3103B"/>
    <w:rsid w:val="00B37BBE"/>
    <w:rsid w:val="00B45016"/>
    <w:rsid w:val="00B46F7B"/>
    <w:rsid w:val="00B476CC"/>
    <w:rsid w:val="00B52957"/>
    <w:rsid w:val="00B552D1"/>
    <w:rsid w:val="00B5736D"/>
    <w:rsid w:val="00B57F69"/>
    <w:rsid w:val="00B6764F"/>
    <w:rsid w:val="00B76579"/>
    <w:rsid w:val="00B76AC0"/>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405"/>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4742"/>
    <w:rsid w:val="00C76EFC"/>
    <w:rsid w:val="00C773B3"/>
    <w:rsid w:val="00C80C62"/>
    <w:rsid w:val="00C81F0F"/>
    <w:rsid w:val="00C82902"/>
    <w:rsid w:val="00C839A9"/>
    <w:rsid w:val="00C870AA"/>
    <w:rsid w:val="00C96635"/>
    <w:rsid w:val="00C97616"/>
    <w:rsid w:val="00CA4BB8"/>
    <w:rsid w:val="00CA68B3"/>
    <w:rsid w:val="00CB19D6"/>
    <w:rsid w:val="00CB3D1C"/>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45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5E9B"/>
    <w:rsid w:val="00DE76BB"/>
    <w:rsid w:val="00E03DAD"/>
    <w:rsid w:val="00E042D4"/>
    <w:rsid w:val="00E1087D"/>
    <w:rsid w:val="00E305A3"/>
    <w:rsid w:val="00E3258A"/>
    <w:rsid w:val="00E33F37"/>
    <w:rsid w:val="00E37EA3"/>
    <w:rsid w:val="00E40792"/>
    <w:rsid w:val="00E448BF"/>
    <w:rsid w:val="00E46C61"/>
    <w:rsid w:val="00E50A6B"/>
    <w:rsid w:val="00E52DD0"/>
    <w:rsid w:val="00E645EE"/>
    <w:rsid w:val="00E6497E"/>
    <w:rsid w:val="00E65CA7"/>
    <w:rsid w:val="00E67A70"/>
    <w:rsid w:val="00E701BC"/>
    <w:rsid w:val="00E71F14"/>
    <w:rsid w:val="00E74B20"/>
    <w:rsid w:val="00E75877"/>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D7E05"/>
    <w:rsid w:val="00EE4F43"/>
    <w:rsid w:val="00EF2D2F"/>
    <w:rsid w:val="00EF3AA0"/>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058"/>
    <w:rsid w:val="00FC1161"/>
    <w:rsid w:val="00FC7294"/>
    <w:rsid w:val="00FE0A60"/>
    <w:rsid w:val="00FE4890"/>
    <w:rsid w:val="00FF32C5"/>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regpar"/>
    <w:qFormat/>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par">
    <w:name w:val="regpar"/>
    <w:basedOn w:val="Normal"/>
    <w:link w:val="regparChar"/>
    <w:pPr>
      <w:ind w:firstLine="2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200"/>
        <w:tab w:val="right" w:pos="8400"/>
      </w:tabs>
    </w:pPr>
  </w:style>
  <w:style w:type="character" w:styleId="FootnoteReference">
    <w:name w:val="footnote reference"/>
    <w:rPr>
      <w:position w:val="6"/>
      <w:sz w:val="14"/>
      <w:szCs w:val="14"/>
    </w:rPr>
  </w:style>
  <w:style w:type="paragraph" w:styleId="FootnoteText">
    <w:name w:val="footnote text"/>
    <w:basedOn w:val="regpar"/>
    <w:link w:val="FootnoteTextChar"/>
    <w:pPr>
      <w:spacing w:line="240" w:lineRule="exact"/>
    </w:pPr>
    <w:rPr>
      <w:sz w:val="20"/>
      <w:szCs w:val="20"/>
    </w:rPr>
  </w:style>
  <w:style w:type="character" w:styleId="PageNumber">
    <w:name w:val="page number"/>
    <w:basedOn w:val="DefaultParagraphFont"/>
  </w:style>
  <w:style w:type="paragraph" w:customStyle="1" w:styleId="ER-text86">
    <w:name w:val="*ER-text 86%"/>
    <w:basedOn w:val="Normal"/>
  </w:style>
  <w:style w:type="paragraph" w:customStyle="1" w:styleId="abstract">
    <w:name w:val="abstract"/>
    <w:basedOn w:val="Normal"/>
    <w:next w:val="Normal"/>
    <w:pPr>
      <w:spacing w:line="260" w:lineRule="exact"/>
      <w:ind w:left="480" w:right="480"/>
    </w:pPr>
    <w:rPr>
      <w:sz w:val="22"/>
      <w:szCs w:val="22"/>
    </w:rPr>
  </w:style>
  <w:style w:type="paragraph" w:customStyle="1" w:styleId="author">
    <w:name w:val="author"/>
    <w:basedOn w:val="Normal"/>
    <w:next w:val="abstract"/>
    <w:pPr>
      <w:jc w:val="center"/>
    </w:pPr>
    <w:rPr>
      <w:smallCaps/>
    </w:rPr>
  </w:style>
  <w:style w:type="paragraph" w:customStyle="1" w:styleId="1">
    <w:name w:val="כותרת טקסט1"/>
    <w:basedOn w:val="Normal"/>
    <w:next w:val="author"/>
    <w:pPr>
      <w:jc w:val="center"/>
    </w:pPr>
    <w:rPr>
      <w:caps/>
      <w:sz w:val="28"/>
      <w:szCs w:val="28"/>
    </w:rPr>
  </w:style>
  <w:style w:type="paragraph" w:customStyle="1" w:styleId="Ahead">
    <w:name w:val="A head"/>
    <w:basedOn w:val="Normal"/>
    <w:next w:val="Normal"/>
    <w:rPr>
      <w:caps/>
      <w:sz w:val="22"/>
      <w:szCs w:val="22"/>
    </w:rPr>
  </w:style>
  <w:style w:type="paragraph" w:customStyle="1" w:styleId="Bhead">
    <w:name w:val="B head"/>
    <w:basedOn w:val="Normal"/>
    <w:next w:val="Normal"/>
    <w:rPr>
      <w:b/>
      <w:bCs/>
    </w:rPr>
  </w:style>
  <w:style w:type="paragraph" w:customStyle="1" w:styleId="rule">
    <w:name w:val="rule"/>
    <w:basedOn w:val="Normal"/>
    <w:pPr>
      <w:spacing w:line="120" w:lineRule="exact"/>
    </w:pPr>
    <w:rPr>
      <w:spacing w:val="-20"/>
      <w:sz w:val="12"/>
      <w:szCs w:val="12"/>
    </w:rPr>
  </w:style>
  <w:style w:type="paragraph" w:customStyle="1" w:styleId="noteseparator">
    <w:name w:val="note separator"/>
    <w:basedOn w:val="Normal"/>
    <w:next w:val="FootnoteText"/>
    <w:pPr>
      <w:spacing w:line="160" w:lineRule="exact"/>
    </w:pPr>
  </w:style>
  <w:style w:type="paragraph" w:customStyle="1" w:styleId="runninghead">
    <w:name w:val="running head"/>
    <w:basedOn w:val="Header"/>
    <w:rPr>
      <w:smallCaps/>
    </w:rPr>
  </w:style>
  <w:style w:type="paragraph" w:customStyle="1" w:styleId="eq">
    <w:name w:val="eq"/>
    <w:basedOn w:val="Normal"/>
    <w:pPr>
      <w:tabs>
        <w:tab w:val="center" w:pos="4320"/>
        <w:tab w:val="right" w:pos="8400"/>
      </w:tabs>
      <w:spacing w:line="300" w:lineRule="atLeast"/>
    </w:pPr>
  </w:style>
  <w:style w:type="paragraph" w:customStyle="1" w:styleId="Chead">
    <w:name w:val="C head"/>
    <w:basedOn w:val="Normal"/>
    <w:next w:val="Normal"/>
    <w:rPr>
      <w:i/>
      <w:iCs/>
    </w:rPr>
  </w:style>
  <w:style w:type="paragraph" w:customStyle="1" w:styleId="ARtext">
    <w:name w:val="*AR text"/>
    <w:basedOn w:val="Normal"/>
  </w:style>
  <w:style w:type="paragraph" w:customStyle="1" w:styleId="quotes">
    <w:name w:val="quotes"/>
    <w:basedOn w:val="Normal"/>
    <w:next w:val="Normal"/>
    <w:pPr>
      <w:spacing w:line="260" w:lineRule="exact"/>
      <w:ind w:left="480" w:right="480"/>
    </w:pPr>
    <w:rPr>
      <w:sz w:val="22"/>
      <w:szCs w:val="22"/>
    </w:rPr>
  </w:style>
  <w:style w:type="paragraph" w:customStyle="1" w:styleId="chapter">
    <w:name w:val="chapter"/>
    <w:basedOn w:val="Normal"/>
    <w:next w:val="1"/>
    <w:pPr>
      <w:spacing w:line="560" w:lineRule="atLeast"/>
    </w:pPr>
    <w:rPr>
      <w:i/>
      <w:iCs/>
      <w:sz w:val="36"/>
      <w:szCs w:val="36"/>
    </w:rPr>
  </w:style>
  <w:style w:type="paragraph" w:styleId="BodyTextIndent">
    <w:name w:val="Body Text Indent"/>
    <w:basedOn w:val="Normal"/>
    <w:pPr>
      <w:widowControl w:val="0"/>
      <w:ind w:left="284" w:hanging="284"/>
    </w:pPr>
  </w:style>
  <w:style w:type="character" w:styleId="Hyperlink">
    <w:name w:val="Hyperlink"/>
    <w:rPr>
      <w:color w:val="0000FF"/>
      <w:u w:val="single"/>
    </w:rPr>
  </w:style>
  <w:style w:type="paragraph" w:styleId="Date">
    <w:name w:val="Date"/>
    <w:basedOn w:val="Normal"/>
    <w:next w:val="Normal"/>
    <w:rsid w:val="00E03DAD"/>
  </w:style>
  <w:style w:type="table" w:styleId="TableGrid">
    <w:name w:val="Table Grid"/>
    <w:basedOn w:val="TableNormal"/>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BalloonText">
    <w:name w:val="Balloon Text"/>
    <w:basedOn w:val="Normal"/>
    <w:link w:val="BalloonTextChar"/>
    <w:uiPriority w:val="99"/>
    <w:semiHidden/>
    <w:unhideWhenUsed/>
    <w:rsid w:val="00EC6A3B"/>
    <w:rPr>
      <w:rFonts w:ascii="Tahoma" w:hAnsi="Tahoma" w:cs="Tahoma"/>
      <w:sz w:val="16"/>
      <w:szCs w:val="16"/>
    </w:rPr>
  </w:style>
  <w:style w:type="character" w:customStyle="1" w:styleId="BalloonTextChar">
    <w:name w:val="Balloon Text Char"/>
    <w:link w:val="BalloonText"/>
    <w:uiPriority w:val="99"/>
    <w:semiHidden/>
    <w:rsid w:val="00EC6A3B"/>
    <w:rPr>
      <w:rFonts w:ascii="Tahoma" w:hAnsi="Tahoma" w:cs="Tahoma"/>
      <w:sz w:val="16"/>
      <w:szCs w:val="16"/>
    </w:rPr>
  </w:style>
  <w:style w:type="paragraph" w:styleId="Revision">
    <w:name w:val="Revision"/>
    <w:hidden/>
    <w:uiPriority w:val="99"/>
    <w:semiHidden/>
    <w:rsid w:val="00C81F0F"/>
    <w:rPr>
      <w:rFonts w:ascii="Times" w:hAnsi="Times" w:cs="Times"/>
      <w:sz w:val="24"/>
      <w:szCs w:val="24"/>
    </w:rPr>
  </w:style>
  <w:style w:type="paragraph" w:styleId="PlainText">
    <w:name w:val="Plain Text"/>
    <w:basedOn w:val="Normal"/>
    <w:link w:val="PlainTextChar"/>
    <w:uiPriority w:val="99"/>
    <w:semiHidden/>
    <w:unhideWhenUsed/>
    <w:rsid w:val="00E52DD0"/>
    <w:rPr>
      <w:rFonts w:ascii="Calibri" w:eastAsia="Calibri" w:hAnsi="Calibri" w:cs="Arial"/>
      <w:sz w:val="22"/>
      <w:szCs w:val="21"/>
    </w:rPr>
  </w:style>
  <w:style w:type="character" w:customStyle="1" w:styleId="PlainTextChar">
    <w:name w:val="Plain Text Char"/>
    <w:link w:val="PlainText"/>
    <w:uiPriority w:val="99"/>
    <w:semiHidden/>
    <w:rsid w:val="00E52DD0"/>
    <w:rPr>
      <w:rFonts w:ascii="Calibri" w:eastAsia="Calibri" w:hAnsi="Calibri" w:cs="Arial"/>
      <w:sz w:val="22"/>
      <w:szCs w:val="21"/>
    </w:rPr>
  </w:style>
  <w:style w:type="paragraph" w:styleId="ListParagraph">
    <w:name w:val="List Paragraph"/>
    <w:basedOn w:val="Normal"/>
    <w:uiPriority w:val="34"/>
    <w:qFormat/>
    <w:rsid w:val="00C96635"/>
    <w:pPr>
      <w:ind w:left="720"/>
      <w:contextualSpacing/>
    </w:pPr>
  </w:style>
  <w:style w:type="character" w:customStyle="1" w:styleId="FooterChar">
    <w:name w:val="Footer Char"/>
    <w:basedOn w:val="DefaultParagraphFont"/>
    <w:link w:val="Footer"/>
    <w:uiPriority w:val="99"/>
    <w:rsid w:val="008F0C79"/>
    <w:rPr>
      <w:rFonts w:ascii="Times" w:hAnsi="Times" w:cs="Times"/>
      <w:sz w:val="24"/>
      <w:szCs w:val="24"/>
    </w:rPr>
  </w:style>
  <w:style w:type="character" w:customStyle="1" w:styleId="FootnoteTextChar">
    <w:name w:val="Footnote Text Char"/>
    <w:basedOn w:val="DefaultParagraphFont"/>
    <w:link w:val="FootnoteText"/>
    <w:rsid w:val="00A27711"/>
    <w:rPr>
      <w:rFonts w:ascii="Times" w:hAnsi="Times" w:cs="Times"/>
    </w:rPr>
  </w:style>
  <w:style w:type="character" w:styleId="CommentReference">
    <w:name w:val="annotation reference"/>
    <w:basedOn w:val="DefaultParagraphFont"/>
    <w:uiPriority w:val="99"/>
    <w:semiHidden/>
    <w:unhideWhenUsed/>
    <w:rsid w:val="008D2340"/>
    <w:rPr>
      <w:sz w:val="16"/>
      <w:szCs w:val="16"/>
    </w:rPr>
  </w:style>
  <w:style w:type="paragraph" w:styleId="CommentText">
    <w:name w:val="annotation text"/>
    <w:basedOn w:val="Normal"/>
    <w:link w:val="CommentTextChar"/>
    <w:uiPriority w:val="99"/>
    <w:semiHidden/>
    <w:unhideWhenUsed/>
    <w:rsid w:val="008D2340"/>
    <w:rPr>
      <w:sz w:val="20"/>
      <w:szCs w:val="20"/>
    </w:rPr>
  </w:style>
  <w:style w:type="character" w:customStyle="1" w:styleId="CommentTextChar">
    <w:name w:val="Comment Text Char"/>
    <w:basedOn w:val="DefaultParagraphFont"/>
    <w:link w:val="CommentText"/>
    <w:uiPriority w:val="99"/>
    <w:semiHidden/>
    <w:rsid w:val="008D2340"/>
    <w:rPr>
      <w:rFonts w:ascii="Times" w:hAnsi="Times" w:cs="Times"/>
    </w:rPr>
  </w:style>
  <w:style w:type="paragraph" w:styleId="CommentSubject">
    <w:name w:val="annotation subject"/>
    <w:basedOn w:val="CommentText"/>
    <w:next w:val="CommentText"/>
    <w:link w:val="CommentSubjectChar"/>
    <w:uiPriority w:val="99"/>
    <w:semiHidden/>
    <w:unhideWhenUsed/>
    <w:rsid w:val="008D2340"/>
    <w:rPr>
      <w:b/>
      <w:bCs/>
    </w:rPr>
  </w:style>
  <w:style w:type="character" w:customStyle="1" w:styleId="CommentSubjectChar">
    <w:name w:val="Comment Subject Char"/>
    <w:basedOn w:val="CommentTextChar"/>
    <w:link w:val="CommentSubject"/>
    <w:uiPriority w:val="99"/>
    <w:semiHidden/>
    <w:rsid w:val="008D2340"/>
    <w:rPr>
      <w:rFonts w:ascii="Times" w:hAnsi="Times" w:cs="Times"/>
      <w:b/>
      <w:bCs/>
    </w:rPr>
  </w:style>
  <w:style w:type="paragraph" w:styleId="NormalWeb">
    <w:name w:val="Normal (Web)"/>
    <w:basedOn w:val="Normal"/>
    <w:uiPriority w:val="99"/>
    <w:unhideWhenUsed/>
    <w:rsid w:val="000C46E3"/>
    <w:pPr>
      <w:spacing w:before="100" w:beforeAutospacing="1" w:after="100" w:afterAutospacing="1"/>
    </w:pPr>
    <w:rPr>
      <w:rFonts w:ascii="Times New Roman" w:eastAsiaTheme="minorEastAsia" w:hAnsi="Times New Roman" w:cs="Times New Roman"/>
    </w:rPr>
  </w:style>
  <w:style w:type="character" w:customStyle="1" w:styleId="regparChar">
    <w:name w:val="regpar Char"/>
    <w:basedOn w:val="DefaultParagraphFont"/>
    <w:link w:val="regpar"/>
    <w:rsid w:val="00B227DE"/>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62092591">
      <w:bodyDiv w:val="1"/>
      <w:marLeft w:val="0"/>
      <w:marRight w:val="0"/>
      <w:marTop w:val="0"/>
      <w:marBottom w:val="0"/>
      <w:divBdr>
        <w:top w:val="none" w:sz="0" w:space="0" w:color="auto"/>
        <w:left w:val="none" w:sz="0" w:space="0" w:color="auto"/>
        <w:bottom w:val="none" w:sz="0" w:space="0" w:color="auto"/>
        <w:right w:val="none" w:sz="0" w:space="0" w:color="auto"/>
      </w:divBdr>
    </w:div>
    <w:div w:id="167909489">
      <w:bodyDiv w:val="1"/>
      <w:marLeft w:val="0"/>
      <w:marRight w:val="0"/>
      <w:marTop w:val="0"/>
      <w:marBottom w:val="0"/>
      <w:divBdr>
        <w:top w:val="none" w:sz="0" w:space="0" w:color="auto"/>
        <w:left w:val="none" w:sz="0" w:space="0" w:color="auto"/>
        <w:bottom w:val="none" w:sz="0" w:space="0" w:color="auto"/>
        <w:right w:val="none" w:sz="0" w:space="0" w:color="auto"/>
      </w:divBdr>
    </w:div>
    <w:div w:id="483619431">
      <w:bodyDiv w:val="1"/>
      <w:marLeft w:val="0"/>
      <w:marRight w:val="0"/>
      <w:marTop w:val="0"/>
      <w:marBottom w:val="0"/>
      <w:divBdr>
        <w:top w:val="none" w:sz="0" w:space="0" w:color="auto"/>
        <w:left w:val="none" w:sz="0" w:space="0" w:color="auto"/>
        <w:bottom w:val="none" w:sz="0" w:space="0" w:color="auto"/>
        <w:right w:val="none" w:sz="0" w:space="0" w:color="auto"/>
      </w:divBdr>
    </w:div>
    <w:div w:id="531041460">
      <w:bodyDiv w:val="1"/>
      <w:marLeft w:val="0"/>
      <w:marRight w:val="0"/>
      <w:marTop w:val="0"/>
      <w:marBottom w:val="0"/>
      <w:divBdr>
        <w:top w:val="none" w:sz="0" w:space="0" w:color="auto"/>
        <w:left w:val="none" w:sz="0" w:space="0" w:color="auto"/>
        <w:bottom w:val="none" w:sz="0" w:space="0" w:color="auto"/>
        <w:right w:val="none" w:sz="0" w:space="0" w:color="auto"/>
      </w:divBdr>
    </w:div>
    <w:div w:id="120240503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515222146">
      <w:bodyDiv w:val="1"/>
      <w:marLeft w:val="0"/>
      <w:marRight w:val="0"/>
      <w:marTop w:val="0"/>
      <w:marBottom w:val="0"/>
      <w:divBdr>
        <w:top w:val="none" w:sz="0" w:space="0" w:color="auto"/>
        <w:left w:val="none" w:sz="0" w:space="0" w:color="auto"/>
        <w:bottom w:val="none" w:sz="0" w:space="0" w:color="auto"/>
        <w:right w:val="none" w:sz="0" w:space="0" w:color="auto"/>
      </w:divBdr>
    </w:div>
    <w:div w:id="1533834703">
      <w:bodyDiv w:val="1"/>
      <w:marLeft w:val="0"/>
      <w:marRight w:val="0"/>
      <w:marTop w:val="0"/>
      <w:marBottom w:val="0"/>
      <w:divBdr>
        <w:top w:val="none" w:sz="0" w:space="0" w:color="auto"/>
        <w:left w:val="none" w:sz="0" w:space="0" w:color="auto"/>
        <w:bottom w:val="none" w:sz="0" w:space="0" w:color="auto"/>
        <w:right w:val="none" w:sz="0" w:space="0" w:color="auto"/>
      </w:divBdr>
    </w:div>
    <w:div w:id="1642004837">
      <w:bodyDiv w:val="1"/>
      <w:marLeft w:val="0"/>
      <w:marRight w:val="0"/>
      <w:marTop w:val="0"/>
      <w:marBottom w:val="0"/>
      <w:divBdr>
        <w:top w:val="none" w:sz="0" w:space="0" w:color="auto"/>
        <w:left w:val="none" w:sz="0" w:space="0" w:color="auto"/>
        <w:bottom w:val="none" w:sz="0" w:space="0" w:color="auto"/>
        <w:right w:val="none" w:sz="0" w:space="0" w:color="auto"/>
      </w:divBdr>
    </w:div>
    <w:div w:id="1874489465">
      <w:bodyDiv w:val="1"/>
      <w:marLeft w:val="0"/>
      <w:marRight w:val="0"/>
      <w:marTop w:val="0"/>
      <w:marBottom w:val="0"/>
      <w:divBdr>
        <w:top w:val="none" w:sz="0" w:space="0" w:color="auto"/>
        <w:left w:val="none" w:sz="0" w:space="0" w:color="auto"/>
        <w:bottom w:val="none" w:sz="0" w:space="0" w:color="auto"/>
        <w:right w:val="none" w:sz="0" w:space="0" w:color="auto"/>
      </w:divBdr>
    </w:div>
    <w:div w:id="1925991562">
      <w:bodyDiv w:val="1"/>
      <w:marLeft w:val="0"/>
      <w:marRight w:val="0"/>
      <w:marTop w:val="0"/>
      <w:marBottom w:val="0"/>
      <w:divBdr>
        <w:top w:val="none" w:sz="0" w:space="0" w:color="auto"/>
        <w:left w:val="none" w:sz="0" w:space="0" w:color="auto"/>
        <w:bottom w:val="none" w:sz="0" w:space="0" w:color="auto"/>
        <w:right w:val="none" w:sz="0" w:space="0" w:color="auto"/>
      </w:divBdr>
    </w:div>
    <w:div w:id="193956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www.w3.org/XML/1998/namespac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A480A3D1-C75D-4002-B11E-486BB191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318</Words>
  <Characters>1700</Characters>
  <Application>Microsoft Office Word</Application>
  <DocSecurity>4</DocSecurity>
  <Lines>36</Lines>
  <Paragraphs>15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2025-11-19T10:26:00Z</dcterms:created>
  <dcterms:modified xsi:type="dcterms:W3CDTF">2025-11-19T10:26:00Z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