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8E596" w14:textId="50B2B580" w:rsidR="00E35C84" w:rsidRDefault="00E35C84" w:rsidP="00E35C84">
      <w:pPr>
        <w:pStyle w:val="LetterheadBOI"/>
      </w:pPr>
      <w:r>
        <w:rPr>
          <w:noProof/>
          <w:rtl/>
        </w:rPr>
        <w:drawing>
          <wp:anchor distT="0" distB="0" distL="114300" distR="114300" simplePos="0" relativeHeight="251686912" behindDoc="0" locked="0" layoutInCell="1" allowOverlap="1" wp14:anchorId="72E9D8B3" wp14:editId="0297C518">
            <wp:simplePos x="0" y="0"/>
            <wp:positionH relativeFrom="margin">
              <wp:align>center</wp:align>
            </wp:positionH>
            <wp:positionV relativeFrom="paragraph">
              <wp:posOffset>-706640</wp:posOffset>
            </wp:positionV>
            <wp:extent cx="1050925" cy="1050925"/>
            <wp:effectExtent l="0" t="0" r="0" b="0"/>
            <wp:wrapNone/>
            <wp:docPr id="14" name="תמונה 14" descr="\\portals\DavWWWRoot\sites\boi\about\Mitug\DocList\Logo Bank of Israel 2 color\Logo Bank of Israel 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0925" cy="1050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568A1D" w14:textId="77777777" w:rsidR="00E35C84" w:rsidRDefault="00E35C84" w:rsidP="00E35C84">
      <w:pPr>
        <w:pStyle w:val="LetterheadBOI"/>
      </w:pPr>
    </w:p>
    <w:p w14:paraId="359E6BA0" w14:textId="4D692FAB" w:rsidR="00E35C84" w:rsidRPr="007055DF" w:rsidRDefault="00E35C84" w:rsidP="00E35C84">
      <w:pPr>
        <w:pStyle w:val="LetterheadBOI"/>
      </w:pPr>
      <w:r w:rsidRPr="007055DF">
        <w:t>BANK OF ISRAEL</w:t>
      </w:r>
    </w:p>
    <w:p w14:paraId="1993AB8C" w14:textId="77777777" w:rsidR="00E35C84" w:rsidRDefault="00E35C84" w:rsidP="00E35C84">
      <w:pPr>
        <w:pStyle w:val="Letterhead2"/>
        <w:rPr>
          <w:rtl/>
        </w:rPr>
      </w:pPr>
      <w:r w:rsidRPr="007055DF">
        <w:t>Office of the Spokesperson and Economic Information</w:t>
      </w:r>
    </w:p>
    <w:p w14:paraId="6BCECC2C" w14:textId="295594CC" w:rsidR="00D772B2" w:rsidRDefault="00D772B2" w:rsidP="00D772B2">
      <w:pPr>
        <w:bidi w:val="0"/>
      </w:pPr>
    </w:p>
    <w:p w14:paraId="777BAAD1" w14:textId="1C09A174" w:rsidR="00D772B2" w:rsidRPr="004D084B" w:rsidRDefault="00D05DEF" w:rsidP="006003FC">
      <w:pPr>
        <w:bidi w:val="0"/>
        <w:jc w:val="right"/>
      </w:pPr>
      <w:r>
        <w:t>September</w:t>
      </w:r>
      <w:r w:rsidR="00D223DE">
        <w:t xml:space="preserve"> 27</w:t>
      </w:r>
      <w:r w:rsidR="008B7040">
        <w:t>, 2023</w:t>
      </w:r>
    </w:p>
    <w:p w14:paraId="5E55176C" w14:textId="01589B04" w:rsidR="00D772B2" w:rsidRPr="004D084B" w:rsidRDefault="00D772B2" w:rsidP="00D772B2">
      <w:pPr>
        <w:pStyle w:val="PressReleaseTitle"/>
        <w:rPr>
          <w:sz w:val="24"/>
          <w:szCs w:val="24"/>
        </w:rPr>
      </w:pPr>
    </w:p>
    <w:p w14:paraId="0170820D" w14:textId="4D3AADA9" w:rsidR="00D772B2" w:rsidRPr="00E35C84" w:rsidRDefault="00D772B2" w:rsidP="009C042F">
      <w:pPr>
        <w:pStyle w:val="PressReleaseTitle"/>
        <w:jc w:val="left"/>
        <w:rPr>
          <w:b w:val="0"/>
          <w:bCs w:val="0"/>
          <w:sz w:val="24"/>
          <w:szCs w:val="24"/>
        </w:rPr>
      </w:pPr>
      <w:r w:rsidRPr="00E35C84">
        <w:rPr>
          <w:b w:val="0"/>
          <w:bCs w:val="0"/>
          <w:sz w:val="24"/>
          <w:szCs w:val="24"/>
        </w:rPr>
        <w:t>Press Release</w:t>
      </w:r>
      <w:r w:rsidR="009C042F" w:rsidRPr="00E35C84">
        <w:rPr>
          <w:b w:val="0"/>
          <w:bCs w:val="0"/>
          <w:sz w:val="24"/>
          <w:szCs w:val="24"/>
        </w:rPr>
        <w:t>:</w:t>
      </w:r>
    </w:p>
    <w:p w14:paraId="04D88B51" w14:textId="7DA9B52B" w:rsidR="00517971" w:rsidRPr="00517971" w:rsidRDefault="00517971" w:rsidP="00517971">
      <w:pPr>
        <w:rPr>
          <w:rFonts w:hint="cs"/>
          <w:lang w:eastAsia="zh-CN"/>
        </w:rPr>
      </w:pPr>
      <w:bookmarkStart w:id="0" w:name="_GoBack"/>
      <w:bookmarkEnd w:id="0"/>
    </w:p>
    <w:p w14:paraId="171E81B9" w14:textId="7D2C74B6" w:rsidR="00CE4D28" w:rsidRPr="001E01B6" w:rsidRDefault="00C6070A" w:rsidP="00D05DEF">
      <w:pPr>
        <w:pStyle w:val="1"/>
        <w:rPr>
          <w:rFonts w:asciiTheme="majorBidi" w:hAnsiTheme="majorBidi" w:cstheme="majorBidi"/>
          <w:sz w:val="32"/>
          <w:szCs w:val="32"/>
        </w:rPr>
      </w:pPr>
      <w:r w:rsidRPr="001E01B6">
        <w:rPr>
          <w:rFonts w:asciiTheme="majorBidi" w:hAnsiTheme="majorBidi" w:cstheme="majorBidi"/>
          <w:sz w:val="32"/>
          <w:szCs w:val="32"/>
        </w:rPr>
        <w:t>The</w:t>
      </w:r>
      <w:r w:rsidR="00F50434" w:rsidRPr="001E01B6">
        <w:rPr>
          <w:rFonts w:asciiTheme="majorBidi" w:hAnsiTheme="majorBidi" w:cstheme="majorBidi"/>
          <w:sz w:val="32"/>
          <w:szCs w:val="32"/>
        </w:rPr>
        <w:t xml:space="preserve"> public's financial assets portfolio in the </w:t>
      </w:r>
      <w:r w:rsidR="00D05DEF">
        <w:rPr>
          <w:rFonts w:asciiTheme="majorBidi" w:hAnsiTheme="majorBidi" w:cstheme="majorBidi"/>
          <w:sz w:val="32"/>
          <w:szCs w:val="32"/>
        </w:rPr>
        <w:t>second</w:t>
      </w:r>
      <w:r w:rsidR="006919D1" w:rsidRPr="001E01B6">
        <w:rPr>
          <w:rFonts w:asciiTheme="majorBidi" w:hAnsiTheme="majorBidi" w:cstheme="majorBidi"/>
          <w:sz w:val="32"/>
          <w:szCs w:val="32"/>
        </w:rPr>
        <w:t xml:space="preserve"> quarter</w:t>
      </w:r>
      <w:r w:rsidR="00084032" w:rsidRPr="001E01B6">
        <w:rPr>
          <w:rFonts w:asciiTheme="majorBidi" w:hAnsiTheme="majorBidi" w:cstheme="majorBidi"/>
          <w:sz w:val="32"/>
          <w:szCs w:val="32"/>
        </w:rPr>
        <w:t xml:space="preserve"> of </w:t>
      </w:r>
      <w:r w:rsidR="006919D1" w:rsidRPr="001E01B6">
        <w:rPr>
          <w:rFonts w:asciiTheme="majorBidi" w:hAnsiTheme="majorBidi" w:cstheme="majorBidi"/>
          <w:sz w:val="32"/>
          <w:szCs w:val="32"/>
        </w:rPr>
        <w:t>202</w:t>
      </w:r>
      <w:r w:rsidR="00D223DE">
        <w:rPr>
          <w:rFonts w:asciiTheme="majorBidi" w:hAnsiTheme="majorBidi" w:cstheme="majorBidi"/>
          <w:sz w:val="32"/>
          <w:szCs w:val="32"/>
        </w:rPr>
        <w:t>3</w:t>
      </w:r>
    </w:p>
    <w:p w14:paraId="086364F6" w14:textId="649EBEDD" w:rsidR="00F50434" w:rsidRDefault="00F50434" w:rsidP="007E422E">
      <w:pPr>
        <w:bidi w:val="0"/>
        <w:spacing w:line="300" w:lineRule="exact"/>
        <w:jc w:val="center"/>
        <w:rPr>
          <w:b/>
          <w:bCs/>
        </w:rPr>
      </w:pPr>
    </w:p>
    <w:p w14:paraId="5C97827F" w14:textId="596ED322" w:rsidR="00AC3545" w:rsidRPr="00B228AF" w:rsidRDefault="00234629" w:rsidP="00F571D9">
      <w:pPr>
        <w:numPr>
          <w:ilvl w:val="0"/>
          <w:numId w:val="17"/>
        </w:numPr>
        <w:tabs>
          <w:tab w:val="clear" w:pos="720"/>
          <w:tab w:val="num" w:pos="360"/>
          <w:tab w:val="left" w:pos="1134"/>
        </w:tabs>
        <w:bidi w:val="0"/>
        <w:spacing w:line="300" w:lineRule="exact"/>
        <w:ind w:left="360"/>
        <w:jc w:val="both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t xml:space="preserve">In the </w:t>
      </w:r>
      <w:r w:rsidR="00D05DEF">
        <w:rPr>
          <w:rFonts w:asciiTheme="majorBidi" w:hAnsiTheme="majorBidi" w:cstheme="majorBidi"/>
          <w:b/>
          <w:bCs/>
        </w:rPr>
        <w:t>second</w:t>
      </w:r>
      <w:r w:rsidR="006919D1" w:rsidRPr="00B228AF">
        <w:rPr>
          <w:rFonts w:asciiTheme="majorBidi" w:hAnsiTheme="majorBidi" w:cstheme="majorBidi"/>
          <w:b/>
          <w:bCs/>
        </w:rPr>
        <w:t xml:space="preserve"> quarter</w:t>
      </w:r>
      <w:r w:rsidRPr="00B228AF">
        <w:rPr>
          <w:rFonts w:asciiTheme="majorBidi" w:hAnsiTheme="majorBidi" w:cstheme="majorBidi"/>
          <w:b/>
          <w:bCs/>
        </w:rPr>
        <w:t xml:space="preserve"> of </w:t>
      </w:r>
      <w:r w:rsidR="00D223DE">
        <w:rPr>
          <w:rFonts w:asciiTheme="majorBidi" w:hAnsiTheme="majorBidi" w:cstheme="majorBidi"/>
          <w:b/>
          <w:bCs/>
        </w:rPr>
        <w:t>2023</w:t>
      </w:r>
      <w:r w:rsidRPr="00B228AF">
        <w:rPr>
          <w:rFonts w:asciiTheme="majorBidi" w:hAnsiTheme="majorBidi" w:cstheme="majorBidi"/>
          <w:b/>
          <w:bCs/>
        </w:rPr>
        <w:t>,</w:t>
      </w:r>
      <w:r w:rsidR="00E716B9" w:rsidRPr="00B228AF">
        <w:rPr>
          <w:rFonts w:asciiTheme="majorBidi" w:hAnsiTheme="majorBidi" w:cstheme="majorBidi"/>
          <w:b/>
          <w:bCs/>
        </w:rPr>
        <w:t xml:space="preserve"> </w:t>
      </w:r>
      <w:r w:rsidR="00AC3545" w:rsidRPr="00B228AF">
        <w:rPr>
          <w:rFonts w:asciiTheme="majorBidi" w:hAnsiTheme="majorBidi" w:cstheme="majorBidi"/>
          <w:b/>
          <w:bCs/>
        </w:rPr>
        <w:t xml:space="preserve">the balance of the public’s financial assets portfolio </w:t>
      </w:r>
      <w:r w:rsidR="00D05DEF">
        <w:rPr>
          <w:rFonts w:asciiTheme="majorBidi" w:hAnsiTheme="majorBidi" w:cstheme="majorBidi"/>
          <w:b/>
          <w:bCs/>
        </w:rPr>
        <w:t>increased</w:t>
      </w:r>
      <w:r w:rsidR="008B7040">
        <w:rPr>
          <w:rFonts w:asciiTheme="majorBidi" w:hAnsiTheme="majorBidi" w:cstheme="majorBidi"/>
          <w:b/>
          <w:bCs/>
        </w:rPr>
        <w:t xml:space="preserve"> </w:t>
      </w:r>
      <w:r w:rsidR="00AC3545" w:rsidRPr="00B228AF">
        <w:rPr>
          <w:rFonts w:asciiTheme="majorBidi" w:hAnsiTheme="majorBidi" w:cstheme="majorBidi"/>
          <w:b/>
          <w:bCs/>
        </w:rPr>
        <w:t xml:space="preserve">by </w:t>
      </w:r>
      <w:r w:rsidR="00C935C0" w:rsidRPr="00B228AF">
        <w:rPr>
          <w:rFonts w:asciiTheme="majorBidi" w:hAnsiTheme="majorBidi" w:cstheme="majorBidi"/>
          <w:b/>
          <w:bCs/>
        </w:rPr>
        <w:t xml:space="preserve">approximately </w:t>
      </w:r>
      <w:r w:rsidR="00AC3545" w:rsidRPr="00B228AF">
        <w:rPr>
          <w:rFonts w:asciiTheme="majorBidi" w:hAnsiTheme="majorBidi" w:cstheme="majorBidi"/>
          <w:b/>
          <w:bCs/>
        </w:rPr>
        <w:t xml:space="preserve">NIS </w:t>
      </w:r>
      <w:r w:rsidR="00D05DEF">
        <w:rPr>
          <w:rFonts w:asciiTheme="majorBidi" w:hAnsiTheme="majorBidi" w:cstheme="majorBidi"/>
          <w:b/>
          <w:bCs/>
        </w:rPr>
        <w:t>117</w:t>
      </w:r>
      <w:r w:rsidR="00E716B9" w:rsidRPr="00B228AF">
        <w:rPr>
          <w:rFonts w:asciiTheme="majorBidi" w:hAnsiTheme="majorBidi" w:cstheme="majorBidi"/>
          <w:b/>
          <w:bCs/>
        </w:rPr>
        <w:t xml:space="preserve"> </w:t>
      </w:r>
      <w:r w:rsidR="00AC3545" w:rsidRPr="00B228AF">
        <w:rPr>
          <w:rFonts w:asciiTheme="majorBidi" w:hAnsiTheme="majorBidi" w:cstheme="majorBidi"/>
          <w:b/>
          <w:bCs/>
        </w:rPr>
        <w:t>billion (</w:t>
      </w:r>
      <w:r w:rsidR="00D05DEF">
        <w:rPr>
          <w:rFonts w:asciiTheme="majorBidi" w:hAnsiTheme="majorBidi" w:cstheme="majorBidi"/>
          <w:b/>
          <w:bCs/>
        </w:rPr>
        <w:t>2.</w:t>
      </w:r>
      <w:r w:rsidR="00F571D9">
        <w:rPr>
          <w:rFonts w:asciiTheme="majorBidi" w:hAnsiTheme="majorBidi" w:cstheme="majorBidi"/>
          <w:b/>
          <w:bCs/>
        </w:rPr>
        <w:t>7</w:t>
      </w:r>
      <w:r w:rsidR="00D84BFF">
        <w:rPr>
          <w:rFonts w:asciiTheme="majorBidi" w:hAnsiTheme="majorBidi" w:cstheme="majorBidi"/>
          <w:b/>
          <w:bCs/>
        </w:rPr>
        <w:t xml:space="preserve"> </w:t>
      </w:r>
      <w:r w:rsidR="00AC3545" w:rsidRPr="00B228AF">
        <w:rPr>
          <w:rFonts w:asciiTheme="majorBidi" w:hAnsiTheme="majorBidi" w:cstheme="majorBidi"/>
          <w:b/>
          <w:bCs/>
        </w:rPr>
        <w:t>percent)</w:t>
      </w:r>
      <w:r w:rsidR="00C935C0" w:rsidRPr="00B228AF">
        <w:rPr>
          <w:rFonts w:asciiTheme="majorBidi" w:hAnsiTheme="majorBidi" w:cstheme="majorBidi"/>
          <w:b/>
          <w:bCs/>
        </w:rPr>
        <w:t xml:space="preserve">, </w:t>
      </w:r>
      <w:r w:rsidR="00D223DE">
        <w:rPr>
          <w:rFonts w:asciiTheme="majorBidi" w:hAnsiTheme="majorBidi" w:cstheme="majorBidi"/>
          <w:b/>
          <w:bCs/>
        </w:rPr>
        <w:t xml:space="preserve">to </w:t>
      </w:r>
      <w:r w:rsidR="00D84BFF">
        <w:rPr>
          <w:rFonts w:asciiTheme="majorBidi" w:hAnsiTheme="majorBidi" w:cstheme="majorBidi"/>
          <w:b/>
          <w:bCs/>
        </w:rPr>
        <w:t xml:space="preserve">about NIS </w:t>
      </w:r>
      <w:r w:rsidR="00F571D9">
        <w:rPr>
          <w:rFonts w:asciiTheme="majorBidi" w:hAnsiTheme="majorBidi" w:cstheme="majorBidi"/>
          <w:b/>
          <w:bCs/>
        </w:rPr>
        <w:t>5</w:t>
      </w:r>
      <w:r w:rsidR="00D84BFF" w:rsidRPr="00160FD3">
        <w:rPr>
          <w:rFonts w:asciiTheme="majorBidi" w:hAnsiTheme="majorBidi" w:cstheme="majorBidi"/>
          <w:b/>
          <w:bCs/>
        </w:rPr>
        <w:t xml:space="preserve"> </w:t>
      </w:r>
      <w:r w:rsidR="00514DD8" w:rsidRPr="00160FD3">
        <w:rPr>
          <w:rFonts w:asciiTheme="majorBidi" w:hAnsiTheme="majorBidi" w:cstheme="majorBidi"/>
          <w:b/>
          <w:bCs/>
        </w:rPr>
        <w:t>tr</w:t>
      </w:r>
      <w:r w:rsidR="00D84BFF" w:rsidRPr="00160FD3">
        <w:rPr>
          <w:rFonts w:asciiTheme="majorBidi" w:hAnsiTheme="majorBidi" w:cstheme="majorBidi"/>
          <w:b/>
          <w:bCs/>
        </w:rPr>
        <w:t>illion</w:t>
      </w:r>
      <w:r w:rsidR="00D84BFF">
        <w:rPr>
          <w:rFonts w:asciiTheme="majorBidi" w:hAnsiTheme="majorBidi" w:cstheme="majorBidi"/>
          <w:b/>
          <w:bCs/>
        </w:rPr>
        <w:t>.</w:t>
      </w:r>
    </w:p>
    <w:p w14:paraId="151F8781" w14:textId="118A1DB8" w:rsidR="00455E2B" w:rsidRPr="00B228AF" w:rsidRDefault="00455E2B" w:rsidP="00F571D9">
      <w:pPr>
        <w:numPr>
          <w:ilvl w:val="0"/>
          <w:numId w:val="17"/>
        </w:numPr>
        <w:tabs>
          <w:tab w:val="clear" w:pos="720"/>
          <w:tab w:val="num" w:pos="360"/>
          <w:tab w:val="left" w:pos="1134"/>
        </w:tabs>
        <w:bidi w:val="0"/>
        <w:spacing w:line="300" w:lineRule="exact"/>
        <w:ind w:left="360"/>
        <w:jc w:val="both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t xml:space="preserve">The </w:t>
      </w:r>
      <w:r w:rsidR="00D05DEF">
        <w:rPr>
          <w:rFonts w:asciiTheme="majorBidi" w:hAnsiTheme="majorBidi" w:cstheme="majorBidi"/>
          <w:b/>
          <w:bCs/>
        </w:rPr>
        <w:t>increase</w:t>
      </w:r>
      <w:r w:rsidR="0021612F">
        <w:rPr>
          <w:rFonts w:asciiTheme="majorBidi" w:hAnsiTheme="majorBidi" w:cstheme="majorBidi"/>
          <w:b/>
          <w:bCs/>
        </w:rPr>
        <w:t xml:space="preserve"> in the portfolio</w:t>
      </w:r>
      <w:r w:rsidR="00D05DEF">
        <w:rPr>
          <w:rFonts w:asciiTheme="majorBidi" w:hAnsiTheme="majorBidi" w:cstheme="majorBidi"/>
          <w:b/>
          <w:bCs/>
        </w:rPr>
        <w:t>’s</w:t>
      </w:r>
      <w:r w:rsidR="0021612F">
        <w:rPr>
          <w:rFonts w:asciiTheme="majorBidi" w:hAnsiTheme="majorBidi" w:cstheme="majorBidi"/>
          <w:b/>
          <w:bCs/>
        </w:rPr>
        <w:t xml:space="preserve"> value </w:t>
      </w:r>
      <w:r w:rsidRPr="00B228AF">
        <w:rPr>
          <w:rFonts w:asciiTheme="majorBidi" w:hAnsiTheme="majorBidi" w:cstheme="majorBidi"/>
          <w:b/>
          <w:bCs/>
        </w:rPr>
        <w:t xml:space="preserve">in the </w:t>
      </w:r>
      <w:r w:rsidR="00D05DEF">
        <w:rPr>
          <w:rFonts w:asciiTheme="majorBidi" w:hAnsiTheme="majorBidi" w:cstheme="majorBidi"/>
          <w:b/>
          <w:bCs/>
        </w:rPr>
        <w:t>second</w:t>
      </w:r>
      <w:r w:rsidRPr="00B228AF">
        <w:rPr>
          <w:rFonts w:asciiTheme="majorBidi" w:hAnsiTheme="majorBidi" w:cstheme="majorBidi"/>
          <w:b/>
          <w:bCs/>
        </w:rPr>
        <w:t xml:space="preserve"> quarter </w:t>
      </w:r>
      <w:r w:rsidR="00B228AF">
        <w:rPr>
          <w:rFonts w:asciiTheme="majorBidi" w:hAnsiTheme="majorBidi" w:cstheme="majorBidi"/>
          <w:b/>
          <w:bCs/>
        </w:rPr>
        <w:t>was</w:t>
      </w:r>
      <w:r w:rsidR="00C25158" w:rsidRPr="00B228AF">
        <w:rPr>
          <w:rFonts w:asciiTheme="majorBidi" w:hAnsiTheme="majorBidi" w:cstheme="majorBidi"/>
          <w:b/>
          <w:bCs/>
        </w:rPr>
        <w:t xml:space="preserve"> </w:t>
      </w:r>
      <w:r w:rsidRPr="00B228AF">
        <w:rPr>
          <w:rFonts w:asciiTheme="majorBidi" w:hAnsiTheme="majorBidi" w:cstheme="majorBidi"/>
          <w:b/>
          <w:bCs/>
        </w:rPr>
        <w:t xml:space="preserve">mainly </w:t>
      </w:r>
      <w:r w:rsidR="00B228AF">
        <w:rPr>
          <w:rFonts w:asciiTheme="majorBidi" w:hAnsiTheme="majorBidi" w:cstheme="majorBidi"/>
          <w:b/>
          <w:bCs/>
        </w:rPr>
        <w:t xml:space="preserve">due to </w:t>
      </w:r>
      <w:r w:rsidR="00D05DEF">
        <w:rPr>
          <w:rFonts w:asciiTheme="majorBidi" w:hAnsiTheme="majorBidi" w:cstheme="majorBidi"/>
          <w:b/>
          <w:bCs/>
        </w:rPr>
        <w:t>increases</w:t>
      </w:r>
      <w:r w:rsidR="00CF3CDD">
        <w:rPr>
          <w:rFonts w:asciiTheme="majorBidi" w:hAnsiTheme="majorBidi" w:cstheme="majorBidi"/>
          <w:b/>
          <w:bCs/>
        </w:rPr>
        <w:t xml:space="preserve"> </w:t>
      </w:r>
      <w:r w:rsidRPr="00B228AF">
        <w:rPr>
          <w:rFonts w:asciiTheme="majorBidi" w:hAnsiTheme="majorBidi" w:cstheme="majorBidi"/>
          <w:b/>
          <w:bCs/>
        </w:rPr>
        <w:t xml:space="preserve">in the balance of </w:t>
      </w:r>
      <w:r w:rsidR="00D05DEF">
        <w:rPr>
          <w:rFonts w:asciiTheme="majorBidi" w:hAnsiTheme="majorBidi" w:cstheme="majorBidi"/>
          <w:b/>
          <w:bCs/>
        </w:rPr>
        <w:t>investments abroad</w:t>
      </w:r>
      <w:r w:rsidR="00D223DE">
        <w:rPr>
          <w:rFonts w:asciiTheme="majorBidi" w:hAnsiTheme="majorBidi" w:cstheme="majorBidi"/>
          <w:b/>
          <w:bCs/>
        </w:rPr>
        <w:t xml:space="preserve"> (</w:t>
      </w:r>
      <w:r w:rsidR="00F571D9">
        <w:rPr>
          <w:rFonts w:asciiTheme="majorBidi" w:hAnsiTheme="majorBidi" w:cstheme="majorBidi"/>
          <w:b/>
          <w:bCs/>
        </w:rPr>
        <w:t>8.1</w:t>
      </w:r>
      <w:r w:rsidR="00D223DE">
        <w:rPr>
          <w:rFonts w:asciiTheme="majorBidi" w:hAnsiTheme="majorBidi" w:cstheme="majorBidi"/>
          <w:b/>
          <w:bCs/>
        </w:rPr>
        <w:t xml:space="preserve"> percent) </w:t>
      </w:r>
      <w:r w:rsidR="00D05DEF">
        <w:rPr>
          <w:rFonts w:asciiTheme="majorBidi" w:hAnsiTheme="majorBidi" w:cstheme="majorBidi"/>
          <w:b/>
          <w:bCs/>
        </w:rPr>
        <w:t>and in the balance of equities in Israel (</w:t>
      </w:r>
      <w:r w:rsidR="00F571D9">
        <w:rPr>
          <w:rFonts w:asciiTheme="majorBidi" w:hAnsiTheme="majorBidi" w:cstheme="majorBidi"/>
          <w:b/>
          <w:bCs/>
        </w:rPr>
        <w:t>7</w:t>
      </w:r>
      <w:r w:rsidR="00D05DEF">
        <w:rPr>
          <w:rFonts w:asciiTheme="majorBidi" w:hAnsiTheme="majorBidi" w:cstheme="majorBidi"/>
          <w:b/>
          <w:bCs/>
        </w:rPr>
        <w:t xml:space="preserve"> percent), </w:t>
      </w:r>
      <w:r w:rsidR="00D223DE">
        <w:rPr>
          <w:rFonts w:asciiTheme="majorBidi" w:hAnsiTheme="majorBidi" w:cstheme="majorBidi"/>
          <w:b/>
          <w:bCs/>
        </w:rPr>
        <w:t xml:space="preserve">in view </w:t>
      </w:r>
      <w:r w:rsidR="00BF3080">
        <w:rPr>
          <w:rFonts w:asciiTheme="majorBidi" w:hAnsiTheme="majorBidi" w:cstheme="majorBidi"/>
          <w:b/>
          <w:bCs/>
        </w:rPr>
        <w:t xml:space="preserve">of </w:t>
      </w:r>
      <w:r w:rsidR="00D05DEF">
        <w:rPr>
          <w:rFonts w:asciiTheme="majorBidi" w:hAnsiTheme="majorBidi" w:cstheme="majorBidi"/>
          <w:b/>
          <w:bCs/>
        </w:rPr>
        <w:t>increases</w:t>
      </w:r>
      <w:r w:rsidR="00CF3CDD">
        <w:rPr>
          <w:rFonts w:asciiTheme="majorBidi" w:hAnsiTheme="majorBidi" w:cstheme="majorBidi"/>
          <w:b/>
          <w:bCs/>
        </w:rPr>
        <w:t xml:space="preserve"> </w:t>
      </w:r>
      <w:r w:rsidR="00BF3080">
        <w:rPr>
          <w:rFonts w:asciiTheme="majorBidi" w:hAnsiTheme="majorBidi" w:cstheme="majorBidi"/>
          <w:b/>
          <w:bCs/>
        </w:rPr>
        <w:t xml:space="preserve">in </w:t>
      </w:r>
      <w:r w:rsidR="00B228AF">
        <w:rPr>
          <w:rFonts w:asciiTheme="majorBidi" w:hAnsiTheme="majorBidi" w:cstheme="majorBidi"/>
          <w:b/>
          <w:bCs/>
        </w:rPr>
        <w:t>equity indices</w:t>
      </w:r>
      <w:r w:rsidR="00BF3080">
        <w:rPr>
          <w:rFonts w:asciiTheme="majorBidi" w:hAnsiTheme="majorBidi" w:cstheme="majorBidi"/>
          <w:b/>
          <w:bCs/>
        </w:rPr>
        <w:t xml:space="preserve"> </w:t>
      </w:r>
      <w:r w:rsidR="00D223DE">
        <w:rPr>
          <w:rFonts w:asciiTheme="majorBidi" w:hAnsiTheme="majorBidi" w:cstheme="majorBidi"/>
          <w:b/>
          <w:bCs/>
        </w:rPr>
        <w:t>in Israel</w:t>
      </w:r>
      <w:r w:rsidR="00D05DEF">
        <w:rPr>
          <w:rFonts w:asciiTheme="majorBidi" w:hAnsiTheme="majorBidi" w:cstheme="majorBidi"/>
          <w:b/>
          <w:bCs/>
        </w:rPr>
        <w:t xml:space="preserve"> and abroad</w:t>
      </w:r>
      <w:r w:rsidR="00D223DE">
        <w:rPr>
          <w:rFonts w:asciiTheme="majorBidi" w:hAnsiTheme="majorBidi" w:cstheme="majorBidi"/>
          <w:b/>
          <w:bCs/>
        </w:rPr>
        <w:t>, and</w:t>
      </w:r>
      <w:r w:rsidR="00D05DEF">
        <w:rPr>
          <w:rFonts w:asciiTheme="majorBidi" w:hAnsiTheme="majorBidi" w:cstheme="majorBidi"/>
          <w:b/>
          <w:bCs/>
        </w:rPr>
        <w:t xml:space="preserve"> in the balance of tradable corporate bonds (3 percent)</w:t>
      </w:r>
      <w:r w:rsidR="00B228AF">
        <w:rPr>
          <w:rFonts w:asciiTheme="majorBidi" w:hAnsiTheme="majorBidi" w:cstheme="majorBidi"/>
          <w:b/>
          <w:bCs/>
        </w:rPr>
        <w:t>.</w:t>
      </w:r>
    </w:p>
    <w:p w14:paraId="2F871BEC" w14:textId="4158B5F4" w:rsidR="00365255" w:rsidRPr="00160FD3" w:rsidRDefault="00077422" w:rsidP="00D05DEF">
      <w:pPr>
        <w:numPr>
          <w:ilvl w:val="0"/>
          <w:numId w:val="17"/>
        </w:numPr>
        <w:tabs>
          <w:tab w:val="clear" w:pos="720"/>
          <w:tab w:val="num" w:pos="360"/>
          <w:tab w:val="left" w:pos="1134"/>
        </w:tabs>
        <w:bidi w:val="0"/>
        <w:spacing w:line="300" w:lineRule="exact"/>
        <w:ind w:left="360"/>
        <w:jc w:val="both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t xml:space="preserve">The </w:t>
      </w:r>
      <w:r w:rsidR="004E3447" w:rsidRPr="00B228AF">
        <w:rPr>
          <w:rFonts w:asciiTheme="majorBidi" w:hAnsiTheme="majorBidi" w:cstheme="majorBidi"/>
          <w:b/>
          <w:bCs/>
        </w:rPr>
        <w:t xml:space="preserve">balance of the asset portfolio managed by institutional investors </w:t>
      </w:r>
      <w:r w:rsidR="006540B7">
        <w:rPr>
          <w:rFonts w:asciiTheme="majorBidi" w:hAnsiTheme="majorBidi" w:cstheme="majorBidi"/>
          <w:b/>
          <w:bCs/>
        </w:rPr>
        <w:t xml:space="preserve">increased </w:t>
      </w:r>
      <w:r w:rsidRPr="00B228AF">
        <w:rPr>
          <w:rFonts w:asciiTheme="majorBidi" w:hAnsiTheme="majorBidi" w:cstheme="majorBidi"/>
          <w:b/>
          <w:bCs/>
        </w:rPr>
        <w:t xml:space="preserve">in the </w:t>
      </w:r>
      <w:r w:rsidR="00D05DEF">
        <w:rPr>
          <w:rFonts w:asciiTheme="majorBidi" w:hAnsiTheme="majorBidi" w:cstheme="majorBidi"/>
          <w:b/>
          <w:bCs/>
        </w:rPr>
        <w:t>second</w:t>
      </w:r>
      <w:r w:rsidR="006919D1" w:rsidRPr="00B228AF">
        <w:rPr>
          <w:rFonts w:asciiTheme="majorBidi" w:hAnsiTheme="majorBidi" w:cstheme="majorBidi"/>
          <w:b/>
          <w:bCs/>
        </w:rPr>
        <w:t xml:space="preserve"> quarter</w:t>
      </w:r>
      <w:r w:rsidRPr="00B228AF">
        <w:rPr>
          <w:rFonts w:asciiTheme="majorBidi" w:hAnsiTheme="majorBidi" w:cstheme="majorBidi"/>
          <w:b/>
          <w:bCs/>
        </w:rPr>
        <w:t xml:space="preserve"> by approximately NIS </w:t>
      </w:r>
      <w:r w:rsidR="00D05DEF">
        <w:rPr>
          <w:rFonts w:asciiTheme="majorBidi" w:hAnsiTheme="majorBidi" w:cstheme="majorBidi"/>
          <w:b/>
          <w:bCs/>
        </w:rPr>
        <w:t>94</w:t>
      </w:r>
      <w:r w:rsidR="00664042">
        <w:rPr>
          <w:rFonts w:asciiTheme="majorBidi" w:hAnsiTheme="majorBidi" w:cstheme="majorBidi"/>
          <w:b/>
          <w:bCs/>
        </w:rPr>
        <w:t xml:space="preserve"> </w:t>
      </w:r>
      <w:r w:rsidRPr="00B228AF">
        <w:rPr>
          <w:rFonts w:asciiTheme="majorBidi" w:hAnsiTheme="majorBidi" w:cstheme="majorBidi"/>
          <w:b/>
          <w:bCs/>
        </w:rPr>
        <w:t>billion (</w:t>
      </w:r>
      <w:r w:rsidR="00D05DEF">
        <w:rPr>
          <w:rFonts w:asciiTheme="majorBidi" w:hAnsiTheme="majorBidi" w:cstheme="majorBidi"/>
          <w:b/>
          <w:bCs/>
        </w:rPr>
        <w:t>4</w:t>
      </w:r>
      <w:r w:rsidR="00664042">
        <w:rPr>
          <w:rFonts w:asciiTheme="majorBidi" w:hAnsiTheme="majorBidi" w:cstheme="majorBidi"/>
          <w:b/>
          <w:bCs/>
        </w:rPr>
        <w:t xml:space="preserve"> p</w:t>
      </w:r>
      <w:r w:rsidRPr="00B228AF">
        <w:rPr>
          <w:rFonts w:asciiTheme="majorBidi" w:hAnsiTheme="majorBidi" w:cstheme="majorBidi"/>
          <w:b/>
          <w:bCs/>
        </w:rPr>
        <w:t xml:space="preserve">ercent), to </w:t>
      </w:r>
      <w:r w:rsidR="003E6527" w:rsidRPr="00B228AF">
        <w:rPr>
          <w:rFonts w:asciiTheme="majorBidi" w:hAnsiTheme="majorBidi" w:cstheme="majorBidi"/>
          <w:b/>
          <w:bCs/>
        </w:rPr>
        <w:t xml:space="preserve">about </w:t>
      </w:r>
      <w:r w:rsidRPr="00B228AF">
        <w:rPr>
          <w:rFonts w:asciiTheme="majorBidi" w:hAnsiTheme="majorBidi" w:cstheme="majorBidi"/>
          <w:b/>
          <w:bCs/>
        </w:rPr>
        <w:t xml:space="preserve">NIS </w:t>
      </w:r>
      <w:r w:rsidR="00AA4DFA" w:rsidRPr="00B228AF">
        <w:rPr>
          <w:rFonts w:asciiTheme="majorBidi" w:hAnsiTheme="majorBidi" w:cstheme="majorBidi"/>
          <w:b/>
          <w:bCs/>
        </w:rPr>
        <w:t>2</w:t>
      </w:r>
      <w:r w:rsidR="00455E2B" w:rsidRPr="00B228AF">
        <w:rPr>
          <w:rFonts w:asciiTheme="majorBidi" w:hAnsiTheme="majorBidi" w:cstheme="majorBidi"/>
          <w:b/>
          <w:bCs/>
        </w:rPr>
        <w:t>.</w:t>
      </w:r>
      <w:r w:rsidR="00D05DEF">
        <w:rPr>
          <w:rFonts w:asciiTheme="majorBidi" w:hAnsiTheme="majorBidi" w:cstheme="majorBidi"/>
          <w:b/>
          <w:bCs/>
        </w:rPr>
        <w:t>42</w:t>
      </w:r>
      <w:r w:rsidR="00AA4DFA" w:rsidRPr="00B228AF">
        <w:rPr>
          <w:rFonts w:asciiTheme="majorBidi" w:hAnsiTheme="majorBidi" w:cstheme="majorBidi"/>
          <w:b/>
          <w:bCs/>
        </w:rPr>
        <w:t xml:space="preserve"> </w:t>
      </w:r>
      <w:r w:rsidRPr="00B228AF">
        <w:rPr>
          <w:rFonts w:asciiTheme="majorBidi" w:hAnsiTheme="majorBidi" w:cstheme="majorBidi"/>
          <w:b/>
          <w:bCs/>
        </w:rPr>
        <w:t>trillion</w:t>
      </w:r>
      <w:r w:rsidR="00002378" w:rsidRPr="00B228AF">
        <w:rPr>
          <w:rFonts w:asciiTheme="majorBidi" w:hAnsiTheme="majorBidi" w:cstheme="majorBidi"/>
          <w:b/>
          <w:bCs/>
        </w:rPr>
        <w:t xml:space="preserve"> at the end of the quarter</w:t>
      </w:r>
      <w:r w:rsidRPr="00B228AF">
        <w:rPr>
          <w:rFonts w:asciiTheme="majorBidi" w:hAnsiTheme="majorBidi" w:cstheme="majorBidi"/>
          <w:b/>
          <w:bCs/>
        </w:rPr>
        <w:t>.</w:t>
      </w:r>
      <w:r w:rsidR="00C72CDB" w:rsidRPr="00B228AF">
        <w:rPr>
          <w:rFonts w:asciiTheme="majorBidi" w:hAnsiTheme="majorBidi" w:cstheme="majorBidi"/>
          <w:b/>
          <w:bCs/>
        </w:rPr>
        <w:t xml:space="preserve"> </w:t>
      </w:r>
    </w:p>
    <w:p w14:paraId="318EB082" w14:textId="24A3D74B" w:rsidR="00365255" w:rsidRPr="00160FD3" w:rsidRDefault="00012BEC" w:rsidP="00D05DEF">
      <w:pPr>
        <w:numPr>
          <w:ilvl w:val="0"/>
          <w:numId w:val="17"/>
        </w:numPr>
        <w:tabs>
          <w:tab w:val="clear" w:pos="720"/>
          <w:tab w:val="num" w:pos="360"/>
        </w:tabs>
        <w:bidi w:val="0"/>
        <w:spacing w:line="300" w:lineRule="exact"/>
        <w:ind w:left="360"/>
        <w:jc w:val="both"/>
        <w:rPr>
          <w:rFonts w:asciiTheme="majorBidi" w:hAnsiTheme="majorBidi" w:cstheme="majorBidi"/>
          <w:b/>
          <w:bCs/>
        </w:rPr>
      </w:pPr>
      <w:r w:rsidRPr="00160FD3">
        <w:rPr>
          <w:rFonts w:asciiTheme="majorBidi" w:hAnsiTheme="majorBidi" w:cstheme="majorBidi"/>
          <w:b/>
          <w:bCs/>
        </w:rPr>
        <w:t xml:space="preserve">Institutional investors’ rate of exposure to foreign </w:t>
      </w:r>
      <w:r w:rsidR="00664042" w:rsidRPr="00160FD3">
        <w:rPr>
          <w:rFonts w:asciiTheme="majorBidi" w:hAnsiTheme="majorBidi" w:cstheme="majorBidi"/>
          <w:b/>
          <w:bCs/>
        </w:rPr>
        <w:t xml:space="preserve">currency increased </w:t>
      </w:r>
      <w:r w:rsidR="00073A52" w:rsidRPr="00160FD3">
        <w:rPr>
          <w:rFonts w:asciiTheme="majorBidi" w:hAnsiTheme="majorBidi" w:cstheme="majorBidi"/>
          <w:b/>
          <w:bCs/>
        </w:rPr>
        <w:t xml:space="preserve">by about </w:t>
      </w:r>
      <w:r w:rsidR="00D05DEF">
        <w:rPr>
          <w:rFonts w:asciiTheme="majorBidi" w:hAnsiTheme="majorBidi" w:cstheme="majorBidi"/>
          <w:b/>
          <w:bCs/>
        </w:rPr>
        <w:t>1.1</w:t>
      </w:r>
      <w:r w:rsidR="00664042" w:rsidRPr="00160FD3">
        <w:rPr>
          <w:rFonts w:asciiTheme="majorBidi" w:hAnsiTheme="majorBidi" w:cstheme="majorBidi"/>
          <w:b/>
          <w:bCs/>
        </w:rPr>
        <w:t xml:space="preserve"> </w:t>
      </w:r>
      <w:r w:rsidR="00073A52" w:rsidRPr="00160FD3">
        <w:rPr>
          <w:rFonts w:asciiTheme="majorBidi" w:hAnsiTheme="majorBidi" w:cstheme="majorBidi"/>
          <w:b/>
          <w:bCs/>
        </w:rPr>
        <w:t>percentage points</w:t>
      </w:r>
      <w:r w:rsidR="00C72CDB" w:rsidRPr="00160FD3">
        <w:rPr>
          <w:rFonts w:asciiTheme="majorBidi" w:hAnsiTheme="majorBidi" w:cstheme="majorBidi"/>
          <w:b/>
          <w:bCs/>
        </w:rPr>
        <w:t xml:space="preserve"> during the quarter,</w:t>
      </w:r>
      <w:r w:rsidR="00396A86" w:rsidRPr="00160FD3">
        <w:rPr>
          <w:rFonts w:asciiTheme="majorBidi" w:hAnsiTheme="majorBidi" w:cstheme="majorBidi"/>
          <w:b/>
          <w:bCs/>
        </w:rPr>
        <w:t xml:space="preserve"> to about </w:t>
      </w:r>
      <w:r w:rsidR="00D223DE">
        <w:rPr>
          <w:rFonts w:asciiTheme="majorBidi" w:hAnsiTheme="majorBidi" w:cstheme="majorBidi"/>
          <w:b/>
          <w:bCs/>
        </w:rPr>
        <w:t>1</w:t>
      </w:r>
      <w:r w:rsidR="00D05DEF">
        <w:rPr>
          <w:rFonts w:asciiTheme="majorBidi" w:hAnsiTheme="majorBidi" w:cstheme="majorBidi"/>
          <w:b/>
          <w:bCs/>
        </w:rPr>
        <w:t>9.9</w:t>
      </w:r>
      <w:r w:rsidR="00664042" w:rsidRPr="00160FD3">
        <w:rPr>
          <w:rFonts w:asciiTheme="majorBidi" w:hAnsiTheme="majorBidi" w:cstheme="majorBidi"/>
          <w:b/>
          <w:bCs/>
        </w:rPr>
        <w:t xml:space="preserve"> </w:t>
      </w:r>
      <w:r w:rsidR="00396A86" w:rsidRPr="00160FD3">
        <w:rPr>
          <w:rFonts w:asciiTheme="majorBidi" w:hAnsiTheme="majorBidi" w:cstheme="majorBidi"/>
          <w:b/>
          <w:bCs/>
        </w:rPr>
        <w:t>percent,</w:t>
      </w:r>
      <w:r w:rsidR="00002378" w:rsidRPr="00160FD3">
        <w:rPr>
          <w:rFonts w:asciiTheme="majorBidi" w:hAnsiTheme="majorBidi" w:cstheme="majorBidi"/>
          <w:b/>
          <w:bCs/>
        </w:rPr>
        <w:t xml:space="preserve"> while </w:t>
      </w:r>
      <w:r w:rsidR="00C72CDB" w:rsidRPr="00160FD3">
        <w:rPr>
          <w:rFonts w:asciiTheme="majorBidi" w:hAnsiTheme="majorBidi" w:cstheme="majorBidi"/>
          <w:b/>
          <w:bCs/>
        </w:rPr>
        <w:t xml:space="preserve">their exposure to </w:t>
      </w:r>
      <w:r w:rsidR="00664042" w:rsidRPr="00160FD3">
        <w:rPr>
          <w:rFonts w:asciiTheme="majorBidi" w:hAnsiTheme="majorBidi" w:cstheme="majorBidi"/>
          <w:b/>
          <w:bCs/>
        </w:rPr>
        <w:t xml:space="preserve">foreign assets increased </w:t>
      </w:r>
      <w:r w:rsidR="00C72CDB" w:rsidRPr="00160FD3">
        <w:rPr>
          <w:rFonts w:asciiTheme="majorBidi" w:hAnsiTheme="majorBidi" w:cstheme="majorBidi"/>
          <w:b/>
          <w:bCs/>
        </w:rPr>
        <w:t>by</w:t>
      </w:r>
      <w:r w:rsidR="00455E2B" w:rsidRPr="00160FD3">
        <w:rPr>
          <w:rFonts w:asciiTheme="majorBidi" w:hAnsiTheme="majorBidi" w:cstheme="majorBidi"/>
          <w:b/>
          <w:bCs/>
        </w:rPr>
        <w:t xml:space="preserve"> about</w:t>
      </w:r>
      <w:r w:rsidR="00C72CDB" w:rsidRPr="00160FD3">
        <w:rPr>
          <w:rFonts w:asciiTheme="majorBidi" w:hAnsiTheme="majorBidi" w:cstheme="majorBidi"/>
          <w:b/>
          <w:bCs/>
        </w:rPr>
        <w:t xml:space="preserve"> </w:t>
      </w:r>
      <w:r w:rsidR="00D05DEF">
        <w:rPr>
          <w:rFonts w:asciiTheme="majorBidi" w:hAnsiTheme="majorBidi" w:cstheme="majorBidi"/>
          <w:b/>
          <w:bCs/>
        </w:rPr>
        <w:t>1</w:t>
      </w:r>
      <w:r w:rsidR="00D223DE">
        <w:rPr>
          <w:rFonts w:asciiTheme="majorBidi" w:hAnsiTheme="majorBidi" w:cstheme="majorBidi"/>
          <w:b/>
          <w:bCs/>
        </w:rPr>
        <w:t>.6</w:t>
      </w:r>
      <w:r w:rsidR="00664042" w:rsidRPr="00160FD3">
        <w:rPr>
          <w:rFonts w:asciiTheme="majorBidi" w:hAnsiTheme="majorBidi" w:cstheme="majorBidi"/>
          <w:b/>
          <w:bCs/>
        </w:rPr>
        <w:t xml:space="preserve"> </w:t>
      </w:r>
      <w:r w:rsidR="00C72CDB" w:rsidRPr="00160FD3">
        <w:rPr>
          <w:rFonts w:asciiTheme="majorBidi" w:hAnsiTheme="majorBidi" w:cstheme="majorBidi"/>
          <w:b/>
          <w:bCs/>
        </w:rPr>
        <w:t>percentage points</w:t>
      </w:r>
      <w:r w:rsidR="00B228AF" w:rsidRPr="00160FD3">
        <w:rPr>
          <w:rFonts w:asciiTheme="majorBidi" w:hAnsiTheme="majorBidi" w:cstheme="majorBidi"/>
          <w:b/>
          <w:bCs/>
        </w:rPr>
        <w:t>,</w:t>
      </w:r>
      <w:r w:rsidR="00396A86" w:rsidRPr="00160FD3">
        <w:rPr>
          <w:rFonts w:asciiTheme="majorBidi" w:hAnsiTheme="majorBidi" w:cstheme="majorBidi"/>
          <w:b/>
          <w:bCs/>
        </w:rPr>
        <w:t xml:space="preserve"> to about </w:t>
      </w:r>
      <w:r w:rsidR="00D223DE">
        <w:rPr>
          <w:rFonts w:asciiTheme="majorBidi" w:hAnsiTheme="majorBidi" w:cstheme="majorBidi"/>
          <w:b/>
          <w:bCs/>
        </w:rPr>
        <w:t>4</w:t>
      </w:r>
      <w:r w:rsidR="00D05DEF">
        <w:rPr>
          <w:rFonts w:asciiTheme="majorBidi" w:hAnsiTheme="majorBidi" w:cstheme="majorBidi"/>
          <w:b/>
          <w:bCs/>
        </w:rPr>
        <w:t>1.9</w:t>
      </w:r>
      <w:r w:rsidR="00664042" w:rsidRPr="00160FD3">
        <w:rPr>
          <w:rFonts w:asciiTheme="majorBidi" w:hAnsiTheme="majorBidi" w:cstheme="majorBidi"/>
          <w:b/>
          <w:bCs/>
        </w:rPr>
        <w:t xml:space="preserve"> </w:t>
      </w:r>
      <w:r w:rsidR="00396A86" w:rsidRPr="00160FD3">
        <w:rPr>
          <w:rFonts w:asciiTheme="majorBidi" w:hAnsiTheme="majorBidi" w:cstheme="majorBidi"/>
          <w:b/>
          <w:bCs/>
        </w:rPr>
        <w:t>percent</w:t>
      </w:r>
      <w:r w:rsidR="00C72CDB" w:rsidRPr="00160FD3">
        <w:rPr>
          <w:rFonts w:asciiTheme="majorBidi" w:hAnsiTheme="majorBidi" w:cstheme="majorBidi"/>
          <w:b/>
          <w:bCs/>
        </w:rPr>
        <w:t>.</w:t>
      </w:r>
      <w:r w:rsidR="00365255" w:rsidRPr="00160FD3">
        <w:rPr>
          <w:rFonts w:asciiTheme="majorBidi" w:hAnsiTheme="majorBidi" w:cstheme="majorBidi"/>
          <w:b/>
          <w:bCs/>
        </w:rPr>
        <w:t xml:space="preserve"> </w:t>
      </w:r>
    </w:p>
    <w:p w14:paraId="5908F506" w14:textId="7BD56889" w:rsidR="00D52D0D" w:rsidRPr="00B228AF" w:rsidRDefault="00365255" w:rsidP="00D05DEF">
      <w:pPr>
        <w:numPr>
          <w:ilvl w:val="0"/>
          <w:numId w:val="17"/>
        </w:numPr>
        <w:tabs>
          <w:tab w:val="clear" w:pos="720"/>
          <w:tab w:val="num" w:pos="360"/>
        </w:tabs>
        <w:bidi w:val="0"/>
        <w:spacing w:line="300" w:lineRule="exact"/>
        <w:ind w:left="360"/>
        <w:jc w:val="both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t xml:space="preserve">The value of the portfolio managed by mutual funds </w:t>
      </w:r>
      <w:r w:rsidR="006B2627" w:rsidRPr="00B228AF">
        <w:rPr>
          <w:rFonts w:asciiTheme="majorBidi" w:hAnsiTheme="majorBidi" w:cstheme="majorBidi"/>
          <w:b/>
          <w:bCs/>
        </w:rPr>
        <w:t xml:space="preserve">in Israel </w:t>
      </w:r>
      <w:r w:rsidR="005E4CF0">
        <w:rPr>
          <w:rFonts w:asciiTheme="majorBidi" w:hAnsiTheme="majorBidi" w:cstheme="majorBidi"/>
          <w:b/>
          <w:bCs/>
        </w:rPr>
        <w:t>increased</w:t>
      </w:r>
      <w:r w:rsidR="00073A52" w:rsidRPr="00B228AF">
        <w:rPr>
          <w:rFonts w:asciiTheme="majorBidi" w:hAnsiTheme="majorBidi" w:cstheme="majorBidi"/>
          <w:b/>
          <w:bCs/>
        </w:rPr>
        <w:t xml:space="preserve"> by about NIS </w:t>
      </w:r>
      <w:r w:rsidR="00D05DEF">
        <w:rPr>
          <w:rFonts w:asciiTheme="majorBidi" w:hAnsiTheme="majorBidi" w:cstheme="majorBidi"/>
          <w:b/>
          <w:bCs/>
        </w:rPr>
        <w:t>31</w:t>
      </w:r>
      <w:r w:rsidR="0030109B">
        <w:rPr>
          <w:rFonts w:asciiTheme="majorBidi" w:hAnsiTheme="majorBidi" w:cstheme="majorBidi"/>
          <w:b/>
          <w:bCs/>
        </w:rPr>
        <w:t xml:space="preserve"> </w:t>
      </w:r>
      <w:r w:rsidRPr="00B228AF">
        <w:rPr>
          <w:rFonts w:asciiTheme="majorBidi" w:hAnsiTheme="majorBidi" w:cstheme="majorBidi"/>
          <w:b/>
          <w:bCs/>
        </w:rPr>
        <w:t>billion</w:t>
      </w:r>
      <w:r w:rsidR="00A33B68" w:rsidRPr="00B228AF">
        <w:rPr>
          <w:rFonts w:asciiTheme="majorBidi" w:hAnsiTheme="majorBidi" w:cstheme="majorBidi"/>
          <w:b/>
          <w:bCs/>
        </w:rPr>
        <w:t xml:space="preserve"> (</w:t>
      </w:r>
      <w:r w:rsidR="00D05DEF">
        <w:rPr>
          <w:rFonts w:asciiTheme="majorBidi" w:hAnsiTheme="majorBidi" w:cstheme="majorBidi"/>
          <w:b/>
          <w:bCs/>
        </w:rPr>
        <w:t>8.4</w:t>
      </w:r>
      <w:r w:rsidR="005E4CF0">
        <w:rPr>
          <w:rFonts w:asciiTheme="majorBidi" w:hAnsiTheme="majorBidi" w:cstheme="majorBidi"/>
          <w:b/>
          <w:bCs/>
        </w:rPr>
        <w:t xml:space="preserve"> </w:t>
      </w:r>
      <w:r w:rsidR="00A33B68" w:rsidRPr="00B228AF">
        <w:rPr>
          <w:rFonts w:asciiTheme="majorBidi" w:hAnsiTheme="majorBidi" w:cstheme="majorBidi"/>
          <w:b/>
          <w:bCs/>
        </w:rPr>
        <w:t>percent)</w:t>
      </w:r>
      <w:r w:rsidRPr="00B228AF">
        <w:rPr>
          <w:rFonts w:asciiTheme="majorBidi" w:hAnsiTheme="majorBidi" w:cstheme="majorBidi"/>
          <w:b/>
          <w:bCs/>
        </w:rPr>
        <w:t xml:space="preserve"> in the </w:t>
      </w:r>
      <w:r w:rsidR="00D05DEF">
        <w:rPr>
          <w:rFonts w:asciiTheme="majorBidi" w:hAnsiTheme="majorBidi" w:cstheme="majorBidi"/>
          <w:b/>
          <w:bCs/>
        </w:rPr>
        <w:t>second</w:t>
      </w:r>
      <w:r w:rsidR="00132090">
        <w:rPr>
          <w:rFonts w:asciiTheme="majorBidi" w:hAnsiTheme="majorBidi" w:cstheme="majorBidi"/>
          <w:b/>
          <w:bCs/>
        </w:rPr>
        <w:t xml:space="preserve"> </w:t>
      </w:r>
      <w:r w:rsidR="006919D1" w:rsidRPr="00B228AF">
        <w:rPr>
          <w:rFonts w:asciiTheme="majorBidi" w:hAnsiTheme="majorBidi" w:cstheme="majorBidi"/>
          <w:b/>
          <w:bCs/>
        </w:rPr>
        <w:t>quarter</w:t>
      </w:r>
      <w:r w:rsidR="00CB598D" w:rsidRPr="00B228AF">
        <w:rPr>
          <w:rFonts w:asciiTheme="majorBidi" w:hAnsiTheme="majorBidi" w:cstheme="majorBidi"/>
          <w:b/>
          <w:bCs/>
        </w:rPr>
        <w:t xml:space="preserve">, </w:t>
      </w:r>
      <w:r w:rsidR="0099474B" w:rsidRPr="00B228AF">
        <w:rPr>
          <w:rFonts w:asciiTheme="majorBidi" w:hAnsiTheme="majorBidi" w:cstheme="majorBidi"/>
          <w:b/>
          <w:bCs/>
        </w:rPr>
        <w:t>to</w:t>
      </w:r>
      <w:r w:rsidR="00CB598D" w:rsidRPr="00B228AF">
        <w:rPr>
          <w:rFonts w:asciiTheme="majorBidi" w:hAnsiTheme="majorBidi" w:cstheme="majorBidi"/>
          <w:b/>
          <w:bCs/>
        </w:rPr>
        <w:t xml:space="preserve"> about NIS </w:t>
      </w:r>
      <w:r w:rsidR="00D05DEF">
        <w:rPr>
          <w:rFonts w:asciiTheme="majorBidi" w:hAnsiTheme="majorBidi" w:cstheme="majorBidi"/>
          <w:b/>
          <w:bCs/>
        </w:rPr>
        <w:t>403</w:t>
      </w:r>
      <w:r w:rsidR="005E057B" w:rsidRPr="00B228AF">
        <w:rPr>
          <w:rFonts w:asciiTheme="majorBidi" w:hAnsiTheme="majorBidi" w:cstheme="majorBidi"/>
          <w:b/>
          <w:bCs/>
        </w:rPr>
        <w:t xml:space="preserve"> </w:t>
      </w:r>
      <w:r w:rsidR="00CB598D" w:rsidRPr="00B228AF">
        <w:rPr>
          <w:rFonts w:asciiTheme="majorBidi" w:hAnsiTheme="majorBidi" w:cstheme="majorBidi"/>
          <w:b/>
          <w:bCs/>
        </w:rPr>
        <w:t>billion</w:t>
      </w:r>
      <w:r w:rsidR="00AA2086" w:rsidRPr="00B228AF">
        <w:rPr>
          <w:rFonts w:asciiTheme="majorBidi" w:hAnsiTheme="majorBidi" w:cstheme="majorBidi"/>
          <w:b/>
          <w:bCs/>
        </w:rPr>
        <w:t>.</w:t>
      </w:r>
      <w:r w:rsidR="00B228AF">
        <w:rPr>
          <w:rFonts w:asciiTheme="majorBidi" w:hAnsiTheme="majorBidi" w:cstheme="majorBidi"/>
          <w:b/>
          <w:bCs/>
        </w:rPr>
        <w:t xml:space="preserve"> There were </w:t>
      </w:r>
      <w:r w:rsidR="00A6739D">
        <w:rPr>
          <w:rFonts w:asciiTheme="majorBidi" w:hAnsiTheme="majorBidi" w:cstheme="majorBidi"/>
          <w:b/>
          <w:bCs/>
        </w:rPr>
        <w:t>net new investment</w:t>
      </w:r>
      <w:r w:rsidR="0030109B">
        <w:rPr>
          <w:rFonts w:asciiTheme="majorBidi" w:hAnsiTheme="majorBidi" w:cstheme="majorBidi"/>
          <w:b/>
          <w:bCs/>
        </w:rPr>
        <w:t>s</w:t>
      </w:r>
      <w:r w:rsidR="00A6739D">
        <w:rPr>
          <w:rFonts w:asciiTheme="majorBidi" w:hAnsiTheme="majorBidi" w:cstheme="majorBidi"/>
          <w:b/>
          <w:bCs/>
        </w:rPr>
        <w:t xml:space="preserve"> </w:t>
      </w:r>
      <w:r w:rsidR="00B228AF">
        <w:rPr>
          <w:rFonts w:asciiTheme="majorBidi" w:hAnsiTheme="majorBidi" w:cstheme="majorBidi"/>
          <w:b/>
          <w:bCs/>
        </w:rPr>
        <w:t xml:space="preserve">mainly </w:t>
      </w:r>
      <w:r w:rsidR="00A6739D" w:rsidRPr="00160FD3">
        <w:rPr>
          <w:rFonts w:asciiTheme="majorBidi" w:hAnsiTheme="majorBidi" w:cstheme="majorBidi"/>
          <w:b/>
          <w:bCs/>
        </w:rPr>
        <w:t>in shekel money</w:t>
      </w:r>
      <w:r w:rsidR="00A6739D">
        <w:rPr>
          <w:rFonts w:asciiTheme="majorBidi" w:hAnsiTheme="majorBidi" w:cstheme="majorBidi"/>
          <w:b/>
          <w:bCs/>
        </w:rPr>
        <w:t xml:space="preserve"> market </w:t>
      </w:r>
      <w:r w:rsidR="00B228AF">
        <w:rPr>
          <w:rFonts w:asciiTheme="majorBidi" w:hAnsiTheme="majorBidi" w:cstheme="majorBidi"/>
          <w:b/>
          <w:bCs/>
        </w:rPr>
        <w:t>funds</w:t>
      </w:r>
      <w:r w:rsidR="00A6739D">
        <w:rPr>
          <w:rFonts w:asciiTheme="majorBidi" w:hAnsiTheme="majorBidi" w:cstheme="majorBidi"/>
          <w:b/>
          <w:bCs/>
        </w:rPr>
        <w:t>.</w:t>
      </w:r>
    </w:p>
    <w:p w14:paraId="5DFE35C9" w14:textId="77777777" w:rsidR="00AA2086" w:rsidRPr="00B228AF" w:rsidRDefault="00AA2086" w:rsidP="00AA2086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47ACBF5F" w14:textId="133F31A5" w:rsidR="00E9221B" w:rsidRPr="00B228AF" w:rsidRDefault="00E9221B" w:rsidP="00B228AF">
      <w:pPr>
        <w:pStyle w:val="1"/>
        <w:jc w:val="left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 xml:space="preserve">1. The </w:t>
      </w:r>
      <w:r w:rsidR="00B228AF">
        <w:rPr>
          <w:rFonts w:asciiTheme="majorBidi" w:hAnsiTheme="majorBidi" w:cstheme="majorBidi"/>
        </w:rPr>
        <w:t xml:space="preserve">public’s </w:t>
      </w:r>
      <w:r w:rsidRPr="00B228AF">
        <w:rPr>
          <w:rFonts w:asciiTheme="majorBidi" w:hAnsiTheme="majorBidi" w:cstheme="majorBidi"/>
        </w:rPr>
        <w:t>total assets portfolio</w:t>
      </w:r>
    </w:p>
    <w:p w14:paraId="110E3736" w14:textId="77777777" w:rsidR="00D223DE" w:rsidRDefault="00D223DE" w:rsidP="00E93313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4A009446" w14:textId="7EC7E04E" w:rsidR="00A10C5F" w:rsidRDefault="003A5B8D" w:rsidP="00F571D9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  <w:b/>
          <w:bCs/>
        </w:rPr>
        <w:t xml:space="preserve">In the </w:t>
      </w:r>
      <w:r w:rsidR="00E2788C">
        <w:rPr>
          <w:rFonts w:asciiTheme="majorBidi" w:hAnsiTheme="majorBidi" w:cstheme="majorBidi"/>
          <w:b/>
          <w:bCs/>
        </w:rPr>
        <w:t>second</w:t>
      </w:r>
      <w:r w:rsidR="006919D1" w:rsidRPr="00B228AF">
        <w:rPr>
          <w:rFonts w:asciiTheme="majorBidi" w:hAnsiTheme="majorBidi" w:cstheme="majorBidi"/>
          <w:b/>
          <w:bCs/>
        </w:rPr>
        <w:t xml:space="preserve"> quarter</w:t>
      </w:r>
      <w:r w:rsidRPr="00B228AF">
        <w:rPr>
          <w:rFonts w:asciiTheme="majorBidi" w:hAnsiTheme="majorBidi" w:cstheme="majorBidi"/>
          <w:b/>
          <w:bCs/>
        </w:rPr>
        <w:t xml:space="preserve"> of </w:t>
      </w:r>
      <w:r w:rsidR="00D223DE">
        <w:rPr>
          <w:rFonts w:asciiTheme="majorBidi" w:hAnsiTheme="majorBidi" w:cstheme="majorBidi"/>
          <w:b/>
          <w:bCs/>
        </w:rPr>
        <w:t>2023</w:t>
      </w:r>
      <w:r w:rsidRPr="00B228AF">
        <w:rPr>
          <w:rFonts w:asciiTheme="majorBidi" w:hAnsiTheme="majorBidi" w:cstheme="majorBidi"/>
          <w:b/>
          <w:bCs/>
        </w:rPr>
        <w:t xml:space="preserve">, </w:t>
      </w:r>
      <w:r w:rsidR="005A43E3" w:rsidRPr="00B228AF">
        <w:rPr>
          <w:rFonts w:asciiTheme="majorBidi" w:hAnsiTheme="majorBidi" w:cstheme="majorBidi"/>
        </w:rPr>
        <w:t xml:space="preserve">the balance of the public’s financial assets portfolio </w:t>
      </w:r>
      <w:r w:rsidR="00E2788C">
        <w:rPr>
          <w:rFonts w:asciiTheme="majorBidi" w:hAnsiTheme="majorBidi" w:cstheme="majorBidi"/>
        </w:rPr>
        <w:t>increas</w:t>
      </w:r>
      <w:r w:rsidR="00D223DE">
        <w:rPr>
          <w:rFonts w:asciiTheme="majorBidi" w:hAnsiTheme="majorBidi" w:cstheme="majorBidi"/>
        </w:rPr>
        <w:t>ed</w:t>
      </w:r>
      <w:r w:rsidR="001D680D">
        <w:rPr>
          <w:rFonts w:asciiTheme="majorBidi" w:hAnsiTheme="majorBidi" w:cstheme="majorBidi"/>
        </w:rPr>
        <w:t xml:space="preserve"> </w:t>
      </w:r>
      <w:r w:rsidR="005A43E3" w:rsidRPr="00B228AF">
        <w:rPr>
          <w:rFonts w:asciiTheme="majorBidi" w:hAnsiTheme="majorBidi" w:cstheme="majorBidi"/>
        </w:rPr>
        <w:t xml:space="preserve">by </w:t>
      </w:r>
      <w:r w:rsidR="00E93313">
        <w:rPr>
          <w:rFonts w:asciiTheme="majorBidi" w:hAnsiTheme="majorBidi" w:cstheme="majorBidi"/>
        </w:rPr>
        <w:t>approximately</w:t>
      </w:r>
      <w:r w:rsidR="005A43E3" w:rsidRPr="00B228AF">
        <w:rPr>
          <w:rFonts w:asciiTheme="majorBidi" w:hAnsiTheme="majorBidi" w:cstheme="majorBidi"/>
        </w:rPr>
        <w:t xml:space="preserve"> NIS </w:t>
      </w:r>
      <w:r w:rsidR="00D223DE">
        <w:rPr>
          <w:rFonts w:asciiTheme="majorBidi" w:hAnsiTheme="majorBidi" w:cstheme="majorBidi"/>
        </w:rPr>
        <w:t>1</w:t>
      </w:r>
      <w:r w:rsidR="00E2788C">
        <w:rPr>
          <w:rFonts w:asciiTheme="majorBidi" w:hAnsiTheme="majorBidi" w:cstheme="majorBidi"/>
        </w:rPr>
        <w:t>17</w:t>
      </w:r>
      <w:r w:rsidR="001D680D">
        <w:rPr>
          <w:rFonts w:asciiTheme="majorBidi" w:hAnsiTheme="majorBidi" w:cstheme="majorBidi"/>
        </w:rPr>
        <w:t xml:space="preserve"> </w:t>
      </w:r>
      <w:r w:rsidR="005A43E3" w:rsidRPr="00B228AF">
        <w:rPr>
          <w:rFonts w:asciiTheme="majorBidi" w:hAnsiTheme="majorBidi" w:cstheme="majorBidi"/>
        </w:rPr>
        <w:t xml:space="preserve">billion </w:t>
      </w:r>
      <w:r w:rsidR="00633277" w:rsidRPr="00B228AF">
        <w:rPr>
          <w:rFonts w:asciiTheme="majorBidi" w:hAnsiTheme="majorBidi" w:cstheme="majorBidi"/>
        </w:rPr>
        <w:t>(</w:t>
      </w:r>
      <w:r w:rsidR="00E2788C">
        <w:rPr>
          <w:rFonts w:asciiTheme="majorBidi" w:hAnsiTheme="majorBidi" w:cstheme="majorBidi"/>
        </w:rPr>
        <w:t>2.</w:t>
      </w:r>
      <w:r w:rsidR="00F571D9">
        <w:rPr>
          <w:rFonts w:asciiTheme="majorBidi" w:hAnsiTheme="majorBidi" w:cstheme="majorBidi"/>
        </w:rPr>
        <w:t>7</w:t>
      </w:r>
      <w:r w:rsidR="001D680D">
        <w:rPr>
          <w:rFonts w:asciiTheme="majorBidi" w:hAnsiTheme="majorBidi" w:cstheme="majorBidi"/>
        </w:rPr>
        <w:t xml:space="preserve"> </w:t>
      </w:r>
      <w:r w:rsidR="00633277" w:rsidRPr="00B228AF">
        <w:rPr>
          <w:rFonts w:asciiTheme="majorBidi" w:hAnsiTheme="majorBidi" w:cstheme="majorBidi"/>
        </w:rPr>
        <w:t>percent)</w:t>
      </w:r>
      <w:r w:rsidR="00D223DE">
        <w:rPr>
          <w:rFonts w:asciiTheme="majorBidi" w:hAnsiTheme="majorBidi" w:cstheme="majorBidi"/>
        </w:rPr>
        <w:t>, to</w:t>
      </w:r>
      <w:r w:rsidR="009F3C28">
        <w:rPr>
          <w:rFonts w:asciiTheme="majorBidi" w:hAnsiTheme="majorBidi" w:cstheme="majorBidi"/>
        </w:rPr>
        <w:t xml:space="preserve"> </w:t>
      </w:r>
      <w:r w:rsidR="005A43E3" w:rsidRPr="00B228AF">
        <w:rPr>
          <w:rFonts w:asciiTheme="majorBidi" w:hAnsiTheme="majorBidi" w:cstheme="majorBidi"/>
        </w:rPr>
        <w:t xml:space="preserve">about NIS </w:t>
      </w:r>
      <w:r w:rsidR="00F571D9">
        <w:rPr>
          <w:rFonts w:asciiTheme="majorBidi" w:hAnsiTheme="majorBidi" w:cstheme="majorBidi"/>
        </w:rPr>
        <w:t>5</w:t>
      </w:r>
      <w:r w:rsidR="007905B5" w:rsidRPr="00514DD8">
        <w:rPr>
          <w:rFonts w:asciiTheme="majorBidi" w:hAnsiTheme="majorBidi" w:cstheme="majorBidi"/>
        </w:rPr>
        <w:t xml:space="preserve"> </w:t>
      </w:r>
      <w:r w:rsidR="005A43E3" w:rsidRPr="00514DD8">
        <w:rPr>
          <w:rFonts w:asciiTheme="majorBidi" w:hAnsiTheme="majorBidi" w:cstheme="majorBidi"/>
        </w:rPr>
        <w:t>trillion</w:t>
      </w:r>
      <w:r w:rsidR="00633277" w:rsidRPr="00514DD8">
        <w:rPr>
          <w:rFonts w:asciiTheme="majorBidi" w:hAnsiTheme="majorBidi" w:cstheme="majorBidi"/>
        </w:rPr>
        <w:t xml:space="preserve"> (</w:t>
      </w:r>
      <w:r w:rsidR="005A43E3" w:rsidRPr="00B228AF">
        <w:rPr>
          <w:rFonts w:asciiTheme="majorBidi" w:hAnsiTheme="majorBidi" w:cstheme="majorBidi"/>
        </w:rPr>
        <w:t>Figure 1).</w:t>
      </w:r>
      <w:r w:rsidRPr="00B228AF">
        <w:rPr>
          <w:rFonts w:asciiTheme="majorBidi" w:hAnsiTheme="majorBidi" w:cstheme="majorBidi"/>
        </w:rPr>
        <w:t xml:space="preserve"> </w:t>
      </w:r>
      <w:r w:rsidR="00633277" w:rsidRPr="00B228AF">
        <w:rPr>
          <w:rFonts w:asciiTheme="majorBidi" w:hAnsiTheme="majorBidi" w:cstheme="majorBidi"/>
        </w:rPr>
        <w:t>The</w:t>
      </w:r>
      <w:r w:rsidR="00A63123" w:rsidRPr="00B228AF">
        <w:rPr>
          <w:rFonts w:asciiTheme="majorBidi" w:hAnsiTheme="majorBidi" w:cstheme="majorBidi"/>
        </w:rPr>
        <w:t xml:space="preserve"> </w:t>
      </w:r>
      <w:r w:rsidR="00D223DE">
        <w:rPr>
          <w:rFonts w:asciiTheme="majorBidi" w:hAnsiTheme="majorBidi" w:cstheme="majorBidi"/>
        </w:rPr>
        <w:t>weight</w:t>
      </w:r>
      <w:r w:rsidR="006D0E11">
        <w:rPr>
          <w:rFonts w:asciiTheme="majorBidi" w:hAnsiTheme="majorBidi" w:cstheme="majorBidi"/>
        </w:rPr>
        <w:t xml:space="preserve"> </w:t>
      </w:r>
      <w:r w:rsidRPr="00B228AF">
        <w:rPr>
          <w:rFonts w:asciiTheme="majorBidi" w:hAnsiTheme="majorBidi" w:cstheme="majorBidi"/>
        </w:rPr>
        <w:t xml:space="preserve">of the </w:t>
      </w:r>
      <w:r w:rsidR="00A4321B" w:rsidRPr="00B228AF">
        <w:rPr>
          <w:rFonts w:asciiTheme="majorBidi" w:hAnsiTheme="majorBidi" w:cstheme="majorBidi"/>
        </w:rPr>
        <w:t xml:space="preserve">public’s financial assets portfolio </w:t>
      </w:r>
      <w:r w:rsidR="002F3824" w:rsidRPr="00B228AF">
        <w:rPr>
          <w:rFonts w:asciiTheme="majorBidi" w:hAnsiTheme="majorBidi" w:cstheme="majorBidi"/>
        </w:rPr>
        <w:t xml:space="preserve">relative to </w:t>
      </w:r>
      <w:r w:rsidR="00A4321B" w:rsidRPr="00B228AF">
        <w:rPr>
          <w:rFonts w:asciiTheme="majorBidi" w:hAnsiTheme="majorBidi" w:cstheme="majorBidi"/>
        </w:rPr>
        <w:t>GDP</w:t>
      </w:r>
      <w:r w:rsidR="00633277" w:rsidRPr="00B228AF">
        <w:rPr>
          <w:rFonts w:asciiTheme="majorBidi" w:hAnsiTheme="majorBidi" w:cstheme="majorBidi"/>
        </w:rPr>
        <w:t xml:space="preserve"> </w:t>
      </w:r>
      <w:r w:rsidR="00E2788C">
        <w:rPr>
          <w:rFonts w:asciiTheme="majorBidi" w:hAnsiTheme="majorBidi" w:cstheme="majorBidi"/>
        </w:rPr>
        <w:t>increas</w:t>
      </w:r>
      <w:r w:rsidR="007905B5" w:rsidRPr="00B228AF">
        <w:rPr>
          <w:rFonts w:asciiTheme="majorBidi" w:hAnsiTheme="majorBidi" w:cstheme="majorBidi"/>
        </w:rPr>
        <w:t xml:space="preserve">ed </w:t>
      </w:r>
      <w:r w:rsidR="00633277" w:rsidRPr="00B228AF">
        <w:rPr>
          <w:rFonts w:asciiTheme="majorBidi" w:hAnsiTheme="majorBidi" w:cstheme="majorBidi"/>
        </w:rPr>
        <w:t xml:space="preserve">by about </w:t>
      </w:r>
      <w:r w:rsidR="00F571D9">
        <w:rPr>
          <w:rFonts w:asciiTheme="majorBidi" w:hAnsiTheme="majorBidi" w:cstheme="majorBidi"/>
        </w:rPr>
        <w:t>2.8</w:t>
      </w:r>
      <w:r w:rsidR="009F3C28">
        <w:rPr>
          <w:rFonts w:asciiTheme="majorBidi" w:hAnsiTheme="majorBidi" w:cstheme="majorBidi"/>
        </w:rPr>
        <w:t xml:space="preserve"> p</w:t>
      </w:r>
      <w:r w:rsidR="00633277" w:rsidRPr="00B228AF">
        <w:rPr>
          <w:rFonts w:asciiTheme="majorBidi" w:hAnsiTheme="majorBidi" w:cstheme="majorBidi"/>
        </w:rPr>
        <w:t>ercentage points, to</w:t>
      </w:r>
      <w:r w:rsidR="00A63123" w:rsidRPr="00B228AF">
        <w:rPr>
          <w:rFonts w:asciiTheme="majorBidi" w:hAnsiTheme="majorBidi" w:cstheme="majorBidi"/>
        </w:rPr>
        <w:t xml:space="preserve"> </w:t>
      </w:r>
      <w:r w:rsidR="00683395" w:rsidRPr="00B228AF">
        <w:rPr>
          <w:rFonts w:asciiTheme="majorBidi" w:hAnsiTheme="majorBidi" w:cstheme="majorBidi"/>
        </w:rPr>
        <w:t xml:space="preserve">about </w:t>
      </w:r>
      <w:r w:rsidR="009F3C28">
        <w:rPr>
          <w:rFonts w:asciiTheme="majorBidi" w:hAnsiTheme="majorBidi" w:cstheme="majorBidi"/>
        </w:rPr>
        <w:t>27</w:t>
      </w:r>
      <w:r w:rsidR="00F571D9">
        <w:rPr>
          <w:rFonts w:asciiTheme="majorBidi" w:hAnsiTheme="majorBidi" w:cstheme="majorBidi"/>
        </w:rPr>
        <w:t>3</w:t>
      </w:r>
      <w:r w:rsidR="009F3C28">
        <w:rPr>
          <w:rFonts w:asciiTheme="majorBidi" w:hAnsiTheme="majorBidi" w:cstheme="majorBidi"/>
        </w:rPr>
        <w:t xml:space="preserve"> </w:t>
      </w:r>
      <w:r w:rsidR="00683395" w:rsidRPr="00B228AF">
        <w:rPr>
          <w:rFonts w:asciiTheme="majorBidi" w:hAnsiTheme="majorBidi" w:cstheme="majorBidi"/>
        </w:rPr>
        <w:t>percent</w:t>
      </w:r>
      <w:r w:rsidR="00155A7B" w:rsidRPr="00B228AF">
        <w:rPr>
          <w:rFonts w:asciiTheme="majorBidi" w:hAnsiTheme="majorBidi" w:cstheme="majorBidi"/>
        </w:rPr>
        <w:t xml:space="preserve"> </w:t>
      </w:r>
      <w:r w:rsidR="001E0BB4" w:rsidRPr="00B228AF">
        <w:rPr>
          <w:rFonts w:asciiTheme="majorBidi" w:hAnsiTheme="majorBidi" w:cstheme="majorBidi"/>
        </w:rPr>
        <w:t>at the end of the quarter</w:t>
      </w:r>
      <w:r w:rsidR="00633277" w:rsidRPr="00B228AF">
        <w:rPr>
          <w:rFonts w:asciiTheme="majorBidi" w:hAnsiTheme="majorBidi" w:cstheme="majorBidi"/>
        </w:rPr>
        <w:t>,</w:t>
      </w:r>
      <w:r w:rsidR="00E2788C">
        <w:rPr>
          <w:rFonts w:asciiTheme="majorBidi" w:hAnsiTheme="majorBidi" w:cstheme="majorBidi"/>
        </w:rPr>
        <w:t xml:space="preserve"> after declining since the beginning of 2022.  This w</w:t>
      </w:r>
      <w:r w:rsidR="00633277" w:rsidRPr="00B228AF">
        <w:rPr>
          <w:rFonts w:asciiTheme="majorBidi" w:hAnsiTheme="majorBidi" w:cstheme="majorBidi"/>
        </w:rPr>
        <w:t xml:space="preserve">as a result of </w:t>
      </w:r>
      <w:r w:rsidR="009F3C28">
        <w:rPr>
          <w:rFonts w:asciiTheme="majorBidi" w:hAnsiTheme="majorBidi" w:cstheme="majorBidi"/>
        </w:rPr>
        <w:t>a</w:t>
      </w:r>
      <w:r w:rsidR="00E2788C">
        <w:rPr>
          <w:rFonts w:asciiTheme="majorBidi" w:hAnsiTheme="majorBidi" w:cstheme="majorBidi"/>
        </w:rPr>
        <w:t>n increase in the asset portfolio that was greater than the</w:t>
      </w:r>
      <w:r w:rsidR="009F3C28">
        <w:rPr>
          <w:rFonts w:asciiTheme="majorBidi" w:hAnsiTheme="majorBidi" w:cstheme="majorBidi"/>
        </w:rPr>
        <w:t xml:space="preserve"> </w:t>
      </w:r>
      <w:r w:rsidR="00B228AF">
        <w:rPr>
          <w:rFonts w:asciiTheme="majorBidi" w:hAnsiTheme="majorBidi" w:cstheme="majorBidi"/>
        </w:rPr>
        <w:t>increase in GDP</w:t>
      </w:r>
      <w:r w:rsidR="009F3C28">
        <w:rPr>
          <w:rFonts w:asciiTheme="majorBidi" w:hAnsiTheme="majorBidi" w:cstheme="majorBidi"/>
        </w:rPr>
        <w:t>.</w:t>
      </w:r>
    </w:p>
    <w:p w14:paraId="4B0680BC" w14:textId="77777777" w:rsidR="007C61E1" w:rsidRDefault="007C61E1" w:rsidP="00A10C5F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175F35A" w14:textId="77777777" w:rsidR="007C61E1" w:rsidRDefault="007C61E1" w:rsidP="007C61E1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C908C72" w14:textId="77777777" w:rsidR="007C61E1" w:rsidRDefault="007C61E1" w:rsidP="007C61E1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05C8D16D" w14:textId="77777777" w:rsidR="007C61E1" w:rsidRDefault="007C61E1" w:rsidP="007C61E1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6AA29C3" w14:textId="77777777" w:rsidR="007C61E1" w:rsidRDefault="007C61E1" w:rsidP="007C61E1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F1A9718" w14:textId="77777777" w:rsidR="007C61E1" w:rsidRDefault="007C61E1" w:rsidP="007C61E1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FDF0592" w14:textId="77777777" w:rsidR="007C61E1" w:rsidRDefault="007C61E1" w:rsidP="007C61E1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5CA276F" w14:textId="77777777" w:rsidR="007C61E1" w:rsidRDefault="007C61E1" w:rsidP="007C61E1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B08B949" w14:textId="77777777" w:rsidR="007C61E1" w:rsidRDefault="007C61E1" w:rsidP="007C61E1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FBCF426" w14:textId="77777777" w:rsidR="007C61E1" w:rsidRDefault="007C61E1" w:rsidP="007C61E1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7795483" w14:textId="4F446F26" w:rsidR="007C61E1" w:rsidRDefault="007C61E1" w:rsidP="007C61E1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81792" behindDoc="0" locked="0" layoutInCell="1" allowOverlap="1" wp14:anchorId="5531997B" wp14:editId="447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5630400" cy="2306417"/>
            <wp:effectExtent l="0" t="0" r="889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0400" cy="23064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BC96F9" w14:textId="063AD941" w:rsidR="00A10C5F" w:rsidRPr="00B228AF" w:rsidRDefault="00A10C5F" w:rsidP="007C61E1">
      <w:pPr>
        <w:tabs>
          <w:tab w:val="left" w:pos="1134"/>
        </w:tabs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8566E56" w14:textId="246ED611" w:rsidR="00E9221B" w:rsidRPr="00B228AF" w:rsidRDefault="002B4397" w:rsidP="007E422E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t xml:space="preserve">2. </w:t>
      </w:r>
      <w:r w:rsidR="009733F7" w:rsidRPr="00B228AF">
        <w:rPr>
          <w:rFonts w:asciiTheme="majorBidi" w:hAnsiTheme="majorBidi" w:cstheme="majorBidi"/>
          <w:b/>
          <w:bCs/>
        </w:rPr>
        <w:t>Analysis of the changes in the overall portfolio</w:t>
      </w:r>
    </w:p>
    <w:p w14:paraId="0BB641F9" w14:textId="4C364E09" w:rsidR="00D223DE" w:rsidRDefault="00D223DE" w:rsidP="00BD7F6B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E22878F" w14:textId="0D1847A2" w:rsidR="00455E2B" w:rsidRPr="00B228AF" w:rsidRDefault="00557500" w:rsidP="00F571D9">
      <w:p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 xml:space="preserve">Over the course of the </w:t>
      </w:r>
      <w:r w:rsidR="00E2788C">
        <w:rPr>
          <w:rFonts w:asciiTheme="majorBidi" w:hAnsiTheme="majorBidi" w:cstheme="majorBidi"/>
        </w:rPr>
        <w:t>second</w:t>
      </w:r>
      <w:r w:rsidR="006919D1" w:rsidRPr="00B228AF">
        <w:rPr>
          <w:rFonts w:asciiTheme="majorBidi" w:hAnsiTheme="majorBidi" w:cstheme="majorBidi"/>
        </w:rPr>
        <w:t xml:space="preserve"> quarter</w:t>
      </w:r>
      <w:r w:rsidRPr="00B228AF">
        <w:rPr>
          <w:rFonts w:asciiTheme="majorBidi" w:hAnsiTheme="majorBidi" w:cstheme="majorBidi"/>
        </w:rPr>
        <w:t xml:space="preserve">, </w:t>
      </w:r>
      <w:r w:rsidR="00EA12FD">
        <w:rPr>
          <w:rFonts w:asciiTheme="majorBidi" w:hAnsiTheme="majorBidi" w:cstheme="majorBidi"/>
        </w:rPr>
        <w:t>the</w:t>
      </w:r>
      <w:r w:rsidR="00E2788C">
        <w:rPr>
          <w:rFonts w:asciiTheme="majorBidi" w:hAnsiTheme="majorBidi" w:cstheme="majorBidi"/>
        </w:rPr>
        <w:t>re were increases in the balances of the public’s holdings in all components</w:t>
      </w:r>
      <w:r w:rsidR="00D223DE">
        <w:rPr>
          <w:rFonts w:asciiTheme="majorBidi" w:hAnsiTheme="majorBidi" w:cstheme="majorBidi"/>
        </w:rPr>
        <w:t xml:space="preserve"> of the portfolio</w:t>
      </w:r>
      <w:r w:rsidR="00E2788C">
        <w:rPr>
          <w:rFonts w:asciiTheme="majorBidi" w:hAnsiTheme="majorBidi" w:cstheme="majorBidi"/>
        </w:rPr>
        <w:t>.</w:t>
      </w:r>
      <w:r w:rsidR="00D223DE">
        <w:rPr>
          <w:rFonts w:asciiTheme="majorBidi" w:hAnsiTheme="majorBidi" w:cstheme="majorBidi"/>
        </w:rPr>
        <w:t xml:space="preserve">  The</w:t>
      </w:r>
      <w:r w:rsidR="00E2788C">
        <w:rPr>
          <w:rFonts w:asciiTheme="majorBidi" w:hAnsiTheme="majorBidi" w:cstheme="majorBidi"/>
        </w:rPr>
        <w:t xml:space="preserve"> increases </w:t>
      </w:r>
      <w:r w:rsidR="00D223DE">
        <w:rPr>
          <w:rFonts w:asciiTheme="majorBidi" w:hAnsiTheme="majorBidi" w:cstheme="majorBidi"/>
        </w:rPr>
        <w:t>in the balance of</w:t>
      </w:r>
      <w:r w:rsidR="00E2788C">
        <w:rPr>
          <w:rFonts w:asciiTheme="majorBidi" w:hAnsiTheme="majorBidi" w:cstheme="majorBidi"/>
        </w:rPr>
        <w:t xml:space="preserve"> investments abroad (</w:t>
      </w:r>
      <w:r w:rsidR="00F571D9">
        <w:rPr>
          <w:rFonts w:asciiTheme="majorBidi" w:hAnsiTheme="majorBidi" w:cstheme="majorBidi"/>
        </w:rPr>
        <w:t>8.1</w:t>
      </w:r>
      <w:r w:rsidR="00E2788C">
        <w:rPr>
          <w:rFonts w:asciiTheme="majorBidi" w:hAnsiTheme="majorBidi" w:cstheme="majorBidi"/>
        </w:rPr>
        <w:t xml:space="preserve"> percent), the balance of</w:t>
      </w:r>
      <w:r w:rsidR="00D223DE">
        <w:rPr>
          <w:rFonts w:asciiTheme="majorBidi" w:hAnsiTheme="majorBidi" w:cstheme="majorBidi"/>
        </w:rPr>
        <w:t xml:space="preserve"> equities in Israel (</w:t>
      </w:r>
      <w:r w:rsidR="00F571D9">
        <w:rPr>
          <w:rFonts w:asciiTheme="majorBidi" w:hAnsiTheme="majorBidi" w:cstheme="majorBidi"/>
        </w:rPr>
        <w:t>7</w:t>
      </w:r>
      <w:r w:rsidR="00D223DE">
        <w:rPr>
          <w:rFonts w:asciiTheme="majorBidi" w:hAnsiTheme="majorBidi" w:cstheme="majorBidi"/>
        </w:rPr>
        <w:t xml:space="preserve"> percent), and the balance of tradable corporate bonds (</w:t>
      </w:r>
      <w:r w:rsidR="00E2788C">
        <w:rPr>
          <w:rFonts w:asciiTheme="majorBidi" w:hAnsiTheme="majorBidi" w:cstheme="majorBidi"/>
        </w:rPr>
        <w:t>3</w:t>
      </w:r>
      <w:r w:rsidR="00D223DE">
        <w:rPr>
          <w:rFonts w:asciiTheme="majorBidi" w:hAnsiTheme="majorBidi" w:cstheme="majorBidi"/>
        </w:rPr>
        <w:t xml:space="preserve"> percent)</w:t>
      </w:r>
      <w:r w:rsidR="00E2788C">
        <w:rPr>
          <w:rFonts w:asciiTheme="majorBidi" w:hAnsiTheme="majorBidi" w:cstheme="majorBidi"/>
        </w:rPr>
        <w:t xml:space="preserve"> were notable</w:t>
      </w:r>
      <w:r w:rsidR="00D223DE">
        <w:rPr>
          <w:rFonts w:asciiTheme="majorBidi" w:hAnsiTheme="majorBidi" w:cstheme="majorBidi"/>
        </w:rPr>
        <w:t>.</w:t>
      </w:r>
      <w:r w:rsidR="00B228AF">
        <w:rPr>
          <w:rFonts w:asciiTheme="majorBidi" w:hAnsiTheme="majorBidi" w:cstheme="majorBidi"/>
        </w:rPr>
        <w:t xml:space="preserve"> </w:t>
      </w:r>
    </w:p>
    <w:p w14:paraId="1EB9DC23" w14:textId="1F81A9C7" w:rsidR="002B4397" w:rsidRPr="00B228AF" w:rsidRDefault="002B4397" w:rsidP="00B3201D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7D85926B" w14:textId="023F6AFB" w:rsidR="002B4397" w:rsidRDefault="002B4397" w:rsidP="002B4397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073B95C" w14:textId="4C5AF02A" w:rsidR="006440C1" w:rsidRDefault="0050362E" w:rsidP="006440C1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67AC79B0" wp14:editId="4598CAA6">
            <wp:simplePos x="0" y="0"/>
            <wp:positionH relativeFrom="margin">
              <wp:align>center</wp:align>
            </wp:positionH>
            <wp:positionV relativeFrom="paragraph">
              <wp:posOffset>7297</wp:posOffset>
            </wp:positionV>
            <wp:extent cx="5335200" cy="2493800"/>
            <wp:effectExtent l="0" t="0" r="0" b="1905"/>
            <wp:wrapSquare wrapText="bothSides"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5200" cy="2493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FF0E80" w14:textId="6E5A0C59" w:rsidR="006440C1" w:rsidRDefault="006440C1" w:rsidP="006440C1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DE01116" w14:textId="38BE455A" w:rsidR="006440C1" w:rsidRDefault="006440C1" w:rsidP="006440C1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C2BB336" w14:textId="751034C2" w:rsidR="006440C1" w:rsidRDefault="006440C1" w:rsidP="006440C1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3453C3B" w14:textId="1A4A5FE2" w:rsidR="006440C1" w:rsidRDefault="006440C1" w:rsidP="006440C1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7D43620" w14:textId="11CB5A00" w:rsidR="006440C1" w:rsidRDefault="006440C1" w:rsidP="006440C1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027901F3" w14:textId="204F86A2" w:rsidR="006440C1" w:rsidRDefault="006440C1" w:rsidP="006440C1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97BEC02" w14:textId="21923B18" w:rsidR="006440C1" w:rsidRDefault="006440C1" w:rsidP="006440C1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A8D412E" w14:textId="1C5376FC" w:rsidR="006440C1" w:rsidRDefault="006440C1" w:rsidP="006440C1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33C7829" w14:textId="0ECFE3E7" w:rsidR="006440C1" w:rsidRDefault="006440C1" w:rsidP="006440C1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1947079" w14:textId="15836436" w:rsidR="006440C1" w:rsidRDefault="006440C1" w:rsidP="006440C1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CA816EC" w14:textId="4C03E8FE" w:rsidR="0050362E" w:rsidRDefault="0050362E" w:rsidP="005036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D0E4285" w14:textId="75EBD51A" w:rsidR="0050362E" w:rsidRDefault="0050362E" w:rsidP="005036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35B47FE" w14:textId="77777777" w:rsidR="0050362E" w:rsidRPr="00B228AF" w:rsidRDefault="0050362E" w:rsidP="005036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12EB199" w14:textId="26F2FAE7" w:rsidR="00D223DE" w:rsidRDefault="00D223DE" w:rsidP="00F571D9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</w:rPr>
      </w:pPr>
      <w:r w:rsidRPr="00B8035A">
        <w:rPr>
          <w:rFonts w:asciiTheme="majorBidi" w:hAnsiTheme="majorBidi" w:cstheme="majorBidi"/>
        </w:rPr>
        <w:t xml:space="preserve">The balance of </w:t>
      </w:r>
      <w:r w:rsidRPr="007A09FF">
        <w:rPr>
          <w:rFonts w:asciiTheme="majorBidi" w:hAnsiTheme="majorBidi" w:cstheme="majorBidi"/>
          <w:b/>
          <w:bCs/>
        </w:rPr>
        <w:t>equities in Israel</w:t>
      </w:r>
      <w:r>
        <w:rPr>
          <w:rFonts w:asciiTheme="majorBidi" w:hAnsiTheme="majorBidi" w:cstheme="majorBidi"/>
        </w:rPr>
        <w:t xml:space="preserve"> </w:t>
      </w:r>
      <w:r w:rsidR="00E2788C">
        <w:rPr>
          <w:rFonts w:asciiTheme="majorBidi" w:hAnsiTheme="majorBidi" w:cstheme="majorBidi"/>
        </w:rPr>
        <w:t>increased</w:t>
      </w:r>
      <w:r>
        <w:rPr>
          <w:rFonts w:asciiTheme="majorBidi" w:hAnsiTheme="majorBidi" w:cstheme="majorBidi"/>
        </w:rPr>
        <w:t xml:space="preserve"> by </w:t>
      </w:r>
      <w:r w:rsidR="00E2788C">
        <w:rPr>
          <w:rFonts w:asciiTheme="majorBidi" w:hAnsiTheme="majorBidi" w:cstheme="majorBidi"/>
        </w:rPr>
        <w:t xml:space="preserve">about </w:t>
      </w:r>
      <w:r>
        <w:rPr>
          <w:rFonts w:asciiTheme="majorBidi" w:hAnsiTheme="majorBidi" w:cstheme="majorBidi"/>
        </w:rPr>
        <w:t xml:space="preserve">NIS </w:t>
      </w:r>
      <w:r w:rsidR="00F571D9">
        <w:rPr>
          <w:rFonts w:asciiTheme="majorBidi" w:hAnsiTheme="majorBidi" w:cstheme="majorBidi" w:hint="cs"/>
          <w:rtl/>
        </w:rPr>
        <w:t>44</w:t>
      </w:r>
      <w:r>
        <w:rPr>
          <w:rFonts w:asciiTheme="majorBidi" w:hAnsiTheme="majorBidi" w:cstheme="majorBidi"/>
        </w:rPr>
        <w:t xml:space="preserve"> billion (</w:t>
      </w:r>
      <w:r w:rsidR="00F571D9">
        <w:rPr>
          <w:rFonts w:asciiTheme="majorBidi" w:hAnsiTheme="majorBidi" w:cstheme="majorBidi"/>
        </w:rPr>
        <w:t>7</w:t>
      </w:r>
      <w:r>
        <w:rPr>
          <w:rFonts w:asciiTheme="majorBidi" w:hAnsiTheme="majorBidi" w:cstheme="majorBidi"/>
        </w:rPr>
        <w:t xml:space="preserve"> percent), in view of price </w:t>
      </w:r>
      <w:r w:rsidR="00E2788C">
        <w:rPr>
          <w:rFonts w:asciiTheme="majorBidi" w:hAnsiTheme="majorBidi" w:cstheme="majorBidi"/>
        </w:rPr>
        <w:t>increase</w:t>
      </w:r>
      <w:r>
        <w:rPr>
          <w:rFonts w:asciiTheme="majorBidi" w:hAnsiTheme="majorBidi" w:cstheme="majorBidi"/>
        </w:rPr>
        <w:t>s on equity indices</w:t>
      </w:r>
      <w:r w:rsidR="00E2788C">
        <w:rPr>
          <w:rFonts w:asciiTheme="majorBidi" w:hAnsiTheme="majorBidi" w:cstheme="majorBidi"/>
        </w:rPr>
        <w:t>, which were slightly offset by</w:t>
      </w:r>
      <w:r>
        <w:rPr>
          <w:rFonts w:asciiTheme="majorBidi" w:hAnsiTheme="majorBidi" w:cstheme="majorBidi"/>
        </w:rPr>
        <w:t xml:space="preserve"> net re</w:t>
      </w:r>
      <w:r w:rsidR="00E2788C">
        <w:rPr>
          <w:rFonts w:asciiTheme="majorBidi" w:hAnsiTheme="majorBidi" w:cstheme="majorBidi"/>
        </w:rPr>
        <w:t>alizations</w:t>
      </w:r>
      <w:r>
        <w:rPr>
          <w:rFonts w:asciiTheme="majorBidi" w:hAnsiTheme="majorBidi" w:cstheme="majorBidi"/>
        </w:rPr>
        <w:t>.</w:t>
      </w:r>
    </w:p>
    <w:p w14:paraId="4E8B849D" w14:textId="6E97AF90" w:rsidR="00E2788C" w:rsidRPr="00E2788C" w:rsidRDefault="00E2788C" w:rsidP="000131ED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</w:rPr>
        <w:t xml:space="preserve">The balance of </w:t>
      </w:r>
      <w:r>
        <w:rPr>
          <w:rFonts w:asciiTheme="majorBidi" w:hAnsiTheme="majorBidi" w:cstheme="majorBidi"/>
          <w:b/>
        </w:rPr>
        <w:t>tradable corporate bonds in Israel</w:t>
      </w:r>
      <w:r>
        <w:rPr>
          <w:rFonts w:asciiTheme="majorBidi" w:hAnsiTheme="majorBidi" w:cstheme="majorBidi"/>
          <w:bCs/>
        </w:rPr>
        <w:t xml:space="preserve"> increased by about NIS 11 billion, to about NIS 380 billion at the end of the quarter.  This was a result of price increases, which were partly offset by net realizations (estimated at about NIS 3.2 billion).</w:t>
      </w:r>
    </w:p>
    <w:p w14:paraId="3805228E" w14:textId="2DCD286D" w:rsidR="000131ED" w:rsidRPr="00F5642E" w:rsidRDefault="000131ED" w:rsidP="00E2788C">
      <w:pPr>
        <w:pStyle w:val="ab"/>
        <w:numPr>
          <w:ilvl w:val="0"/>
          <w:numId w:val="23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  <w:r w:rsidRPr="00F5642E">
        <w:rPr>
          <w:rFonts w:asciiTheme="majorBidi" w:hAnsiTheme="majorBidi" w:cstheme="majorBidi"/>
        </w:rPr>
        <w:t xml:space="preserve">The balance of </w:t>
      </w:r>
      <w:r w:rsidRPr="00F5642E">
        <w:rPr>
          <w:rFonts w:asciiTheme="majorBidi" w:hAnsiTheme="majorBidi" w:cstheme="majorBidi"/>
          <w:b/>
          <w:bCs/>
        </w:rPr>
        <w:t>cash and deposits</w:t>
      </w:r>
      <w:r w:rsidRPr="00F5642E">
        <w:rPr>
          <w:rFonts w:asciiTheme="majorBidi" w:hAnsiTheme="majorBidi" w:cstheme="majorBidi"/>
        </w:rPr>
        <w:t xml:space="preserve"> </w:t>
      </w:r>
      <w:r w:rsidR="00E2788C">
        <w:rPr>
          <w:rFonts w:asciiTheme="majorBidi" w:hAnsiTheme="majorBidi" w:cstheme="majorBidi"/>
        </w:rPr>
        <w:t>increas</w:t>
      </w:r>
      <w:r>
        <w:rPr>
          <w:rFonts w:asciiTheme="majorBidi" w:hAnsiTheme="majorBidi" w:cstheme="majorBidi"/>
        </w:rPr>
        <w:t>ed</w:t>
      </w:r>
      <w:r w:rsidRPr="00F5642E">
        <w:rPr>
          <w:rFonts w:asciiTheme="majorBidi" w:hAnsiTheme="majorBidi" w:cstheme="majorBidi"/>
        </w:rPr>
        <w:t xml:space="preserve"> during the </w:t>
      </w:r>
      <w:r w:rsidR="00E2788C">
        <w:rPr>
          <w:rFonts w:asciiTheme="majorBidi" w:hAnsiTheme="majorBidi" w:cstheme="majorBidi"/>
        </w:rPr>
        <w:t>second</w:t>
      </w:r>
      <w:r w:rsidRPr="00F5642E">
        <w:rPr>
          <w:rFonts w:asciiTheme="majorBidi" w:hAnsiTheme="majorBidi" w:cstheme="majorBidi"/>
        </w:rPr>
        <w:t xml:space="preserve"> quarter by about NIS </w:t>
      </w:r>
      <w:r w:rsidR="00E2788C">
        <w:rPr>
          <w:rFonts w:asciiTheme="majorBidi" w:hAnsiTheme="majorBidi" w:cstheme="majorBidi"/>
        </w:rPr>
        <w:t>11.5</w:t>
      </w:r>
      <w:r w:rsidRPr="00F5642E">
        <w:rPr>
          <w:rFonts w:asciiTheme="majorBidi" w:hAnsiTheme="majorBidi" w:cstheme="majorBidi"/>
        </w:rPr>
        <w:t xml:space="preserve"> billion (</w:t>
      </w:r>
      <w:r w:rsidR="00E2788C">
        <w:rPr>
          <w:rFonts w:asciiTheme="majorBidi" w:hAnsiTheme="majorBidi" w:cstheme="majorBidi"/>
        </w:rPr>
        <w:t>0.6</w:t>
      </w:r>
      <w:r w:rsidRPr="00F5642E">
        <w:rPr>
          <w:rFonts w:asciiTheme="majorBidi" w:hAnsiTheme="majorBidi" w:cstheme="majorBidi"/>
        </w:rPr>
        <w:t xml:space="preserve"> percent) to about NIS </w:t>
      </w:r>
      <w:r>
        <w:rPr>
          <w:rFonts w:asciiTheme="majorBidi" w:hAnsiTheme="majorBidi" w:cstheme="majorBidi"/>
        </w:rPr>
        <w:t>1.9</w:t>
      </w:r>
      <w:r w:rsidR="00E2788C">
        <w:rPr>
          <w:rFonts w:asciiTheme="majorBidi" w:hAnsiTheme="majorBidi" w:cstheme="majorBidi"/>
        </w:rPr>
        <w:t>8</w:t>
      </w:r>
      <w:r w:rsidRPr="00F5642E">
        <w:rPr>
          <w:rFonts w:asciiTheme="majorBidi" w:hAnsiTheme="majorBidi" w:cstheme="majorBidi"/>
        </w:rPr>
        <w:t xml:space="preserve"> trillion.</w:t>
      </w:r>
    </w:p>
    <w:p w14:paraId="1CB61673" w14:textId="77777777" w:rsidR="00A75727" w:rsidRPr="00B228AF" w:rsidRDefault="00A75727" w:rsidP="00A75727">
      <w:pPr>
        <w:pStyle w:val="ab"/>
        <w:bidi w:val="0"/>
        <w:spacing w:line="300" w:lineRule="exact"/>
        <w:ind w:left="426"/>
        <w:jc w:val="both"/>
        <w:rPr>
          <w:rFonts w:asciiTheme="majorBidi" w:hAnsiTheme="majorBidi" w:cstheme="majorBidi"/>
          <w:b/>
          <w:bCs/>
        </w:rPr>
      </w:pPr>
    </w:p>
    <w:p w14:paraId="5412869D" w14:textId="238DD423" w:rsidR="002B4397" w:rsidRPr="00B228AF" w:rsidRDefault="002B4397" w:rsidP="002B4397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53ED2D23" w14:textId="7DC9136E" w:rsidR="002B4397" w:rsidRPr="00B228AF" w:rsidRDefault="002B4397" w:rsidP="002B4397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</w:p>
    <w:p w14:paraId="36A892F7" w14:textId="5304FC76" w:rsidR="00A2266D" w:rsidRPr="00B228AF" w:rsidRDefault="00617B1C" w:rsidP="00A2266D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lastRenderedPageBreak/>
        <w:drawing>
          <wp:anchor distT="0" distB="0" distL="114300" distR="114300" simplePos="0" relativeHeight="251683840" behindDoc="0" locked="0" layoutInCell="1" allowOverlap="1" wp14:anchorId="5709E451" wp14:editId="0F22EBE0">
            <wp:simplePos x="0" y="0"/>
            <wp:positionH relativeFrom="margin">
              <wp:align>center</wp:align>
            </wp:positionH>
            <wp:positionV relativeFrom="paragraph">
              <wp:posOffset>587</wp:posOffset>
            </wp:positionV>
            <wp:extent cx="5198400" cy="2733124"/>
            <wp:effectExtent l="0" t="0" r="2540" b="0"/>
            <wp:wrapSquare wrapText="bothSides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400" cy="27331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EAC5D3" w14:textId="4728E564" w:rsidR="007C2110" w:rsidRDefault="007C2110" w:rsidP="00E2788C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1FB2307" w14:textId="77777777" w:rsidR="007C2110" w:rsidRDefault="007C2110" w:rsidP="007C211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DCDB05B" w14:textId="0E7C563C" w:rsidR="007C2110" w:rsidRDefault="007C2110" w:rsidP="007C211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594DD5C" w14:textId="77777777" w:rsidR="007C2110" w:rsidRDefault="007C2110" w:rsidP="007C211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6A2DFD7" w14:textId="64E8269A" w:rsidR="007C2110" w:rsidRDefault="007C2110" w:rsidP="007C211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28712A5" w14:textId="77777777" w:rsidR="007C2110" w:rsidRDefault="007C2110" w:rsidP="007C211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952295D" w14:textId="558560E5" w:rsidR="007C2110" w:rsidRDefault="007C2110" w:rsidP="007C211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97A559D" w14:textId="77777777" w:rsidR="007C2110" w:rsidRDefault="007C2110" w:rsidP="007C211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1C5AC5C" w14:textId="2A05A5F0" w:rsidR="007C2110" w:rsidRDefault="007C2110" w:rsidP="007C211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942EA14" w14:textId="77777777" w:rsidR="007C2110" w:rsidRDefault="007C2110" w:rsidP="007C211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D7A613E" w14:textId="58625401" w:rsidR="007C2110" w:rsidRDefault="007C2110" w:rsidP="007C211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2BE957F" w14:textId="2CBB3903" w:rsidR="007C2110" w:rsidRDefault="007C2110" w:rsidP="007C211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586FA37" w14:textId="03354B60" w:rsidR="00617B1C" w:rsidRDefault="00617B1C" w:rsidP="00617B1C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E995DBE" w14:textId="77777777" w:rsidR="00617B1C" w:rsidRDefault="00617B1C" w:rsidP="00617B1C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55C23DC" w14:textId="77777777" w:rsidR="007C2110" w:rsidRDefault="007C2110" w:rsidP="007C211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B9A08BA" w14:textId="34EE84DB" w:rsidR="004B0B9B" w:rsidRPr="00B228AF" w:rsidRDefault="00466D57" w:rsidP="00F571D9">
      <w:pPr>
        <w:bidi w:val="0"/>
        <w:spacing w:line="300" w:lineRule="exact"/>
        <w:jc w:val="both"/>
        <w:rPr>
          <w:rFonts w:asciiTheme="majorBidi" w:hAnsiTheme="majorBidi" w:cstheme="majorBidi"/>
          <w:b/>
          <w:bCs/>
        </w:rPr>
      </w:pPr>
      <w:r w:rsidRPr="00F5642E">
        <w:rPr>
          <w:rFonts w:asciiTheme="majorBidi" w:hAnsiTheme="majorBidi" w:cstheme="majorBidi"/>
        </w:rPr>
        <w:t xml:space="preserve">The balance of investments abroad </w:t>
      </w:r>
      <w:r w:rsidR="002B0BD0" w:rsidRPr="00F5642E">
        <w:rPr>
          <w:rFonts w:asciiTheme="majorBidi" w:hAnsiTheme="majorBidi" w:cstheme="majorBidi"/>
        </w:rPr>
        <w:t xml:space="preserve">increased </w:t>
      </w:r>
      <w:r w:rsidR="00517F66" w:rsidRPr="00F5642E">
        <w:rPr>
          <w:rFonts w:asciiTheme="majorBidi" w:hAnsiTheme="majorBidi" w:cstheme="majorBidi"/>
        </w:rPr>
        <w:t xml:space="preserve">by </w:t>
      </w:r>
      <w:r w:rsidR="00E93313" w:rsidRPr="00F5642E">
        <w:rPr>
          <w:rFonts w:asciiTheme="majorBidi" w:hAnsiTheme="majorBidi" w:cstheme="majorBidi"/>
        </w:rPr>
        <w:t xml:space="preserve">approximately </w:t>
      </w:r>
      <w:r w:rsidR="00517F66" w:rsidRPr="00F5642E">
        <w:rPr>
          <w:rFonts w:asciiTheme="majorBidi" w:hAnsiTheme="majorBidi" w:cstheme="majorBidi"/>
        </w:rPr>
        <w:t xml:space="preserve">NIS </w:t>
      </w:r>
      <w:r w:rsidR="00C14D26">
        <w:rPr>
          <w:rFonts w:asciiTheme="majorBidi" w:hAnsiTheme="majorBidi" w:cstheme="majorBidi"/>
        </w:rPr>
        <w:t>5</w:t>
      </w:r>
      <w:r w:rsidR="00F571D9">
        <w:rPr>
          <w:rFonts w:asciiTheme="majorBidi" w:hAnsiTheme="majorBidi" w:cstheme="majorBidi" w:hint="cs"/>
          <w:rtl/>
        </w:rPr>
        <w:t>8</w:t>
      </w:r>
      <w:r w:rsidR="002B0BD0" w:rsidRPr="00F5642E">
        <w:rPr>
          <w:rFonts w:asciiTheme="majorBidi" w:hAnsiTheme="majorBidi" w:cstheme="majorBidi"/>
        </w:rPr>
        <w:t xml:space="preserve"> </w:t>
      </w:r>
      <w:r w:rsidR="00517F66" w:rsidRPr="00F5642E">
        <w:rPr>
          <w:rFonts w:asciiTheme="majorBidi" w:hAnsiTheme="majorBidi" w:cstheme="majorBidi"/>
        </w:rPr>
        <w:t>billion (</w:t>
      </w:r>
      <w:r w:rsidR="00F571D9">
        <w:rPr>
          <w:rFonts w:asciiTheme="majorBidi" w:hAnsiTheme="majorBidi" w:cstheme="majorBidi" w:hint="cs"/>
          <w:rtl/>
        </w:rPr>
        <w:t>8.1</w:t>
      </w:r>
      <w:r w:rsidR="007B05EF" w:rsidRPr="00F5642E">
        <w:rPr>
          <w:rFonts w:asciiTheme="majorBidi" w:hAnsiTheme="majorBidi" w:cstheme="majorBidi"/>
        </w:rPr>
        <w:t xml:space="preserve"> </w:t>
      </w:r>
      <w:r w:rsidR="00517F66" w:rsidRPr="00F5642E">
        <w:rPr>
          <w:rFonts w:asciiTheme="majorBidi" w:hAnsiTheme="majorBidi" w:cstheme="majorBidi"/>
        </w:rPr>
        <w:t xml:space="preserve">percent) </w:t>
      </w:r>
      <w:r w:rsidR="00756981" w:rsidRPr="00F5642E">
        <w:rPr>
          <w:rFonts w:asciiTheme="majorBidi" w:hAnsiTheme="majorBidi" w:cstheme="majorBidi"/>
        </w:rPr>
        <w:t>during</w:t>
      </w:r>
      <w:r w:rsidR="00211075" w:rsidRPr="00F5642E">
        <w:rPr>
          <w:rFonts w:asciiTheme="majorBidi" w:hAnsiTheme="majorBidi" w:cstheme="majorBidi"/>
        </w:rPr>
        <w:t xml:space="preserve"> the quarter</w:t>
      </w:r>
      <w:r w:rsidR="00756981" w:rsidRPr="00F5642E">
        <w:rPr>
          <w:rFonts w:asciiTheme="majorBidi" w:hAnsiTheme="majorBidi" w:cstheme="majorBidi"/>
        </w:rPr>
        <w:t>,</w:t>
      </w:r>
      <w:r w:rsidR="00211075" w:rsidRPr="00F5642E">
        <w:rPr>
          <w:rFonts w:asciiTheme="majorBidi" w:hAnsiTheme="majorBidi" w:cstheme="majorBidi"/>
        </w:rPr>
        <w:t xml:space="preserve"> </w:t>
      </w:r>
      <w:r w:rsidR="00A2193F" w:rsidRPr="00F5642E">
        <w:rPr>
          <w:rFonts w:asciiTheme="majorBidi" w:hAnsiTheme="majorBidi" w:cstheme="majorBidi"/>
        </w:rPr>
        <w:t>to</w:t>
      </w:r>
      <w:r w:rsidR="001C2C91" w:rsidRPr="00F5642E">
        <w:rPr>
          <w:rFonts w:asciiTheme="majorBidi" w:hAnsiTheme="majorBidi" w:cstheme="majorBidi"/>
        </w:rPr>
        <w:t xml:space="preserve"> about</w:t>
      </w:r>
      <w:r w:rsidRPr="00F5642E">
        <w:rPr>
          <w:rFonts w:asciiTheme="majorBidi" w:hAnsiTheme="majorBidi" w:cstheme="majorBidi"/>
        </w:rPr>
        <w:t xml:space="preserve"> NIS</w:t>
      </w:r>
      <w:r w:rsidR="001C2C91" w:rsidRPr="00F5642E">
        <w:rPr>
          <w:rFonts w:asciiTheme="majorBidi" w:hAnsiTheme="majorBidi" w:cstheme="majorBidi"/>
        </w:rPr>
        <w:t xml:space="preserve"> </w:t>
      </w:r>
      <w:r w:rsidR="00C14D26">
        <w:rPr>
          <w:rFonts w:asciiTheme="majorBidi" w:hAnsiTheme="majorBidi" w:cstheme="majorBidi"/>
        </w:rPr>
        <w:t>7</w:t>
      </w:r>
      <w:r w:rsidR="00E2788C">
        <w:rPr>
          <w:rFonts w:asciiTheme="majorBidi" w:hAnsiTheme="majorBidi" w:cstheme="majorBidi"/>
        </w:rPr>
        <w:t>8</w:t>
      </w:r>
      <w:r w:rsidR="00F571D9">
        <w:rPr>
          <w:rFonts w:asciiTheme="majorBidi" w:hAnsiTheme="majorBidi" w:cstheme="majorBidi" w:hint="cs"/>
          <w:rtl/>
        </w:rPr>
        <w:t>5</w:t>
      </w:r>
      <w:r w:rsidR="00343B20" w:rsidRPr="00F5642E">
        <w:rPr>
          <w:rFonts w:asciiTheme="majorBidi" w:hAnsiTheme="majorBidi" w:cstheme="majorBidi"/>
        </w:rPr>
        <w:t xml:space="preserve"> </w:t>
      </w:r>
      <w:r w:rsidRPr="00F5642E">
        <w:rPr>
          <w:rFonts w:asciiTheme="majorBidi" w:hAnsiTheme="majorBidi" w:cstheme="majorBidi"/>
        </w:rPr>
        <w:t>billion</w:t>
      </w:r>
      <w:r w:rsidR="00211075" w:rsidRPr="00F5642E">
        <w:rPr>
          <w:rFonts w:asciiTheme="majorBidi" w:hAnsiTheme="majorBidi" w:cstheme="majorBidi"/>
        </w:rPr>
        <w:t xml:space="preserve">, </w:t>
      </w:r>
      <w:r w:rsidRPr="00F5642E">
        <w:rPr>
          <w:rFonts w:asciiTheme="majorBidi" w:hAnsiTheme="majorBidi" w:cstheme="majorBidi"/>
        </w:rPr>
        <w:t xml:space="preserve">constituting </w:t>
      </w:r>
      <w:r w:rsidR="00413395" w:rsidRPr="00F5642E">
        <w:rPr>
          <w:rFonts w:asciiTheme="majorBidi" w:hAnsiTheme="majorBidi" w:cstheme="majorBidi"/>
        </w:rPr>
        <w:t xml:space="preserve">about </w:t>
      </w:r>
      <w:r w:rsidR="002B0BD0" w:rsidRPr="00F5642E">
        <w:rPr>
          <w:rFonts w:asciiTheme="majorBidi" w:hAnsiTheme="majorBidi" w:cstheme="majorBidi"/>
        </w:rPr>
        <w:t>1</w:t>
      </w:r>
      <w:r w:rsidR="00E2788C">
        <w:rPr>
          <w:rFonts w:asciiTheme="majorBidi" w:hAnsiTheme="majorBidi" w:cstheme="majorBidi"/>
        </w:rPr>
        <w:t>6</w:t>
      </w:r>
      <w:r w:rsidR="00343B20" w:rsidRPr="00F5642E">
        <w:rPr>
          <w:rFonts w:asciiTheme="majorBidi" w:hAnsiTheme="majorBidi" w:cstheme="majorBidi"/>
        </w:rPr>
        <w:t xml:space="preserve"> p</w:t>
      </w:r>
      <w:r w:rsidRPr="00F5642E">
        <w:rPr>
          <w:rFonts w:asciiTheme="majorBidi" w:hAnsiTheme="majorBidi" w:cstheme="majorBidi"/>
        </w:rPr>
        <w:t>ercent of the total asset portfolio</w:t>
      </w:r>
      <w:r w:rsidR="00343B20" w:rsidRPr="00F5642E">
        <w:rPr>
          <w:rFonts w:asciiTheme="majorBidi" w:hAnsiTheme="majorBidi" w:cstheme="majorBidi"/>
        </w:rPr>
        <w:t>.</w:t>
      </w:r>
      <w:r w:rsidR="002B0BD0" w:rsidRPr="00F5642E">
        <w:rPr>
          <w:rFonts w:asciiTheme="majorBidi" w:hAnsiTheme="majorBidi" w:cstheme="majorBidi"/>
        </w:rPr>
        <w:t xml:space="preserve"> The increase derived from the following two components:</w:t>
      </w:r>
      <w:r w:rsidR="00343B20" w:rsidRPr="00B228AF">
        <w:rPr>
          <w:rFonts w:asciiTheme="majorBidi" w:hAnsiTheme="majorBidi" w:cstheme="majorBidi"/>
        </w:rPr>
        <w:t xml:space="preserve"> </w:t>
      </w:r>
    </w:p>
    <w:p w14:paraId="7F4D805D" w14:textId="77777777" w:rsidR="00466D57" w:rsidRPr="00B228AF" w:rsidRDefault="00466D57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580247C" w14:textId="47229A57" w:rsidR="009A22E0" w:rsidRPr="00B228AF" w:rsidRDefault="009A22E0" w:rsidP="00F571D9">
      <w:pPr>
        <w:pStyle w:val="ab"/>
        <w:numPr>
          <w:ilvl w:val="0"/>
          <w:numId w:val="24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 xml:space="preserve">The balance of </w:t>
      </w:r>
      <w:r w:rsidRPr="00B228AF">
        <w:rPr>
          <w:rFonts w:asciiTheme="majorBidi" w:hAnsiTheme="majorBidi" w:cstheme="majorBidi"/>
          <w:b/>
          <w:bCs/>
        </w:rPr>
        <w:t>equities held abroad</w:t>
      </w:r>
      <w:r w:rsidRPr="00B228AF">
        <w:rPr>
          <w:rFonts w:asciiTheme="majorBidi" w:hAnsiTheme="majorBidi" w:cstheme="majorBidi"/>
        </w:rPr>
        <w:t xml:space="preserve"> </w:t>
      </w:r>
      <w:r w:rsidR="002B0BD0">
        <w:rPr>
          <w:rFonts w:asciiTheme="majorBidi" w:hAnsiTheme="majorBidi" w:cstheme="majorBidi"/>
        </w:rPr>
        <w:t xml:space="preserve">increased </w:t>
      </w:r>
      <w:r w:rsidRPr="00B228AF">
        <w:rPr>
          <w:rFonts w:asciiTheme="majorBidi" w:hAnsiTheme="majorBidi" w:cstheme="majorBidi"/>
        </w:rPr>
        <w:t xml:space="preserve">by about NIS </w:t>
      </w:r>
      <w:r w:rsidR="00E2788C">
        <w:rPr>
          <w:rFonts w:asciiTheme="majorBidi" w:hAnsiTheme="majorBidi" w:cstheme="majorBidi"/>
        </w:rPr>
        <w:t>4</w:t>
      </w:r>
      <w:r w:rsidR="00F571D9">
        <w:rPr>
          <w:rFonts w:asciiTheme="majorBidi" w:hAnsiTheme="majorBidi" w:cstheme="majorBidi" w:hint="cs"/>
          <w:rtl/>
        </w:rPr>
        <w:t>2</w:t>
      </w:r>
      <w:r w:rsidR="002B0BD0">
        <w:rPr>
          <w:rFonts w:asciiTheme="majorBidi" w:hAnsiTheme="majorBidi" w:cstheme="majorBidi"/>
        </w:rPr>
        <w:t xml:space="preserve"> </w:t>
      </w:r>
      <w:r w:rsidRPr="00B228AF">
        <w:rPr>
          <w:rFonts w:asciiTheme="majorBidi" w:hAnsiTheme="majorBidi" w:cstheme="majorBidi"/>
        </w:rPr>
        <w:t>billion (</w:t>
      </w:r>
      <w:r w:rsidR="00F571D9">
        <w:rPr>
          <w:rFonts w:asciiTheme="majorBidi" w:hAnsiTheme="majorBidi" w:cstheme="majorBidi" w:hint="cs"/>
          <w:rtl/>
        </w:rPr>
        <w:t>8.1</w:t>
      </w:r>
      <w:r w:rsidR="002B0BD0">
        <w:rPr>
          <w:rFonts w:asciiTheme="majorBidi" w:hAnsiTheme="majorBidi" w:cstheme="majorBidi"/>
        </w:rPr>
        <w:t xml:space="preserve"> </w:t>
      </w:r>
      <w:r w:rsidRPr="00B228AF">
        <w:rPr>
          <w:rFonts w:asciiTheme="majorBidi" w:hAnsiTheme="majorBidi" w:cstheme="majorBidi"/>
        </w:rPr>
        <w:t xml:space="preserve">percent), to about NIS </w:t>
      </w:r>
      <w:r w:rsidR="00C14D26">
        <w:rPr>
          <w:rFonts w:asciiTheme="majorBidi" w:hAnsiTheme="majorBidi" w:cstheme="majorBidi"/>
        </w:rPr>
        <w:t>5</w:t>
      </w:r>
      <w:r w:rsidR="00E2788C">
        <w:rPr>
          <w:rFonts w:asciiTheme="majorBidi" w:hAnsiTheme="majorBidi" w:cstheme="majorBidi"/>
        </w:rPr>
        <w:t>6</w:t>
      </w:r>
      <w:r w:rsidR="00F571D9">
        <w:rPr>
          <w:rFonts w:asciiTheme="majorBidi" w:hAnsiTheme="majorBidi" w:cstheme="majorBidi" w:hint="cs"/>
          <w:rtl/>
        </w:rPr>
        <w:t>3</w:t>
      </w:r>
      <w:r w:rsidR="002B0BD0">
        <w:rPr>
          <w:rFonts w:asciiTheme="majorBidi" w:hAnsiTheme="majorBidi" w:cstheme="majorBidi"/>
        </w:rPr>
        <w:t xml:space="preserve"> </w:t>
      </w:r>
      <w:r w:rsidRPr="00B228AF">
        <w:rPr>
          <w:rFonts w:asciiTheme="majorBidi" w:hAnsiTheme="majorBidi" w:cstheme="majorBidi"/>
        </w:rPr>
        <w:t>billion</w:t>
      </w:r>
      <w:r w:rsidR="00B90756" w:rsidRPr="00A4651A">
        <w:rPr>
          <w:rFonts w:asciiTheme="majorBidi" w:hAnsiTheme="majorBidi" w:cstheme="majorBidi"/>
        </w:rPr>
        <w:t xml:space="preserve">. This was mainly the </w:t>
      </w:r>
      <w:r w:rsidRPr="00A4651A">
        <w:rPr>
          <w:rFonts w:asciiTheme="majorBidi" w:hAnsiTheme="majorBidi" w:cstheme="majorBidi"/>
        </w:rPr>
        <w:t>result of</w:t>
      </w:r>
      <w:r w:rsidR="00E2788C">
        <w:rPr>
          <w:rFonts w:asciiTheme="majorBidi" w:hAnsiTheme="majorBidi" w:cstheme="majorBidi"/>
        </w:rPr>
        <w:t xml:space="preserve"> a combination of</w:t>
      </w:r>
      <w:r w:rsidRPr="00A4651A">
        <w:rPr>
          <w:rFonts w:asciiTheme="majorBidi" w:hAnsiTheme="majorBidi" w:cstheme="majorBidi"/>
        </w:rPr>
        <w:t xml:space="preserve"> price </w:t>
      </w:r>
      <w:r w:rsidR="002B0BD0" w:rsidRPr="00A4651A">
        <w:rPr>
          <w:rFonts w:asciiTheme="majorBidi" w:hAnsiTheme="majorBidi" w:cstheme="majorBidi"/>
        </w:rPr>
        <w:t>increases</w:t>
      </w:r>
      <w:r w:rsidR="00E2788C">
        <w:rPr>
          <w:rFonts w:asciiTheme="majorBidi" w:hAnsiTheme="majorBidi" w:cstheme="majorBidi"/>
        </w:rPr>
        <w:t>, net investments (estimated at about NIS 2.3 billion), and the depreciation of the shekel against the US dollar (2.4 percent)</w:t>
      </w:r>
      <w:r w:rsidR="002B0BD0" w:rsidRPr="00A4651A">
        <w:rPr>
          <w:rFonts w:asciiTheme="majorBidi" w:hAnsiTheme="majorBidi" w:cstheme="majorBidi"/>
        </w:rPr>
        <w:t>.</w:t>
      </w:r>
    </w:p>
    <w:p w14:paraId="5B4263D9" w14:textId="46D3851A" w:rsidR="00466D57" w:rsidRPr="00B228AF" w:rsidRDefault="00413395" w:rsidP="00E2788C">
      <w:pPr>
        <w:pStyle w:val="ab"/>
        <w:numPr>
          <w:ilvl w:val="0"/>
          <w:numId w:val="24"/>
        </w:numPr>
        <w:bidi w:val="0"/>
        <w:spacing w:line="300" w:lineRule="exact"/>
        <w:ind w:left="426"/>
        <w:jc w:val="both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 xml:space="preserve">The balance of </w:t>
      </w:r>
      <w:r w:rsidRPr="00B228AF">
        <w:rPr>
          <w:rFonts w:asciiTheme="majorBidi" w:hAnsiTheme="majorBidi" w:cstheme="majorBidi"/>
          <w:b/>
          <w:bCs/>
        </w:rPr>
        <w:t>tradable (corporate and government) bonds abroad</w:t>
      </w:r>
      <w:r w:rsidRPr="00B228AF">
        <w:rPr>
          <w:rFonts w:asciiTheme="majorBidi" w:hAnsiTheme="majorBidi" w:cstheme="majorBidi"/>
        </w:rPr>
        <w:t xml:space="preserve"> </w:t>
      </w:r>
      <w:r w:rsidR="00B213F4">
        <w:rPr>
          <w:rFonts w:asciiTheme="majorBidi" w:hAnsiTheme="majorBidi" w:cstheme="majorBidi"/>
        </w:rPr>
        <w:t>increased</w:t>
      </w:r>
      <w:r w:rsidRPr="00B228AF">
        <w:rPr>
          <w:rFonts w:asciiTheme="majorBidi" w:hAnsiTheme="majorBidi" w:cstheme="majorBidi"/>
        </w:rPr>
        <w:t xml:space="preserve"> by about NIS</w:t>
      </w:r>
      <w:r w:rsidR="002B0BD0">
        <w:rPr>
          <w:rFonts w:asciiTheme="majorBidi" w:hAnsiTheme="majorBidi" w:cstheme="majorBidi"/>
        </w:rPr>
        <w:t xml:space="preserve"> </w:t>
      </w:r>
      <w:r w:rsidR="00C14D26">
        <w:rPr>
          <w:rFonts w:asciiTheme="majorBidi" w:hAnsiTheme="majorBidi" w:cstheme="majorBidi"/>
        </w:rPr>
        <w:t>1</w:t>
      </w:r>
      <w:r w:rsidR="00E2788C">
        <w:rPr>
          <w:rFonts w:asciiTheme="majorBidi" w:hAnsiTheme="majorBidi" w:cstheme="majorBidi"/>
        </w:rPr>
        <w:t>6</w:t>
      </w:r>
      <w:r w:rsidR="002B0BD0">
        <w:rPr>
          <w:rFonts w:asciiTheme="majorBidi" w:hAnsiTheme="majorBidi" w:cstheme="majorBidi"/>
        </w:rPr>
        <w:t xml:space="preserve"> </w:t>
      </w:r>
      <w:r w:rsidRPr="00B228AF">
        <w:rPr>
          <w:rFonts w:asciiTheme="majorBidi" w:hAnsiTheme="majorBidi" w:cstheme="majorBidi"/>
        </w:rPr>
        <w:t xml:space="preserve">billion </w:t>
      </w:r>
      <w:r w:rsidR="00CB0861" w:rsidRPr="00B228AF">
        <w:rPr>
          <w:rFonts w:asciiTheme="majorBidi" w:hAnsiTheme="majorBidi" w:cstheme="majorBidi"/>
        </w:rPr>
        <w:t>(</w:t>
      </w:r>
      <w:r w:rsidR="00E2788C">
        <w:rPr>
          <w:rFonts w:asciiTheme="majorBidi" w:hAnsiTheme="majorBidi" w:cstheme="majorBidi"/>
        </w:rPr>
        <w:t>8</w:t>
      </w:r>
      <w:r w:rsidR="002B0BD0">
        <w:rPr>
          <w:rFonts w:asciiTheme="majorBidi" w:hAnsiTheme="majorBidi" w:cstheme="majorBidi"/>
        </w:rPr>
        <w:t xml:space="preserve"> </w:t>
      </w:r>
      <w:r w:rsidR="00CB0861" w:rsidRPr="00B228AF">
        <w:rPr>
          <w:rFonts w:asciiTheme="majorBidi" w:hAnsiTheme="majorBidi" w:cstheme="majorBidi"/>
        </w:rPr>
        <w:t xml:space="preserve">percent) </w:t>
      </w:r>
      <w:r w:rsidRPr="00B228AF">
        <w:rPr>
          <w:rFonts w:asciiTheme="majorBidi" w:hAnsiTheme="majorBidi" w:cstheme="majorBidi"/>
        </w:rPr>
        <w:t xml:space="preserve">during the quarter, </w:t>
      </w:r>
      <w:r w:rsidR="009A22E0">
        <w:rPr>
          <w:rFonts w:asciiTheme="majorBidi" w:hAnsiTheme="majorBidi" w:cstheme="majorBidi"/>
        </w:rPr>
        <w:t xml:space="preserve">to about NIS </w:t>
      </w:r>
      <w:r w:rsidR="00C14D26">
        <w:rPr>
          <w:rFonts w:asciiTheme="majorBidi" w:hAnsiTheme="majorBidi" w:cstheme="majorBidi"/>
        </w:rPr>
        <w:t>2</w:t>
      </w:r>
      <w:r w:rsidR="00E2788C">
        <w:rPr>
          <w:rFonts w:asciiTheme="majorBidi" w:hAnsiTheme="majorBidi" w:cstheme="majorBidi"/>
        </w:rPr>
        <w:t>22</w:t>
      </w:r>
      <w:r w:rsidR="002B0BD0">
        <w:rPr>
          <w:rFonts w:asciiTheme="majorBidi" w:hAnsiTheme="majorBidi" w:cstheme="majorBidi"/>
        </w:rPr>
        <w:t xml:space="preserve"> </w:t>
      </w:r>
      <w:r w:rsidR="009A22E0">
        <w:rPr>
          <w:rFonts w:asciiTheme="majorBidi" w:hAnsiTheme="majorBidi" w:cstheme="majorBidi"/>
        </w:rPr>
        <w:t xml:space="preserve">billion. </w:t>
      </w:r>
      <w:r w:rsidR="00550603" w:rsidRPr="00B228AF">
        <w:rPr>
          <w:rFonts w:asciiTheme="majorBidi" w:hAnsiTheme="majorBidi" w:cstheme="majorBidi"/>
        </w:rPr>
        <w:t xml:space="preserve">This </w:t>
      </w:r>
      <w:r w:rsidR="00FB1573">
        <w:rPr>
          <w:rFonts w:asciiTheme="majorBidi" w:hAnsiTheme="majorBidi" w:cstheme="majorBidi"/>
        </w:rPr>
        <w:t xml:space="preserve">increase derived </w:t>
      </w:r>
      <w:r w:rsidR="00E2788C">
        <w:rPr>
          <w:rFonts w:asciiTheme="majorBidi" w:hAnsiTheme="majorBidi" w:cstheme="majorBidi"/>
        </w:rPr>
        <w:t xml:space="preserve">mainly </w:t>
      </w:r>
      <w:r w:rsidR="00FB1573">
        <w:rPr>
          <w:rFonts w:asciiTheme="majorBidi" w:hAnsiTheme="majorBidi" w:cstheme="majorBidi"/>
        </w:rPr>
        <w:t xml:space="preserve">from net investments </w:t>
      </w:r>
      <w:r w:rsidR="00FB334A">
        <w:rPr>
          <w:rFonts w:asciiTheme="majorBidi" w:hAnsiTheme="majorBidi" w:cstheme="majorBidi"/>
        </w:rPr>
        <w:t xml:space="preserve">totaling </w:t>
      </w:r>
      <w:r w:rsidR="00E2788C">
        <w:rPr>
          <w:rFonts w:asciiTheme="majorBidi" w:hAnsiTheme="majorBidi" w:cstheme="majorBidi"/>
        </w:rPr>
        <w:t xml:space="preserve">about </w:t>
      </w:r>
      <w:r w:rsidR="00FB1573">
        <w:rPr>
          <w:rFonts w:asciiTheme="majorBidi" w:hAnsiTheme="majorBidi" w:cstheme="majorBidi"/>
        </w:rPr>
        <w:t xml:space="preserve">NIS </w:t>
      </w:r>
      <w:r w:rsidR="00C14D26">
        <w:rPr>
          <w:rFonts w:asciiTheme="majorBidi" w:hAnsiTheme="majorBidi" w:cstheme="majorBidi"/>
        </w:rPr>
        <w:t>10.</w:t>
      </w:r>
      <w:r w:rsidR="00E2788C">
        <w:rPr>
          <w:rFonts w:asciiTheme="majorBidi" w:hAnsiTheme="majorBidi" w:cstheme="majorBidi"/>
        </w:rPr>
        <w:t>6</w:t>
      </w:r>
      <w:r w:rsidR="002B0BD0">
        <w:rPr>
          <w:rFonts w:asciiTheme="majorBidi" w:hAnsiTheme="majorBidi" w:cstheme="majorBidi"/>
        </w:rPr>
        <w:t xml:space="preserve"> </w:t>
      </w:r>
      <w:r w:rsidR="00FB1573">
        <w:rPr>
          <w:rFonts w:asciiTheme="majorBidi" w:hAnsiTheme="majorBidi" w:cstheme="majorBidi"/>
        </w:rPr>
        <w:t>billion</w:t>
      </w:r>
      <w:r w:rsidR="00E2788C">
        <w:rPr>
          <w:rFonts w:asciiTheme="majorBidi" w:hAnsiTheme="majorBidi" w:cstheme="majorBidi"/>
        </w:rPr>
        <w:t>, alongside the depreciation of the shekel against the US dollar (2.4 percent).</w:t>
      </w:r>
      <w:r w:rsidR="00644071" w:rsidRPr="00B228AF">
        <w:rPr>
          <w:rFonts w:asciiTheme="majorBidi" w:hAnsiTheme="majorBidi" w:cstheme="majorBidi"/>
        </w:rPr>
        <w:t xml:space="preserve"> </w:t>
      </w:r>
    </w:p>
    <w:p w14:paraId="0779BC96" w14:textId="77777777" w:rsidR="00A36FE7" w:rsidRPr="00B228AF" w:rsidRDefault="00A36FE7" w:rsidP="007E422E">
      <w:pPr>
        <w:bidi w:val="0"/>
        <w:spacing w:line="300" w:lineRule="exact"/>
        <w:ind w:left="66"/>
        <w:jc w:val="both"/>
        <w:rPr>
          <w:rFonts w:asciiTheme="majorBidi" w:hAnsiTheme="majorBidi" w:cstheme="majorBidi"/>
        </w:rPr>
      </w:pPr>
    </w:p>
    <w:p w14:paraId="64448DAC" w14:textId="55D89971" w:rsidR="00AC12BA" w:rsidRPr="00B228AF" w:rsidRDefault="00A36FE7" w:rsidP="00F571D9">
      <w:pPr>
        <w:bidi w:val="0"/>
        <w:spacing w:line="300" w:lineRule="exact"/>
        <w:ind w:left="66"/>
        <w:jc w:val="both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 xml:space="preserve">As a result of developments during the </w:t>
      </w:r>
      <w:r w:rsidR="00C16DFE" w:rsidRPr="00B228AF">
        <w:rPr>
          <w:rFonts w:asciiTheme="majorBidi" w:hAnsiTheme="majorBidi" w:cstheme="majorBidi"/>
        </w:rPr>
        <w:t>quarter</w:t>
      </w:r>
      <w:r w:rsidRPr="00B228AF">
        <w:rPr>
          <w:rFonts w:asciiTheme="majorBidi" w:hAnsiTheme="majorBidi" w:cstheme="majorBidi"/>
        </w:rPr>
        <w:t xml:space="preserve">, there </w:t>
      </w:r>
      <w:r w:rsidR="00A21EDF" w:rsidRPr="00B228AF">
        <w:rPr>
          <w:rFonts w:asciiTheme="majorBidi" w:hAnsiTheme="majorBidi" w:cstheme="majorBidi"/>
        </w:rPr>
        <w:t xml:space="preserve">was </w:t>
      </w:r>
      <w:r w:rsidR="003E613D">
        <w:rPr>
          <w:rFonts w:asciiTheme="majorBidi" w:hAnsiTheme="majorBidi" w:cstheme="majorBidi"/>
        </w:rPr>
        <w:t xml:space="preserve">an increase </w:t>
      </w:r>
      <w:r w:rsidRPr="00B228AF">
        <w:rPr>
          <w:rFonts w:asciiTheme="majorBidi" w:hAnsiTheme="majorBidi" w:cstheme="majorBidi"/>
        </w:rPr>
        <w:t xml:space="preserve">of about </w:t>
      </w:r>
      <w:r w:rsidR="00EC4C48">
        <w:rPr>
          <w:rFonts w:asciiTheme="majorBidi" w:hAnsiTheme="majorBidi" w:cstheme="majorBidi"/>
        </w:rPr>
        <w:t>0.8</w:t>
      </w:r>
      <w:r w:rsidR="00C14D26">
        <w:rPr>
          <w:rFonts w:asciiTheme="majorBidi" w:hAnsiTheme="majorBidi" w:cstheme="majorBidi"/>
        </w:rPr>
        <w:t xml:space="preserve"> </w:t>
      </w:r>
      <w:r w:rsidR="00AC12BA" w:rsidRPr="00B228AF">
        <w:rPr>
          <w:rFonts w:asciiTheme="majorBidi" w:hAnsiTheme="majorBidi" w:cstheme="majorBidi"/>
        </w:rPr>
        <w:t>percentage point</w:t>
      </w:r>
      <w:r w:rsidR="008F720F" w:rsidRPr="00B228AF">
        <w:rPr>
          <w:rFonts w:asciiTheme="majorBidi" w:hAnsiTheme="majorBidi" w:cstheme="majorBidi"/>
        </w:rPr>
        <w:t>s</w:t>
      </w:r>
      <w:r w:rsidR="00B46EB5" w:rsidRPr="00B228AF">
        <w:rPr>
          <w:rFonts w:asciiTheme="majorBidi" w:hAnsiTheme="majorBidi" w:cstheme="majorBidi"/>
        </w:rPr>
        <w:t xml:space="preserve"> </w:t>
      </w:r>
      <w:r w:rsidR="009A22E0" w:rsidRPr="00B228AF">
        <w:rPr>
          <w:rFonts w:asciiTheme="majorBidi" w:hAnsiTheme="majorBidi" w:cstheme="majorBidi"/>
        </w:rPr>
        <w:t>(</w:t>
      </w:r>
      <w:r w:rsidR="009A22E0" w:rsidRPr="00EC4C48">
        <w:rPr>
          <w:rFonts w:asciiTheme="majorBidi" w:hAnsiTheme="majorBidi" w:cstheme="majorBidi"/>
        </w:rPr>
        <w:t xml:space="preserve">from </w:t>
      </w:r>
      <w:r w:rsidR="00EC4C48" w:rsidRPr="00EC4C48">
        <w:rPr>
          <w:rFonts w:asciiTheme="majorBidi" w:hAnsiTheme="majorBidi" w:cstheme="majorBidi"/>
        </w:rPr>
        <w:t>14.9</w:t>
      </w:r>
      <w:r w:rsidR="00B358F4" w:rsidRPr="00EC4C48">
        <w:rPr>
          <w:rFonts w:asciiTheme="majorBidi" w:hAnsiTheme="majorBidi" w:cstheme="majorBidi"/>
        </w:rPr>
        <w:t xml:space="preserve"> </w:t>
      </w:r>
      <w:r w:rsidR="009A22E0" w:rsidRPr="00EC4C48">
        <w:rPr>
          <w:rFonts w:asciiTheme="majorBidi" w:hAnsiTheme="majorBidi" w:cstheme="majorBidi"/>
        </w:rPr>
        <w:t xml:space="preserve">percent to </w:t>
      </w:r>
      <w:r w:rsidR="00EC4C48" w:rsidRPr="00EC4C48">
        <w:rPr>
          <w:rFonts w:asciiTheme="majorBidi" w:hAnsiTheme="majorBidi" w:cstheme="majorBidi"/>
        </w:rPr>
        <w:t>15.7</w:t>
      </w:r>
      <w:r w:rsidR="00B358F4" w:rsidRPr="00EC4C48">
        <w:rPr>
          <w:rFonts w:asciiTheme="majorBidi" w:hAnsiTheme="majorBidi" w:cstheme="majorBidi"/>
        </w:rPr>
        <w:t xml:space="preserve"> </w:t>
      </w:r>
      <w:r w:rsidR="009A22E0" w:rsidRPr="00EC4C48">
        <w:rPr>
          <w:rFonts w:asciiTheme="majorBidi" w:hAnsiTheme="majorBidi" w:cstheme="majorBidi"/>
        </w:rPr>
        <w:t xml:space="preserve">percent) </w:t>
      </w:r>
      <w:r w:rsidR="006A10A7" w:rsidRPr="00EC4C48">
        <w:rPr>
          <w:rFonts w:asciiTheme="majorBidi" w:hAnsiTheme="majorBidi" w:cstheme="majorBidi"/>
        </w:rPr>
        <w:t>in</w:t>
      </w:r>
      <w:r w:rsidR="006A10A7" w:rsidRPr="00B228AF">
        <w:rPr>
          <w:rFonts w:asciiTheme="majorBidi" w:hAnsiTheme="majorBidi" w:cstheme="majorBidi"/>
        </w:rPr>
        <w:t xml:space="preserve"> the share of </w:t>
      </w:r>
      <w:r w:rsidR="00CB0861" w:rsidRPr="00B228AF">
        <w:rPr>
          <w:rFonts w:asciiTheme="majorBidi" w:hAnsiTheme="majorBidi" w:cstheme="majorBidi"/>
        </w:rPr>
        <w:t>foreign</w:t>
      </w:r>
      <w:r w:rsidR="009A22E0">
        <w:rPr>
          <w:rFonts w:asciiTheme="majorBidi" w:hAnsiTheme="majorBidi" w:cstheme="majorBidi"/>
        </w:rPr>
        <w:t xml:space="preserve"> </w:t>
      </w:r>
      <w:r w:rsidR="00301495" w:rsidRPr="00B228AF">
        <w:rPr>
          <w:rFonts w:asciiTheme="majorBidi" w:hAnsiTheme="majorBidi" w:cstheme="majorBidi"/>
        </w:rPr>
        <w:t>assets</w:t>
      </w:r>
      <w:r w:rsidR="003E613D">
        <w:rPr>
          <w:rFonts w:asciiTheme="majorBidi" w:hAnsiTheme="majorBidi" w:cstheme="majorBidi"/>
        </w:rPr>
        <w:t xml:space="preserve">, and an increase </w:t>
      </w:r>
      <w:r w:rsidR="00B358F4">
        <w:rPr>
          <w:rFonts w:asciiTheme="majorBidi" w:hAnsiTheme="majorBidi" w:cstheme="majorBidi"/>
        </w:rPr>
        <w:t xml:space="preserve">of about </w:t>
      </w:r>
      <w:r w:rsidR="00EC4C48">
        <w:rPr>
          <w:rFonts w:asciiTheme="majorBidi" w:hAnsiTheme="majorBidi" w:cstheme="majorBidi"/>
        </w:rPr>
        <w:t>0.2</w:t>
      </w:r>
      <w:r w:rsidR="00B358F4">
        <w:rPr>
          <w:rFonts w:asciiTheme="majorBidi" w:hAnsiTheme="majorBidi" w:cstheme="majorBidi"/>
        </w:rPr>
        <w:t xml:space="preserve"> percentage points (from </w:t>
      </w:r>
      <w:r w:rsidR="00EC4C48">
        <w:rPr>
          <w:rFonts w:asciiTheme="majorBidi" w:hAnsiTheme="majorBidi" w:cstheme="majorBidi"/>
        </w:rPr>
        <w:t>23.4</w:t>
      </w:r>
      <w:r w:rsidR="00B358F4">
        <w:rPr>
          <w:rFonts w:asciiTheme="majorBidi" w:hAnsiTheme="majorBidi" w:cstheme="majorBidi"/>
        </w:rPr>
        <w:t xml:space="preserve"> percent to </w:t>
      </w:r>
      <w:r w:rsidR="00EC4C48">
        <w:rPr>
          <w:rFonts w:asciiTheme="majorBidi" w:hAnsiTheme="majorBidi" w:cstheme="majorBidi"/>
        </w:rPr>
        <w:t>23.6</w:t>
      </w:r>
      <w:r w:rsidR="00B358F4">
        <w:rPr>
          <w:rFonts w:asciiTheme="majorBidi" w:hAnsiTheme="majorBidi" w:cstheme="majorBidi"/>
        </w:rPr>
        <w:t xml:space="preserve"> percent) in the share of foreign </w:t>
      </w:r>
      <w:r w:rsidR="00EC4C48">
        <w:rPr>
          <w:rFonts w:asciiTheme="majorBidi" w:hAnsiTheme="majorBidi" w:cstheme="majorBidi"/>
        </w:rPr>
        <w:t xml:space="preserve">currency </w:t>
      </w:r>
      <w:r w:rsidR="00B358F4">
        <w:rPr>
          <w:rFonts w:asciiTheme="majorBidi" w:hAnsiTheme="majorBidi" w:cstheme="majorBidi"/>
        </w:rPr>
        <w:t>assets</w:t>
      </w:r>
      <w:r w:rsidR="00A50808">
        <w:rPr>
          <w:rFonts w:asciiTheme="majorBidi" w:hAnsiTheme="majorBidi" w:cstheme="majorBidi"/>
        </w:rPr>
        <w:t>.</w:t>
      </w:r>
      <w:r w:rsidRPr="00B228AF">
        <w:rPr>
          <w:rFonts w:asciiTheme="majorBidi" w:hAnsiTheme="majorBidi" w:cstheme="majorBidi"/>
        </w:rPr>
        <w:t xml:space="preserve"> </w:t>
      </w:r>
    </w:p>
    <w:p w14:paraId="34FBEEC1" w14:textId="24A47125" w:rsidR="00AC12BA" w:rsidRPr="00B228AF" w:rsidRDefault="00AC12BA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00331D6" w14:textId="5852F875" w:rsidR="00111C23" w:rsidRPr="00B228AF" w:rsidRDefault="00111C23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54510B0" w14:textId="0553CFD9" w:rsidR="00612D3F" w:rsidRDefault="00612D3F">
      <w:pPr>
        <w:bidi w:val="0"/>
        <w:rPr>
          <w:rFonts w:asciiTheme="majorBidi" w:hAnsiTheme="majorBidi" w:cstheme="majorBidi"/>
          <w:b/>
          <w:bCs/>
          <w:lang w:eastAsia="zh-CN" w:bidi="ar-SA"/>
        </w:rPr>
      </w:pPr>
      <w:r>
        <w:rPr>
          <w:rFonts w:asciiTheme="majorBidi" w:hAnsiTheme="majorBidi" w:cstheme="majorBidi"/>
        </w:rPr>
        <w:br w:type="page"/>
      </w:r>
    </w:p>
    <w:p w14:paraId="7541D2BB" w14:textId="405B1C8E" w:rsidR="0053542D" w:rsidRPr="00B228AF" w:rsidRDefault="004F34CD" w:rsidP="0053542D">
      <w:pPr>
        <w:pStyle w:val="1"/>
        <w:jc w:val="left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lastRenderedPageBreak/>
        <w:t>3. The portfolio managed by institutional investors</w:t>
      </w:r>
      <w:r w:rsidR="00DF0119" w:rsidRPr="00B228AF">
        <w:rPr>
          <w:rStyle w:val="a8"/>
          <w:rFonts w:asciiTheme="majorBidi" w:hAnsiTheme="majorBidi" w:cstheme="majorBidi"/>
        </w:rPr>
        <w:footnoteReference w:id="1"/>
      </w:r>
    </w:p>
    <w:p w14:paraId="7FA042F6" w14:textId="02634FD4" w:rsidR="00612D3F" w:rsidRDefault="007C2110" w:rsidP="00612D3F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7696" behindDoc="0" locked="0" layoutInCell="1" allowOverlap="1" wp14:anchorId="48CAC927" wp14:editId="1A252631">
            <wp:simplePos x="0" y="0"/>
            <wp:positionH relativeFrom="margin">
              <wp:align>center</wp:align>
            </wp:positionH>
            <wp:positionV relativeFrom="paragraph">
              <wp:posOffset>257703</wp:posOffset>
            </wp:positionV>
            <wp:extent cx="5806440" cy="2583815"/>
            <wp:effectExtent l="0" t="0" r="3810" b="6985"/>
            <wp:wrapSquare wrapText="bothSides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58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E90942B" w14:textId="2D7F021E" w:rsidR="00612D3F" w:rsidRPr="00B228AF" w:rsidRDefault="00612D3F" w:rsidP="00612D3F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798CCDC" w14:textId="171F4BEE" w:rsidR="00E24F21" w:rsidRPr="0083716E" w:rsidRDefault="004F34CD" w:rsidP="00EC4C48">
      <w:pPr>
        <w:pStyle w:val="ab"/>
        <w:numPr>
          <w:ilvl w:val="0"/>
          <w:numId w:val="26"/>
        </w:num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83716E">
        <w:rPr>
          <w:rFonts w:asciiTheme="majorBidi" w:hAnsiTheme="majorBidi" w:cstheme="majorBidi"/>
          <w:b/>
          <w:bCs/>
        </w:rPr>
        <w:t xml:space="preserve">The </w:t>
      </w:r>
      <w:r w:rsidR="006F52CC" w:rsidRPr="0083716E">
        <w:rPr>
          <w:rFonts w:asciiTheme="majorBidi" w:hAnsiTheme="majorBidi" w:cstheme="majorBidi"/>
          <w:b/>
          <w:bCs/>
        </w:rPr>
        <w:t>balance</w:t>
      </w:r>
      <w:r w:rsidRPr="0083716E">
        <w:rPr>
          <w:rFonts w:asciiTheme="majorBidi" w:hAnsiTheme="majorBidi" w:cstheme="majorBidi"/>
          <w:b/>
          <w:bCs/>
        </w:rPr>
        <w:t xml:space="preserve"> of asset</w:t>
      </w:r>
      <w:r w:rsidR="00A906B6">
        <w:rPr>
          <w:rFonts w:asciiTheme="majorBidi" w:hAnsiTheme="majorBidi" w:cstheme="majorBidi"/>
          <w:b/>
          <w:bCs/>
        </w:rPr>
        <w:t xml:space="preserve">s </w:t>
      </w:r>
      <w:r w:rsidRPr="0083716E">
        <w:rPr>
          <w:rFonts w:asciiTheme="majorBidi" w:hAnsiTheme="majorBidi" w:cstheme="majorBidi"/>
          <w:b/>
          <w:bCs/>
        </w:rPr>
        <w:t xml:space="preserve">managed by </w:t>
      </w:r>
      <w:r w:rsidR="00186701" w:rsidRPr="0083716E">
        <w:rPr>
          <w:rFonts w:asciiTheme="majorBidi" w:hAnsiTheme="majorBidi" w:cstheme="majorBidi"/>
          <w:b/>
          <w:bCs/>
        </w:rPr>
        <w:t xml:space="preserve">all </w:t>
      </w:r>
      <w:r w:rsidRPr="0083716E">
        <w:rPr>
          <w:rFonts w:asciiTheme="majorBidi" w:hAnsiTheme="majorBidi" w:cstheme="majorBidi"/>
          <w:b/>
          <w:bCs/>
        </w:rPr>
        <w:t>institutional investors</w:t>
      </w:r>
      <w:r w:rsidRPr="0083716E">
        <w:rPr>
          <w:rFonts w:asciiTheme="majorBidi" w:hAnsiTheme="majorBidi" w:cstheme="majorBidi"/>
        </w:rPr>
        <w:t xml:space="preserve"> </w:t>
      </w:r>
      <w:r w:rsidR="00211E5F" w:rsidRPr="0083716E">
        <w:rPr>
          <w:rFonts w:asciiTheme="majorBidi" w:hAnsiTheme="majorBidi" w:cstheme="majorBidi"/>
        </w:rPr>
        <w:t xml:space="preserve">increased </w:t>
      </w:r>
      <w:r w:rsidR="006A0C03" w:rsidRPr="0083716E">
        <w:rPr>
          <w:rFonts w:asciiTheme="majorBidi" w:hAnsiTheme="majorBidi" w:cstheme="majorBidi"/>
        </w:rPr>
        <w:t xml:space="preserve">in </w:t>
      </w:r>
      <w:r w:rsidR="00C8104F" w:rsidRPr="0083716E">
        <w:rPr>
          <w:rFonts w:asciiTheme="majorBidi" w:hAnsiTheme="majorBidi" w:cstheme="majorBidi"/>
        </w:rPr>
        <w:t xml:space="preserve">the </w:t>
      </w:r>
      <w:r w:rsidR="00EC4C48">
        <w:rPr>
          <w:rFonts w:asciiTheme="majorBidi" w:hAnsiTheme="majorBidi" w:cstheme="majorBidi"/>
        </w:rPr>
        <w:t>second</w:t>
      </w:r>
      <w:r w:rsidR="006919D1" w:rsidRPr="0083716E">
        <w:rPr>
          <w:rFonts w:asciiTheme="majorBidi" w:hAnsiTheme="majorBidi" w:cstheme="majorBidi"/>
        </w:rPr>
        <w:t xml:space="preserve"> quarter</w:t>
      </w:r>
      <w:r w:rsidR="00850C5D" w:rsidRPr="0083716E">
        <w:rPr>
          <w:rFonts w:asciiTheme="majorBidi" w:hAnsiTheme="majorBidi" w:cstheme="majorBidi"/>
        </w:rPr>
        <w:t xml:space="preserve"> </w:t>
      </w:r>
      <w:r w:rsidR="0015326A" w:rsidRPr="0083716E">
        <w:rPr>
          <w:rFonts w:asciiTheme="majorBidi" w:hAnsiTheme="majorBidi" w:cstheme="majorBidi"/>
        </w:rPr>
        <w:t xml:space="preserve">by about NIS </w:t>
      </w:r>
      <w:r w:rsidR="00EC4C48">
        <w:rPr>
          <w:rFonts w:asciiTheme="majorBidi" w:hAnsiTheme="majorBidi" w:cstheme="majorBidi"/>
        </w:rPr>
        <w:t>94</w:t>
      </w:r>
      <w:r w:rsidR="00211E5F" w:rsidRPr="0083716E">
        <w:rPr>
          <w:rFonts w:asciiTheme="majorBidi" w:hAnsiTheme="majorBidi" w:cstheme="majorBidi"/>
        </w:rPr>
        <w:t xml:space="preserve"> </w:t>
      </w:r>
      <w:r w:rsidR="001648C9" w:rsidRPr="0083716E">
        <w:rPr>
          <w:rFonts w:asciiTheme="majorBidi" w:hAnsiTheme="majorBidi" w:cstheme="majorBidi"/>
        </w:rPr>
        <w:t>billion</w:t>
      </w:r>
      <w:r w:rsidR="00CF4334" w:rsidRPr="0083716E">
        <w:rPr>
          <w:rFonts w:asciiTheme="majorBidi" w:hAnsiTheme="majorBidi" w:cstheme="majorBidi"/>
        </w:rPr>
        <w:t xml:space="preserve"> (</w:t>
      </w:r>
      <w:r w:rsidR="00EC4C48">
        <w:rPr>
          <w:rFonts w:asciiTheme="majorBidi" w:hAnsiTheme="majorBidi" w:cstheme="majorBidi"/>
        </w:rPr>
        <w:t>4</w:t>
      </w:r>
      <w:r w:rsidR="004D7118" w:rsidRPr="0083716E">
        <w:rPr>
          <w:rFonts w:asciiTheme="majorBidi" w:hAnsiTheme="majorBidi" w:cstheme="majorBidi"/>
        </w:rPr>
        <w:t xml:space="preserve"> </w:t>
      </w:r>
      <w:r w:rsidR="00CF4334" w:rsidRPr="0083716E">
        <w:rPr>
          <w:rFonts w:asciiTheme="majorBidi" w:hAnsiTheme="majorBidi" w:cstheme="majorBidi"/>
        </w:rPr>
        <w:t>percent</w:t>
      </w:r>
      <w:r w:rsidR="00681F56" w:rsidRPr="0083716E">
        <w:rPr>
          <w:rFonts w:asciiTheme="majorBidi" w:hAnsiTheme="majorBidi" w:cstheme="majorBidi"/>
        </w:rPr>
        <w:t>)</w:t>
      </w:r>
      <w:r w:rsidR="008442B0" w:rsidRPr="0083716E">
        <w:rPr>
          <w:rFonts w:asciiTheme="majorBidi" w:hAnsiTheme="majorBidi" w:cstheme="majorBidi"/>
        </w:rPr>
        <w:t xml:space="preserve">, </w:t>
      </w:r>
      <w:r w:rsidR="0015326A" w:rsidRPr="0083716E">
        <w:rPr>
          <w:rFonts w:asciiTheme="majorBidi" w:hAnsiTheme="majorBidi" w:cstheme="majorBidi"/>
        </w:rPr>
        <w:t xml:space="preserve">to about NIS </w:t>
      </w:r>
      <w:r w:rsidR="00E24F21" w:rsidRPr="0083716E">
        <w:rPr>
          <w:rFonts w:asciiTheme="majorBidi" w:hAnsiTheme="majorBidi" w:cstheme="majorBidi"/>
        </w:rPr>
        <w:t>2.</w:t>
      </w:r>
      <w:r w:rsidR="00EC4C48">
        <w:rPr>
          <w:rFonts w:asciiTheme="majorBidi" w:hAnsiTheme="majorBidi" w:cstheme="majorBidi"/>
        </w:rPr>
        <w:t>42</w:t>
      </w:r>
      <w:r w:rsidR="008E0DEA" w:rsidRPr="0083716E">
        <w:rPr>
          <w:rFonts w:asciiTheme="majorBidi" w:hAnsiTheme="majorBidi" w:cstheme="majorBidi"/>
        </w:rPr>
        <w:t xml:space="preserve"> </w:t>
      </w:r>
      <w:r w:rsidR="0015326A" w:rsidRPr="0083716E">
        <w:rPr>
          <w:rFonts w:asciiTheme="majorBidi" w:hAnsiTheme="majorBidi" w:cstheme="majorBidi"/>
        </w:rPr>
        <w:t>trillion</w:t>
      </w:r>
      <w:r w:rsidR="008D2F94" w:rsidRPr="0083716E">
        <w:rPr>
          <w:rFonts w:asciiTheme="majorBidi" w:hAnsiTheme="majorBidi" w:cstheme="majorBidi"/>
        </w:rPr>
        <w:t xml:space="preserve"> (about 4</w:t>
      </w:r>
      <w:r w:rsidR="00C14D26">
        <w:rPr>
          <w:rFonts w:asciiTheme="majorBidi" w:hAnsiTheme="majorBidi" w:cstheme="majorBidi"/>
        </w:rPr>
        <w:t>8</w:t>
      </w:r>
      <w:r w:rsidR="008D2F94" w:rsidRPr="0083716E">
        <w:rPr>
          <w:rFonts w:asciiTheme="majorBidi" w:hAnsiTheme="majorBidi" w:cstheme="majorBidi"/>
        </w:rPr>
        <w:t xml:space="preserve"> percent of the public’s </w:t>
      </w:r>
      <w:r w:rsidR="00E34ED5" w:rsidRPr="0083716E">
        <w:rPr>
          <w:rFonts w:asciiTheme="majorBidi" w:hAnsiTheme="majorBidi" w:cstheme="majorBidi"/>
        </w:rPr>
        <w:t xml:space="preserve">total </w:t>
      </w:r>
      <w:r w:rsidR="008D2F94" w:rsidRPr="0083716E">
        <w:rPr>
          <w:rFonts w:asciiTheme="majorBidi" w:hAnsiTheme="majorBidi" w:cstheme="majorBidi"/>
        </w:rPr>
        <w:t>financial assets portfolio)</w:t>
      </w:r>
      <w:r w:rsidR="00E24F21" w:rsidRPr="0083716E">
        <w:rPr>
          <w:rFonts w:asciiTheme="majorBidi" w:hAnsiTheme="majorBidi" w:cstheme="majorBidi"/>
        </w:rPr>
        <w:t>.</w:t>
      </w:r>
      <w:r w:rsidR="008D2F94" w:rsidRPr="0083716E">
        <w:rPr>
          <w:rFonts w:asciiTheme="majorBidi" w:hAnsiTheme="majorBidi" w:cstheme="majorBidi"/>
        </w:rPr>
        <w:t xml:space="preserve"> </w:t>
      </w:r>
      <w:r w:rsidR="000F5D12" w:rsidRPr="0083716E">
        <w:rPr>
          <w:rFonts w:asciiTheme="majorBidi" w:hAnsiTheme="majorBidi" w:cstheme="majorBidi"/>
        </w:rPr>
        <w:t xml:space="preserve">The </w:t>
      </w:r>
      <w:r w:rsidR="008E0DEA" w:rsidRPr="0083716E">
        <w:rPr>
          <w:rFonts w:asciiTheme="majorBidi" w:hAnsiTheme="majorBidi" w:cstheme="majorBidi"/>
        </w:rPr>
        <w:t xml:space="preserve">increase </w:t>
      </w:r>
      <w:r w:rsidR="000F5D12" w:rsidRPr="0083716E">
        <w:rPr>
          <w:rFonts w:asciiTheme="majorBidi" w:hAnsiTheme="majorBidi" w:cstheme="majorBidi"/>
        </w:rPr>
        <w:t xml:space="preserve">in the balance </w:t>
      </w:r>
      <w:r w:rsidR="00CB0861" w:rsidRPr="0083716E">
        <w:rPr>
          <w:rFonts w:asciiTheme="majorBidi" w:hAnsiTheme="majorBidi" w:cstheme="majorBidi"/>
        </w:rPr>
        <w:t>encompassed</w:t>
      </w:r>
      <w:r w:rsidR="000F5D12" w:rsidRPr="0083716E">
        <w:rPr>
          <w:rFonts w:asciiTheme="majorBidi" w:hAnsiTheme="majorBidi" w:cstheme="majorBidi"/>
        </w:rPr>
        <w:t xml:space="preserve"> </w:t>
      </w:r>
      <w:r w:rsidR="00C14D26">
        <w:rPr>
          <w:rFonts w:asciiTheme="majorBidi" w:hAnsiTheme="majorBidi" w:cstheme="majorBidi"/>
        </w:rPr>
        <w:t>all</w:t>
      </w:r>
      <w:r w:rsidR="00E53870" w:rsidRPr="0083716E">
        <w:rPr>
          <w:rFonts w:asciiTheme="majorBidi" w:hAnsiTheme="majorBidi" w:cstheme="majorBidi"/>
        </w:rPr>
        <w:t xml:space="preserve"> </w:t>
      </w:r>
      <w:r w:rsidR="000F5D12" w:rsidRPr="0083716E">
        <w:rPr>
          <w:rFonts w:asciiTheme="majorBidi" w:hAnsiTheme="majorBidi" w:cstheme="majorBidi"/>
        </w:rPr>
        <w:t>institutional investors</w:t>
      </w:r>
      <w:r w:rsidR="00EF3550" w:rsidRPr="0083716E">
        <w:rPr>
          <w:rFonts w:asciiTheme="majorBidi" w:hAnsiTheme="majorBidi" w:cstheme="majorBidi"/>
        </w:rPr>
        <w:t xml:space="preserve">. </w:t>
      </w:r>
      <w:r w:rsidR="00FF72BA" w:rsidRPr="0083716E">
        <w:rPr>
          <w:rFonts w:asciiTheme="majorBidi" w:hAnsiTheme="majorBidi" w:cstheme="majorBidi"/>
        </w:rPr>
        <w:t xml:space="preserve">The </w:t>
      </w:r>
      <w:r w:rsidR="0083716E" w:rsidRPr="0083716E">
        <w:rPr>
          <w:rFonts w:asciiTheme="majorBidi" w:hAnsiTheme="majorBidi" w:cstheme="majorBidi"/>
        </w:rPr>
        <w:t xml:space="preserve">increase </w:t>
      </w:r>
      <w:r w:rsidR="000F5D12" w:rsidRPr="0083716E">
        <w:rPr>
          <w:rFonts w:asciiTheme="majorBidi" w:hAnsiTheme="majorBidi" w:cstheme="majorBidi"/>
        </w:rPr>
        <w:t xml:space="preserve">in the </w:t>
      </w:r>
      <w:r w:rsidR="00CB0861" w:rsidRPr="0083716E">
        <w:rPr>
          <w:rFonts w:asciiTheme="majorBidi" w:hAnsiTheme="majorBidi" w:cstheme="majorBidi"/>
        </w:rPr>
        <w:t xml:space="preserve">balance of the </w:t>
      </w:r>
      <w:r w:rsidR="000F5D12" w:rsidRPr="0083716E">
        <w:rPr>
          <w:rFonts w:asciiTheme="majorBidi" w:hAnsiTheme="majorBidi" w:cstheme="majorBidi"/>
        </w:rPr>
        <w:t xml:space="preserve">managed portfolio during the quarter </w:t>
      </w:r>
      <w:r w:rsidR="00C14D26">
        <w:rPr>
          <w:rFonts w:asciiTheme="majorBidi" w:hAnsiTheme="majorBidi" w:cstheme="majorBidi"/>
        </w:rPr>
        <w:t>was</w:t>
      </w:r>
      <w:r w:rsidR="00F05378">
        <w:rPr>
          <w:rFonts w:asciiTheme="majorBidi" w:hAnsiTheme="majorBidi" w:cstheme="majorBidi"/>
        </w:rPr>
        <w:t xml:space="preserve"> </w:t>
      </w:r>
      <w:r w:rsidR="000F5D12" w:rsidRPr="0083716E">
        <w:rPr>
          <w:rFonts w:asciiTheme="majorBidi" w:hAnsiTheme="majorBidi" w:cstheme="majorBidi"/>
        </w:rPr>
        <w:t>mainly</w:t>
      </w:r>
      <w:r w:rsidR="00FF72BA" w:rsidRPr="0083716E">
        <w:rPr>
          <w:rFonts w:asciiTheme="majorBidi" w:hAnsiTheme="majorBidi" w:cstheme="majorBidi"/>
        </w:rPr>
        <w:t xml:space="preserve"> </w:t>
      </w:r>
      <w:r w:rsidR="00C14D26">
        <w:rPr>
          <w:rFonts w:asciiTheme="majorBidi" w:hAnsiTheme="majorBidi" w:cstheme="majorBidi"/>
        </w:rPr>
        <w:t xml:space="preserve">due to </w:t>
      </w:r>
      <w:r w:rsidR="004D7118" w:rsidRPr="0083716E">
        <w:rPr>
          <w:rFonts w:asciiTheme="majorBidi" w:hAnsiTheme="majorBidi" w:cstheme="majorBidi"/>
        </w:rPr>
        <w:t>changes</w:t>
      </w:r>
      <w:r w:rsidR="00F233D2" w:rsidRPr="0083716E">
        <w:rPr>
          <w:rFonts w:asciiTheme="majorBidi" w:hAnsiTheme="majorBidi" w:cstheme="majorBidi"/>
        </w:rPr>
        <w:t xml:space="preserve"> </w:t>
      </w:r>
      <w:r w:rsidR="00E24F21" w:rsidRPr="0083716E">
        <w:rPr>
          <w:rFonts w:asciiTheme="majorBidi" w:hAnsiTheme="majorBidi" w:cstheme="majorBidi"/>
        </w:rPr>
        <w:t xml:space="preserve">in the following investment components: </w:t>
      </w:r>
      <w:r w:rsidR="00C14D26">
        <w:rPr>
          <w:rFonts w:asciiTheme="majorBidi" w:hAnsiTheme="majorBidi" w:cstheme="majorBidi"/>
        </w:rPr>
        <w:t xml:space="preserve">equities abroad—an increase of about NIS </w:t>
      </w:r>
      <w:r w:rsidR="00EC4C48">
        <w:rPr>
          <w:rFonts w:asciiTheme="majorBidi" w:hAnsiTheme="majorBidi" w:cstheme="majorBidi"/>
        </w:rPr>
        <w:t>12.5</w:t>
      </w:r>
      <w:r w:rsidR="00C14D26">
        <w:rPr>
          <w:rFonts w:asciiTheme="majorBidi" w:hAnsiTheme="majorBidi" w:cstheme="majorBidi"/>
        </w:rPr>
        <w:t xml:space="preserve"> billion (</w:t>
      </w:r>
      <w:r w:rsidR="00EC4C48">
        <w:rPr>
          <w:rFonts w:asciiTheme="majorBidi" w:hAnsiTheme="majorBidi" w:cstheme="majorBidi"/>
        </w:rPr>
        <w:t>8.6</w:t>
      </w:r>
      <w:r w:rsidR="00C14D26">
        <w:rPr>
          <w:rFonts w:asciiTheme="majorBidi" w:hAnsiTheme="majorBidi" w:cstheme="majorBidi"/>
        </w:rPr>
        <w:t xml:space="preserve"> percent), mainly due to price increases; </w:t>
      </w:r>
      <w:r w:rsidR="0083716E" w:rsidRPr="0083716E">
        <w:rPr>
          <w:rFonts w:asciiTheme="majorBidi" w:hAnsiTheme="majorBidi" w:cstheme="majorBidi"/>
        </w:rPr>
        <w:t xml:space="preserve">bonds abroad—an increase of about NIS </w:t>
      </w:r>
      <w:r w:rsidR="00EC4C48">
        <w:rPr>
          <w:rFonts w:asciiTheme="majorBidi" w:hAnsiTheme="majorBidi" w:cstheme="majorBidi"/>
        </w:rPr>
        <w:t>8</w:t>
      </w:r>
      <w:r w:rsidR="00C14D26">
        <w:rPr>
          <w:rFonts w:asciiTheme="majorBidi" w:hAnsiTheme="majorBidi" w:cstheme="majorBidi"/>
        </w:rPr>
        <w:t>.4</w:t>
      </w:r>
      <w:r w:rsidR="0083716E" w:rsidRPr="0083716E">
        <w:rPr>
          <w:rFonts w:asciiTheme="majorBidi" w:hAnsiTheme="majorBidi" w:cstheme="majorBidi"/>
        </w:rPr>
        <w:t xml:space="preserve"> billion (</w:t>
      </w:r>
      <w:r w:rsidR="00EC4C48">
        <w:rPr>
          <w:rFonts w:asciiTheme="majorBidi" w:hAnsiTheme="majorBidi" w:cstheme="majorBidi"/>
        </w:rPr>
        <w:t>10.5</w:t>
      </w:r>
      <w:r w:rsidR="0083716E" w:rsidRPr="0083716E">
        <w:rPr>
          <w:rFonts w:asciiTheme="majorBidi" w:hAnsiTheme="majorBidi" w:cstheme="majorBidi"/>
        </w:rPr>
        <w:t xml:space="preserve"> percent), </w:t>
      </w:r>
      <w:r w:rsidR="00EC4C48">
        <w:rPr>
          <w:rFonts w:asciiTheme="majorBidi" w:hAnsiTheme="majorBidi" w:cstheme="majorBidi"/>
        </w:rPr>
        <w:t xml:space="preserve">mainly </w:t>
      </w:r>
      <w:r w:rsidR="0083716E" w:rsidRPr="0083716E">
        <w:rPr>
          <w:rFonts w:asciiTheme="majorBidi" w:hAnsiTheme="majorBidi" w:cstheme="majorBidi"/>
        </w:rPr>
        <w:t xml:space="preserve">as a </w:t>
      </w:r>
      <w:r w:rsidR="00F05378">
        <w:rPr>
          <w:rFonts w:asciiTheme="majorBidi" w:hAnsiTheme="majorBidi" w:cstheme="majorBidi"/>
        </w:rPr>
        <w:t xml:space="preserve">result </w:t>
      </w:r>
      <w:r w:rsidR="0083716E" w:rsidRPr="0083716E">
        <w:rPr>
          <w:rFonts w:asciiTheme="majorBidi" w:hAnsiTheme="majorBidi" w:cstheme="majorBidi"/>
        </w:rPr>
        <w:t>of net purcha</w:t>
      </w:r>
      <w:r w:rsidR="00F05378">
        <w:rPr>
          <w:rFonts w:asciiTheme="majorBidi" w:hAnsiTheme="majorBidi" w:cstheme="majorBidi"/>
        </w:rPr>
        <w:t>ses</w:t>
      </w:r>
      <w:r w:rsidR="0083716E" w:rsidRPr="0083716E">
        <w:rPr>
          <w:rFonts w:asciiTheme="majorBidi" w:hAnsiTheme="majorBidi" w:cstheme="majorBidi"/>
        </w:rPr>
        <w:t>;</w:t>
      </w:r>
      <w:r w:rsidR="0083716E">
        <w:rPr>
          <w:rFonts w:asciiTheme="majorBidi" w:hAnsiTheme="majorBidi" w:cstheme="majorBidi"/>
        </w:rPr>
        <w:t xml:space="preserve"> </w:t>
      </w:r>
      <w:r w:rsidR="00A50808" w:rsidRPr="0083716E">
        <w:rPr>
          <w:rFonts w:asciiTheme="majorBidi" w:hAnsiTheme="majorBidi" w:cstheme="majorBidi"/>
        </w:rPr>
        <w:t xml:space="preserve">equities </w:t>
      </w:r>
      <w:r w:rsidR="0083716E">
        <w:rPr>
          <w:rFonts w:asciiTheme="majorBidi" w:hAnsiTheme="majorBidi" w:cstheme="majorBidi"/>
        </w:rPr>
        <w:t>in Israel</w:t>
      </w:r>
      <w:r w:rsidR="00A50808" w:rsidRPr="0083716E">
        <w:rPr>
          <w:rFonts w:asciiTheme="majorBidi" w:hAnsiTheme="majorBidi" w:cstheme="majorBidi"/>
        </w:rPr>
        <w:t>—a</w:t>
      </w:r>
      <w:r w:rsidR="00EC4C48">
        <w:rPr>
          <w:rFonts w:asciiTheme="majorBidi" w:hAnsiTheme="majorBidi" w:cstheme="majorBidi"/>
        </w:rPr>
        <w:t>n increase</w:t>
      </w:r>
      <w:r w:rsidR="000D2D34">
        <w:rPr>
          <w:rFonts w:asciiTheme="majorBidi" w:hAnsiTheme="majorBidi" w:cstheme="majorBidi"/>
        </w:rPr>
        <w:t xml:space="preserve"> </w:t>
      </w:r>
      <w:r w:rsidR="00A50808" w:rsidRPr="0083716E">
        <w:rPr>
          <w:rFonts w:asciiTheme="majorBidi" w:hAnsiTheme="majorBidi" w:cstheme="majorBidi"/>
        </w:rPr>
        <w:t xml:space="preserve">of about NIS </w:t>
      </w:r>
      <w:r w:rsidR="00C14D26">
        <w:rPr>
          <w:rFonts w:asciiTheme="majorBidi" w:hAnsiTheme="majorBidi" w:cstheme="majorBidi"/>
        </w:rPr>
        <w:t>7</w:t>
      </w:r>
      <w:r w:rsidR="0083716E">
        <w:rPr>
          <w:rFonts w:asciiTheme="majorBidi" w:hAnsiTheme="majorBidi" w:cstheme="majorBidi"/>
        </w:rPr>
        <w:t>.</w:t>
      </w:r>
      <w:r w:rsidR="00EC4C48">
        <w:rPr>
          <w:rFonts w:asciiTheme="majorBidi" w:hAnsiTheme="majorBidi" w:cstheme="majorBidi"/>
        </w:rPr>
        <w:t>6</w:t>
      </w:r>
      <w:r w:rsidR="0083716E">
        <w:rPr>
          <w:rFonts w:asciiTheme="majorBidi" w:hAnsiTheme="majorBidi" w:cstheme="majorBidi"/>
        </w:rPr>
        <w:t xml:space="preserve"> </w:t>
      </w:r>
      <w:r w:rsidR="00A50808" w:rsidRPr="0083716E">
        <w:rPr>
          <w:rFonts w:asciiTheme="majorBidi" w:hAnsiTheme="majorBidi" w:cstheme="majorBidi"/>
        </w:rPr>
        <w:t>billion (</w:t>
      </w:r>
      <w:r w:rsidR="00EC4C48">
        <w:rPr>
          <w:rFonts w:asciiTheme="majorBidi" w:hAnsiTheme="majorBidi" w:cstheme="majorBidi"/>
        </w:rPr>
        <w:t>3.</w:t>
      </w:r>
      <w:r w:rsidR="00C14D26">
        <w:rPr>
          <w:rFonts w:asciiTheme="majorBidi" w:hAnsiTheme="majorBidi" w:cstheme="majorBidi"/>
        </w:rPr>
        <w:t>7</w:t>
      </w:r>
      <w:r w:rsidR="0083716E">
        <w:rPr>
          <w:rFonts w:asciiTheme="majorBidi" w:hAnsiTheme="majorBidi" w:cstheme="majorBidi"/>
        </w:rPr>
        <w:t xml:space="preserve"> </w:t>
      </w:r>
      <w:r w:rsidR="00A50808" w:rsidRPr="0083716E">
        <w:rPr>
          <w:rFonts w:asciiTheme="majorBidi" w:hAnsiTheme="majorBidi" w:cstheme="majorBidi"/>
        </w:rPr>
        <w:t xml:space="preserve">percent), mainly due to price </w:t>
      </w:r>
      <w:r w:rsidR="00EC4C48">
        <w:rPr>
          <w:rFonts w:asciiTheme="majorBidi" w:hAnsiTheme="majorBidi" w:cstheme="majorBidi"/>
        </w:rPr>
        <w:t>increases</w:t>
      </w:r>
      <w:r w:rsidR="00C14D26">
        <w:rPr>
          <w:rFonts w:asciiTheme="majorBidi" w:hAnsiTheme="majorBidi" w:cstheme="majorBidi"/>
        </w:rPr>
        <w:t xml:space="preserve">; and </w:t>
      </w:r>
      <w:r w:rsidR="00EC4C48">
        <w:rPr>
          <w:rFonts w:asciiTheme="majorBidi" w:hAnsiTheme="majorBidi" w:cstheme="majorBidi"/>
        </w:rPr>
        <w:t>corporate bonds</w:t>
      </w:r>
      <w:r w:rsidR="00C14D26" w:rsidRPr="0083716E">
        <w:rPr>
          <w:rFonts w:asciiTheme="majorBidi" w:hAnsiTheme="majorBidi" w:cstheme="majorBidi"/>
        </w:rPr>
        <w:t xml:space="preserve"> in Israel—a</w:t>
      </w:r>
      <w:r w:rsidR="00EC4C48">
        <w:rPr>
          <w:rFonts w:asciiTheme="majorBidi" w:hAnsiTheme="majorBidi" w:cstheme="majorBidi"/>
        </w:rPr>
        <w:t>n increase</w:t>
      </w:r>
      <w:r w:rsidR="00C14D26" w:rsidRPr="0083716E">
        <w:rPr>
          <w:rFonts w:asciiTheme="majorBidi" w:hAnsiTheme="majorBidi" w:cstheme="majorBidi"/>
        </w:rPr>
        <w:t xml:space="preserve"> of about NIS </w:t>
      </w:r>
      <w:r w:rsidR="00EC4C48">
        <w:rPr>
          <w:rFonts w:asciiTheme="majorBidi" w:hAnsiTheme="majorBidi" w:cstheme="majorBidi"/>
        </w:rPr>
        <w:t>7.2</w:t>
      </w:r>
      <w:r w:rsidR="00C14D26" w:rsidRPr="0083716E">
        <w:rPr>
          <w:rFonts w:asciiTheme="majorBidi" w:hAnsiTheme="majorBidi" w:cstheme="majorBidi"/>
        </w:rPr>
        <w:t xml:space="preserve"> billion (</w:t>
      </w:r>
      <w:r w:rsidR="00EC4C48">
        <w:rPr>
          <w:rFonts w:asciiTheme="majorBidi" w:hAnsiTheme="majorBidi" w:cstheme="majorBidi"/>
        </w:rPr>
        <w:t>4.1</w:t>
      </w:r>
      <w:r w:rsidR="00C14D26" w:rsidRPr="0083716E">
        <w:rPr>
          <w:rFonts w:asciiTheme="majorBidi" w:hAnsiTheme="majorBidi" w:cstheme="majorBidi"/>
        </w:rPr>
        <w:t xml:space="preserve"> percent)</w:t>
      </w:r>
      <w:r w:rsidR="00EC4C48">
        <w:rPr>
          <w:rFonts w:asciiTheme="majorBidi" w:hAnsiTheme="majorBidi" w:cstheme="majorBidi"/>
        </w:rPr>
        <w:t xml:space="preserve"> due to net purchases and price increases</w:t>
      </w:r>
      <w:r w:rsidR="00C14D26">
        <w:rPr>
          <w:rFonts w:asciiTheme="majorBidi" w:hAnsiTheme="majorBidi" w:cstheme="majorBidi"/>
        </w:rPr>
        <w:t>.</w:t>
      </w:r>
    </w:p>
    <w:p w14:paraId="6FEC0E4D" w14:textId="40383A43" w:rsidR="002B4397" w:rsidRPr="00B228AF" w:rsidRDefault="002B4397" w:rsidP="002B4397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5802A2B" w14:textId="234A99EE" w:rsidR="004A407B" w:rsidRPr="00E838E5" w:rsidRDefault="004A407B" w:rsidP="001C09C8">
      <w:pPr>
        <w:pStyle w:val="ab"/>
        <w:numPr>
          <w:ilvl w:val="0"/>
          <w:numId w:val="25"/>
        </w:num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E838E5">
        <w:rPr>
          <w:rFonts w:asciiTheme="majorBidi" w:hAnsiTheme="majorBidi" w:cstheme="majorBidi"/>
          <w:b/>
          <w:bCs/>
        </w:rPr>
        <w:t>Exposure</w:t>
      </w:r>
      <w:r w:rsidR="00240F5E" w:rsidRPr="00E838E5">
        <w:rPr>
          <w:rFonts w:asciiTheme="majorBidi" w:hAnsiTheme="majorBidi" w:cstheme="majorBidi"/>
          <w:b/>
          <w:bCs/>
        </w:rPr>
        <w:t xml:space="preserve"> of the portfolio managed by institutional investors</w:t>
      </w:r>
      <w:r w:rsidRPr="00E838E5">
        <w:rPr>
          <w:rStyle w:val="a8"/>
          <w:rFonts w:asciiTheme="majorBidi" w:hAnsiTheme="majorBidi" w:cstheme="majorBidi"/>
          <w:b/>
          <w:bCs/>
        </w:rPr>
        <w:footnoteReference w:id="2"/>
      </w:r>
      <w:r w:rsidRPr="00E838E5">
        <w:rPr>
          <w:rFonts w:asciiTheme="majorBidi" w:hAnsiTheme="majorBidi" w:cstheme="majorBidi"/>
          <w:b/>
          <w:bCs/>
        </w:rPr>
        <w:t xml:space="preserve"> to foreign assets</w:t>
      </w:r>
      <w:r w:rsidR="00E04B4A" w:rsidRPr="00E838E5">
        <w:rPr>
          <w:rFonts w:asciiTheme="majorBidi" w:hAnsiTheme="majorBidi" w:cstheme="majorBidi"/>
          <w:b/>
          <w:bCs/>
        </w:rPr>
        <w:t xml:space="preserve"> and to foreign currency</w:t>
      </w:r>
    </w:p>
    <w:p w14:paraId="50DEA6A3" w14:textId="5AA90D94" w:rsidR="004A407B" w:rsidRPr="00D13712" w:rsidRDefault="004A407B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9AE2C76" w14:textId="2242DC0A" w:rsidR="00FF72BA" w:rsidRPr="00D13712" w:rsidRDefault="00EB7E20" w:rsidP="00703E74">
      <w:p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D13712">
        <w:rPr>
          <w:rFonts w:asciiTheme="majorBidi" w:hAnsiTheme="majorBidi" w:cstheme="majorBidi"/>
        </w:rPr>
        <w:t xml:space="preserve">In the </w:t>
      </w:r>
      <w:r w:rsidR="00703E74">
        <w:rPr>
          <w:rFonts w:asciiTheme="majorBidi" w:hAnsiTheme="majorBidi" w:cstheme="majorBidi"/>
        </w:rPr>
        <w:t>second</w:t>
      </w:r>
      <w:r w:rsidR="006919D1" w:rsidRPr="00D13712">
        <w:rPr>
          <w:rFonts w:asciiTheme="majorBidi" w:hAnsiTheme="majorBidi" w:cstheme="majorBidi"/>
        </w:rPr>
        <w:t xml:space="preserve"> quarter</w:t>
      </w:r>
      <w:r w:rsidRPr="00D13712">
        <w:rPr>
          <w:rFonts w:asciiTheme="majorBidi" w:hAnsiTheme="majorBidi" w:cstheme="majorBidi"/>
        </w:rPr>
        <w:t xml:space="preserve"> of </w:t>
      </w:r>
      <w:r w:rsidR="00D223DE">
        <w:rPr>
          <w:rFonts w:asciiTheme="majorBidi" w:hAnsiTheme="majorBidi" w:cstheme="majorBidi"/>
        </w:rPr>
        <w:t>2023</w:t>
      </w:r>
      <w:r w:rsidRPr="00D13712">
        <w:rPr>
          <w:rFonts w:asciiTheme="majorBidi" w:hAnsiTheme="majorBidi" w:cstheme="majorBidi"/>
        </w:rPr>
        <w:t xml:space="preserve">, </w:t>
      </w:r>
      <w:r w:rsidR="00CB0861" w:rsidRPr="00D13712">
        <w:rPr>
          <w:rFonts w:asciiTheme="majorBidi" w:hAnsiTheme="majorBidi" w:cstheme="majorBidi"/>
        </w:rPr>
        <w:t xml:space="preserve">the </w:t>
      </w:r>
      <w:r w:rsidR="00C14D26">
        <w:rPr>
          <w:rFonts w:asciiTheme="majorBidi" w:hAnsiTheme="majorBidi" w:cstheme="majorBidi"/>
        </w:rPr>
        <w:t>rate</w:t>
      </w:r>
      <w:r w:rsidR="00CB0861" w:rsidRPr="00D13712">
        <w:rPr>
          <w:rFonts w:asciiTheme="majorBidi" w:hAnsiTheme="majorBidi" w:cstheme="majorBidi"/>
        </w:rPr>
        <w:t xml:space="preserve"> of </w:t>
      </w:r>
      <w:r w:rsidRPr="00D13712">
        <w:rPr>
          <w:rFonts w:asciiTheme="majorBidi" w:hAnsiTheme="majorBidi" w:cstheme="majorBidi"/>
        </w:rPr>
        <w:t>institutional investors</w:t>
      </w:r>
      <w:r w:rsidR="00CB0861" w:rsidRPr="00D13712">
        <w:rPr>
          <w:rFonts w:asciiTheme="majorBidi" w:hAnsiTheme="majorBidi" w:cstheme="majorBidi"/>
        </w:rPr>
        <w:t>’</w:t>
      </w:r>
      <w:r w:rsidR="00D15E31" w:rsidRPr="00D13712">
        <w:rPr>
          <w:rFonts w:asciiTheme="majorBidi" w:hAnsiTheme="majorBidi" w:cstheme="majorBidi"/>
        </w:rPr>
        <w:t xml:space="preserve"> </w:t>
      </w:r>
      <w:r w:rsidRPr="00D13712">
        <w:rPr>
          <w:rFonts w:asciiTheme="majorBidi" w:hAnsiTheme="majorBidi" w:cstheme="majorBidi"/>
        </w:rPr>
        <w:t>exposure to foreign assets</w:t>
      </w:r>
      <w:r w:rsidR="00CB0861" w:rsidRPr="00D13712">
        <w:rPr>
          <w:rFonts w:asciiTheme="majorBidi" w:hAnsiTheme="majorBidi" w:cstheme="majorBidi"/>
        </w:rPr>
        <w:t xml:space="preserve"> </w:t>
      </w:r>
      <w:r w:rsidR="00BB5A5B">
        <w:rPr>
          <w:rFonts w:asciiTheme="majorBidi" w:hAnsiTheme="majorBidi" w:cstheme="majorBidi"/>
        </w:rPr>
        <w:t xml:space="preserve">increased </w:t>
      </w:r>
      <w:r w:rsidR="00B46EB5" w:rsidRPr="00D13712">
        <w:rPr>
          <w:rFonts w:asciiTheme="majorBidi" w:hAnsiTheme="majorBidi" w:cstheme="majorBidi"/>
        </w:rPr>
        <w:t xml:space="preserve">by about </w:t>
      </w:r>
      <w:r w:rsidR="00703E74">
        <w:rPr>
          <w:rFonts w:asciiTheme="majorBidi" w:hAnsiTheme="majorBidi" w:cstheme="majorBidi"/>
        </w:rPr>
        <w:t>1</w:t>
      </w:r>
      <w:r w:rsidR="00C14D26">
        <w:rPr>
          <w:rFonts w:asciiTheme="majorBidi" w:hAnsiTheme="majorBidi" w:cstheme="majorBidi"/>
        </w:rPr>
        <w:t>.6</w:t>
      </w:r>
      <w:r w:rsidR="00D8221C" w:rsidRPr="00D13712">
        <w:rPr>
          <w:rFonts w:asciiTheme="majorBidi" w:hAnsiTheme="majorBidi" w:cstheme="majorBidi"/>
        </w:rPr>
        <w:t xml:space="preserve"> </w:t>
      </w:r>
      <w:r w:rsidR="00B46EB5" w:rsidRPr="00D13712">
        <w:rPr>
          <w:rFonts w:asciiTheme="majorBidi" w:hAnsiTheme="majorBidi" w:cstheme="majorBidi"/>
        </w:rPr>
        <w:t>percentage points</w:t>
      </w:r>
      <w:r w:rsidR="00D15E31" w:rsidRPr="00D13712">
        <w:rPr>
          <w:rFonts w:asciiTheme="majorBidi" w:hAnsiTheme="majorBidi" w:cstheme="majorBidi"/>
        </w:rPr>
        <w:t>,</w:t>
      </w:r>
      <w:r w:rsidR="00B46EB5" w:rsidRPr="00D13712">
        <w:rPr>
          <w:rFonts w:asciiTheme="majorBidi" w:hAnsiTheme="majorBidi" w:cstheme="majorBidi"/>
        </w:rPr>
        <w:t xml:space="preserve"> to about </w:t>
      </w:r>
      <w:r w:rsidR="00C14D26">
        <w:rPr>
          <w:rFonts w:asciiTheme="majorBidi" w:hAnsiTheme="majorBidi" w:cstheme="majorBidi"/>
        </w:rPr>
        <w:t>4</w:t>
      </w:r>
      <w:r w:rsidR="00703E74">
        <w:rPr>
          <w:rFonts w:asciiTheme="majorBidi" w:hAnsiTheme="majorBidi" w:cstheme="majorBidi"/>
        </w:rPr>
        <w:t>1.9</w:t>
      </w:r>
      <w:r w:rsidR="00BB5A5B">
        <w:rPr>
          <w:rFonts w:asciiTheme="majorBidi" w:hAnsiTheme="majorBidi" w:cstheme="majorBidi"/>
        </w:rPr>
        <w:t xml:space="preserve"> percent </w:t>
      </w:r>
      <w:r w:rsidR="00B46EB5" w:rsidRPr="00D13712">
        <w:rPr>
          <w:rFonts w:asciiTheme="majorBidi" w:hAnsiTheme="majorBidi" w:cstheme="majorBidi"/>
        </w:rPr>
        <w:t xml:space="preserve">of </w:t>
      </w:r>
      <w:r w:rsidR="007E404C" w:rsidRPr="00D13712">
        <w:rPr>
          <w:rFonts w:asciiTheme="majorBidi" w:hAnsiTheme="majorBidi" w:cstheme="majorBidi"/>
        </w:rPr>
        <w:t>total assets</w:t>
      </w:r>
      <w:r w:rsidR="00300932" w:rsidRPr="00D13712">
        <w:rPr>
          <w:rFonts w:asciiTheme="majorBidi" w:hAnsiTheme="majorBidi" w:cstheme="majorBidi"/>
        </w:rPr>
        <w:t xml:space="preserve">. This </w:t>
      </w:r>
      <w:r w:rsidR="00A30F43" w:rsidRPr="00D13712">
        <w:rPr>
          <w:rFonts w:asciiTheme="majorBidi" w:hAnsiTheme="majorBidi" w:cstheme="majorBidi"/>
        </w:rPr>
        <w:t xml:space="preserve">was </w:t>
      </w:r>
      <w:r w:rsidR="00D8221C" w:rsidRPr="00D13712">
        <w:rPr>
          <w:rFonts w:asciiTheme="majorBidi" w:hAnsiTheme="majorBidi" w:cstheme="majorBidi"/>
        </w:rPr>
        <w:t>a result of a</w:t>
      </w:r>
      <w:r w:rsidR="00C14D26">
        <w:rPr>
          <w:rFonts w:asciiTheme="majorBidi" w:hAnsiTheme="majorBidi" w:cstheme="majorBidi"/>
        </w:rPr>
        <w:t xml:space="preserve">n increase in the </w:t>
      </w:r>
      <w:r w:rsidR="00FF72BA" w:rsidRPr="00D13712">
        <w:rPr>
          <w:rFonts w:asciiTheme="majorBidi" w:hAnsiTheme="majorBidi" w:cstheme="majorBidi"/>
        </w:rPr>
        <w:t>balance of</w:t>
      </w:r>
      <w:r w:rsidR="00D8221C" w:rsidRPr="00D13712">
        <w:rPr>
          <w:rFonts w:asciiTheme="majorBidi" w:hAnsiTheme="majorBidi" w:cstheme="majorBidi"/>
        </w:rPr>
        <w:t xml:space="preserve"> </w:t>
      </w:r>
      <w:r w:rsidR="00A4505C" w:rsidRPr="00D13712">
        <w:rPr>
          <w:rFonts w:asciiTheme="majorBidi" w:hAnsiTheme="majorBidi" w:cstheme="majorBidi"/>
        </w:rPr>
        <w:t xml:space="preserve">exposure to foreign assets </w:t>
      </w:r>
      <w:r w:rsidR="00D52DB8">
        <w:rPr>
          <w:rFonts w:asciiTheme="majorBidi" w:hAnsiTheme="majorBidi" w:cstheme="majorBidi"/>
        </w:rPr>
        <w:t>(</w:t>
      </w:r>
      <w:r w:rsidR="00C14D26">
        <w:rPr>
          <w:rFonts w:asciiTheme="majorBidi" w:hAnsiTheme="majorBidi" w:cstheme="majorBidi"/>
        </w:rPr>
        <w:t>5.</w:t>
      </w:r>
      <w:r w:rsidR="00703E74">
        <w:rPr>
          <w:rFonts w:asciiTheme="majorBidi" w:hAnsiTheme="majorBidi" w:cstheme="majorBidi"/>
        </w:rPr>
        <w:t>7</w:t>
      </w:r>
      <w:r w:rsidR="00D52DB8">
        <w:rPr>
          <w:rFonts w:asciiTheme="majorBidi" w:hAnsiTheme="majorBidi" w:cstheme="majorBidi"/>
        </w:rPr>
        <w:t xml:space="preserve"> percent) </w:t>
      </w:r>
      <w:r w:rsidR="00703E74">
        <w:rPr>
          <w:rFonts w:asciiTheme="majorBidi" w:hAnsiTheme="majorBidi" w:cstheme="majorBidi"/>
        </w:rPr>
        <w:t xml:space="preserve">that was greater than the increase </w:t>
      </w:r>
      <w:r w:rsidR="00A4505C" w:rsidRPr="00D13712">
        <w:rPr>
          <w:rFonts w:asciiTheme="majorBidi" w:hAnsiTheme="majorBidi" w:cstheme="majorBidi"/>
        </w:rPr>
        <w:t xml:space="preserve">in the balance of </w:t>
      </w:r>
      <w:r w:rsidR="00C14D26">
        <w:rPr>
          <w:rFonts w:asciiTheme="majorBidi" w:hAnsiTheme="majorBidi" w:cstheme="majorBidi"/>
        </w:rPr>
        <w:t xml:space="preserve">institutional investors’ </w:t>
      </w:r>
      <w:r w:rsidR="00A4505C" w:rsidRPr="00D13712">
        <w:rPr>
          <w:rFonts w:asciiTheme="majorBidi" w:hAnsiTheme="majorBidi" w:cstheme="majorBidi"/>
        </w:rPr>
        <w:t>total assets</w:t>
      </w:r>
      <w:r w:rsidR="00D52DB8">
        <w:rPr>
          <w:rFonts w:asciiTheme="majorBidi" w:hAnsiTheme="majorBidi" w:cstheme="majorBidi"/>
        </w:rPr>
        <w:t xml:space="preserve"> (</w:t>
      </w:r>
      <w:r w:rsidR="00C14D26">
        <w:rPr>
          <w:rFonts w:asciiTheme="majorBidi" w:hAnsiTheme="majorBidi" w:cstheme="majorBidi"/>
        </w:rPr>
        <w:t>1</w:t>
      </w:r>
      <w:r w:rsidR="00703E74">
        <w:rPr>
          <w:rFonts w:asciiTheme="majorBidi" w:hAnsiTheme="majorBidi" w:cstheme="majorBidi"/>
        </w:rPr>
        <w:t>.6</w:t>
      </w:r>
      <w:r w:rsidR="00D52DB8">
        <w:rPr>
          <w:rFonts w:asciiTheme="majorBidi" w:hAnsiTheme="majorBidi" w:cstheme="majorBidi"/>
        </w:rPr>
        <w:t xml:space="preserve"> percent)</w:t>
      </w:r>
      <w:r w:rsidR="00C14D26">
        <w:rPr>
          <w:rFonts w:asciiTheme="majorBidi" w:hAnsiTheme="majorBidi" w:cstheme="majorBidi"/>
        </w:rPr>
        <w:t xml:space="preserve"> in dollar terms</w:t>
      </w:r>
      <w:r w:rsidR="00C36A60" w:rsidRPr="00D13712">
        <w:rPr>
          <w:rFonts w:asciiTheme="majorBidi" w:hAnsiTheme="majorBidi" w:cstheme="majorBidi"/>
        </w:rPr>
        <w:t>.</w:t>
      </w:r>
    </w:p>
    <w:p w14:paraId="3F6BE4B5" w14:textId="7E10688E" w:rsidR="00FF2C7E" w:rsidRPr="00B228AF" w:rsidRDefault="00C14D26" w:rsidP="00703E74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T</w:t>
      </w:r>
      <w:r w:rsidR="00FF72BA" w:rsidRPr="00D13712">
        <w:rPr>
          <w:rFonts w:asciiTheme="majorBidi" w:hAnsiTheme="majorBidi" w:cstheme="majorBidi"/>
        </w:rPr>
        <w:t xml:space="preserve">he </w:t>
      </w:r>
      <w:r w:rsidR="00F8141D">
        <w:rPr>
          <w:rFonts w:asciiTheme="majorBidi" w:hAnsiTheme="majorBidi" w:cstheme="majorBidi"/>
        </w:rPr>
        <w:t xml:space="preserve">increase </w:t>
      </w:r>
      <w:r w:rsidR="00FF72BA" w:rsidRPr="00D13712">
        <w:rPr>
          <w:rFonts w:asciiTheme="majorBidi" w:hAnsiTheme="majorBidi" w:cstheme="majorBidi"/>
        </w:rPr>
        <w:t>in the balance of exposure to foreign assets (about $</w:t>
      </w:r>
      <w:r w:rsidR="00F8141D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>4</w:t>
      </w:r>
      <w:r w:rsidR="00703E74">
        <w:rPr>
          <w:rFonts w:asciiTheme="majorBidi" w:hAnsiTheme="majorBidi" w:cstheme="majorBidi"/>
        </w:rPr>
        <w:t>.2</w:t>
      </w:r>
      <w:r w:rsidR="00F8141D">
        <w:rPr>
          <w:rFonts w:asciiTheme="majorBidi" w:hAnsiTheme="majorBidi" w:cstheme="majorBidi"/>
        </w:rPr>
        <w:t xml:space="preserve"> </w:t>
      </w:r>
      <w:r w:rsidR="00FF72BA" w:rsidRPr="00D13712">
        <w:rPr>
          <w:rFonts w:asciiTheme="majorBidi" w:hAnsiTheme="majorBidi" w:cstheme="majorBidi"/>
        </w:rPr>
        <w:t xml:space="preserve">billion) </w:t>
      </w:r>
      <w:r w:rsidR="00D13712" w:rsidRPr="00D13712">
        <w:rPr>
          <w:rFonts w:asciiTheme="majorBidi" w:hAnsiTheme="majorBidi" w:cstheme="majorBidi"/>
        </w:rPr>
        <w:t xml:space="preserve">derived from </w:t>
      </w:r>
      <w:r w:rsidR="00F8141D">
        <w:rPr>
          <w:rFonts w:asciiTheme="majorBidi" w:hAnsiTheme="majorBidi" w:cstheme="majorBidi"/>
        </w:rPr>
        <w:t xml:space="preserve">an increase </w:t>
      </w:r>
      <w:r w:rsidR="00FF72BA" w:rsidRPr="00D13712">
        <w:rPr>
          <w:rFonts w:asciiTheme="majorBidi" w:hAnsiTheme="majorBidi" w:cstheme="majorBidi"/>
        </w:rPr>
        <w:t>in</w:t>
      </w:r>
      <w:r w:rsidR="00703E74">
        <w:rPr>
          <w:rFonts w:asciiTheme="majorBidi" w:hAnsiTheme="majorBidi" w:cstheme="majorBidi"/>
        </w:rPr>
        <w:t xml:space="preserve"> the balance of equities abroad (about $4.8 billion),</w:t>
      </w:r>
      <w:r>
        <w:rPr>
          <w:rFonts w:asciiTheme="majorBidi" w:hAnsiTheme="majorBidi" w:cstheme="majorBidi"/>
        </w:rPr>
        <w:t xml:space="preserve"> exposure through futures contracts and options on foreign equity indices (about $3.</w:t>
      </w:r>
      <w:r w:rsidR="00703E74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 xml:space="preserve"> billion),</w:t>
      </w:r>
      <w:r w:rsidR="00E16423">
        <w:rPr>
          <w:rFonts w:asciiTheme="majorBidi" w:hAnsiTheme="majorBidi" w:cstheme="majorBidi"/>
        </w:rPr>
        <w:t xml:space="preserve"> an increase in</w:t>
      </w:r>
      <w:r>
        <w:rPr>
          <w:rFonts w:asciiTheme="majorBidi" w:hAnsiTheme="majorBidi" w:cstheme="majorBidi"/>
        </w:rPr>
        <w:t xml:space="preserve"> </w:t>
      </w:r>
      <w:r w:rsidR="00F8141D">
        <w:rPr>
          <w:rFonts w:asciiTheme="majorBidi" w:hAnsiTheme="majorBidi" w:cstheme="majorBidi"/>
        </w:rPr>
        <w:t xml:space="preserve">the balance of </w:t>
      </w:r>
      <w:r w:rsidR="00FF72BA" w:rsidRPr="00D13712">
        <w:rPr>
          <w:rFonts w:asciiTheme="majorBidi" w:hAnsiTheme="majorBidi" w:cstheme="majorBidi"/>
        </w:rPr>
        <w:t xml:space="preserve">foreign </w:t>
      </w:r>
      <w:r>
        <w:rPr>
          <w:rFonts w:asciiTheme="majorBidi" w:hAnsiTheme="majorBidi" w:cstheme="majorBidi"/>
        </w:rPr>
        <w:t>bonds (about $2.</w:t>
      </w:r>
      <w:r w:rsidR="00703E74">
        <w:rPr>
          <w:rFonts w:asciiTheme="majorBidi" w:hAnsiTheme="majorBidi" w:cstheme="majorBidi"/>
        </w:rPr>
        <w:t>3</w:t>
      </w:r>
      <w:r>
        <w:rPr>
          <w:rFonts w:asciiTheme="majorBidi" w:hAnsiTheme="majorBidi" w:cstheme="majorBidi"/>
        </w:rPr>
        <w:t xml:space="preserve"> billion), </w:t>
      </w:r>
      <w:r w:rsidR="00703E74">
        <w:rPr>
          <w:rFonts w:asciiTheme="majorBidi" w:hAnsiTheme="majorBidi" w:cstheme="majorBidi"/>
        </w:rPr>
        <w:t xml:space="preserve">and </w:t>
      </w:r>
      <w:r>
        <w:rPr>
          <w:rFonts w:asciiTheme="majorBidi" w:hAnsiTheme="majorBidi" w:cstheme="majorBidi"/>
        </w:rPr>
        <w:t>an increase in investment funds abroad (about $</w:t>
      </w:r>
      <w:r w:rsidR="00E16423">
        <w:rPr>
          <w:rFonts w:asciiTheme="majorBidi" w:hAnsiTheme="majorBidi" w:cstheme="majorBidi"/>
        </w:rPr>
        <w:t>2.</w:t>
      </w:r>
      <w:r w:rsidR="00703E74">
        <w:rPr>
          <w:rFonts w:asciiTheme="majorBidi" w:hAnsiTheme="majorBidi" w:cstheme="majorBidi"/>
        </w:rPr>
        <w:t>1</w:t>
      </w:r>
      <w:r>
        <w:rPr>
          <w:rFonts w:asciiTheme="majorBidi" w:hAnsiTheme="majorBidi" w:cstheme="majorBidi"/>
        </w:rPr>
        <w:t xml:space="preserve"> billion)</w:t>
      </w:r>
      <w:r w:rsidR="00A4505C" w:rsidRPr="00D13712">
        <w:rPr>
          <w:rFonts w:asciiTheme="majorBidi" w:hAnsiTheme="majorBidi" w:cstheme="majorBidi"/>
        </w:rPr>
        <w:t>.</w:t>
      </w:r>
    </w:p>
    <w:p w14:paraId="5CEF4FAD" w14:textId="77777777" w:rsidR="00FF2C7E" w:rsidRPr="00B228AF" w:rsidRDefault="00FF2C7E" w:rsidP="00FF2C7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B1BB9CA" w14:textId="0629E8B4" w:rsidR="00F72BCB" w:rsidRPr="00B228AF" w:rsidRDefault="00A85686" w:rsidP="00703E74">
      <w:p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  <w:b/>
          <w:bCs/>
        </w:rPr>
        <w:t>Exposure to foreign currency—</w:t>
      </w:r>
      <w:r w:rsidR="00FF2C7E" w:rsidRPr="00B228AF">
        <w:rPr>
          <w:rFonts w:asciiTheme="majorBidi" w:hAnsiTheme="majorBidi" w:cstheme="majorBidi"/>
        </w:rPr>
        <w:t xml:space="preserve">During the </w:t>
      </w:r>
      <w:r w:rsidR="00703E74">
        <w:rPr>
          <w:rFonts w:asciiTheme="majorBidi" w:hAnsiTheme="majorBidi" w:cstheme="majorBidi"/>
        </w:rPr>
        <w:t>second</w:t>
      </w:r>
      <w:r w:rsidR="006919D1" w:rsidRPr="00B228AF">
        <w:rPr>
          <w:rFonts w:asciiTheme="majorBidi" w:hAnsiTheme="majorBidi" w:cstheme="majorBidi"/>
        </w:rPr>
        <w:t xml:space="preserve"> quarter</w:t>
      </w:r>
      <w:r w:rsidR="00FF2C7E" w:rsidRPr="00B228AF">
        <w:rPr>
          <w:rFonts w:asciiTheme="majorBidi" w:hAnsiTheme="majorBidi" w:cstheme="majorBidi"/>
        </w:rPr>
        <w:t xml:space="preserve"> of </w:t>
      </w:r>
      <w:r w:rsidR="00D223DE">
        <w:rPr>
          <w:rFonts w:asciiTheme="majorBidi" w:hAnsiTheme="majorBidi" w:cstheme="majorBidi"/>
        </w:rPr>
        <w:t>2023</w:t>
      </w:r>
      <w:r w:rsidR="00FF2C7E" w:rsidRPr="00B228AF">
        <w:rPr>
          <w:rFonts w:asciiTheme="majorBidi" w:hAnsiTheme="majorBidi" w:cstheme="majorBidi"/>
        </w:rPr>
        <w:t>,</w:t>
      </w:r>
      <w:r w:rsidR="00A50808">
        <w:rPr>
          <w:rFonts w:asciiTheme="majorBidi" w:hAnsiTheme="majorBidi" w:cstheme="majorBidi"/>
        </w:rPr>
        <w:t xml:space="preserve"> </w:t>
      </w:r>
      <w:r w:rsidR="00FF2C7E" w:rsidRPr="00B228AF">
        <w:rPr>
          <w:rFonts w:asciiTheme="majorBidi" w:hAnsiTheme="majorBidi" w:cstheme="majorBidi"/>
        </w:rPr>
        <w:t>institutional investors</w:t>
      </w:r>
      <w:r w:rsidRPr="00B228AF">
        <w:rPr>
          <w:rFonts w:asciiTheme="majorBidi" w:hAnsiTheme="majorBidi" w:cstheme="majorBidi"/>
        </w:rPr>
        <w:t xml:space="preserve"> </w:t>
      </w:r>
      <w:r w:rsidR="006E668A" w:rsidRPr="00B228AF">
        <w:rPr>
          <w:rFonts w:asciiTheme="majorBidi" w:hAnsiTheme="majorBidi" w:cstheme="majorBidi"/>
        </w:rPr>
        <w:t xml:space="preserve">made net </w:t>
      </w:r>
      <w:r w:rsidR="00FF72BA">
        <w:rPr>
          <w:rFonts w:asciiTheme="majorBidi" w:hAnsiTheme="majorBidi" w:cstheme="majorBidi"/>
        </w:rPr>
        <w:t>purchase</w:t>
      </w:r>
      <w:r w:rsidR="006E668A" w:rsidRPr="00B228AF">
        <w:rPr>
          <w:rFonts w:asciiTheme="majorBidi" w:hAnsiTheme="majorBidi" w:cstheme="majorBidi"/>
        </w:rPr>
        <w:t>s of</w:t>
      </w:r>
      <w:r w:rsidR="00652F5A" w:rsidRPr="00B228AF">
        <w:rPr>
          <w:rFonts w:asciiTheme="majorBidi" w:hAnsiTheme="majorBidi" w:cstheme="majorBidi"/>
        </w:rPr>
        <w:t xml:space="preserve"> </w:t>
      </w:r>
      <w:r w:rsidRPr="00B228AF">
        <w:rPr>
          <w:rFonts w:asciiTheme="majorBidi" w:hAnsiTheme="majorBidi" w:cstheme="majorBidi"/>
        </w:rPr>
        <w:t>foreign currency assets</w:t>
      </w:r>
      <w:r w:rsidR="004C41AF">
        <w:rPr>
          <w:rFonts w:asciiTheme="majorBidi" w:hAnsiTheme="majorBidi" w:cstheme="majorBidi"/>
        </w:rPr>
        <w:t>,</w:t>
      </w:r>
      <w:r w:rsidRPr="00B228AF">
        <w:rPr>
          <w:rFonts w:asciiTheme="majorBidi" w:hAnsiTheme="majorBidi" w:cstheme="majorBidi"/>
        </w:rPr>
        <w:t xml:space="preserve"> totaling </w:t>
      </w:r>
      <w:r w:rsidR="00AB4EF3" w:rsidRPr="00B228AF">
        <w:rPr>
          <w:rFonts w:asciiTheme="majorBidi" w:hAnsiTheme="majorBidi" w:cstheme="majorBidi"/>
        </w:rPr>
        <w:t xml:space="preserve">about </w:t>
      </w:r>
      <w:r w:rsidRPr="00B228AF">
        <w:rPr>
          <w:rFonts w:asciiTheme="majorBidi" w:hAnsiTheme="majorBidi" w:cstheme="majorBidi"/>
        </w:rPr>
        <w:t>$</w:t>
      </w:r>
      <w:r w:rsidR="00703E74">
        <w:rPr>
          <w:rFonts w:asciiTheme="majorBidi" w:hAnsiTheme="majorBidi" w:cstheme="majorBidi"/>
        </w:rPr>
        <w:t>0.2</w:t>
      </w:r>
      <w:r w:rsidR="004C41AF">
        <w:rPr>
          <w:rFonts w:asciiTheme="majorBidi" w:hAnsiTheme="majorBidi" w:cstheme="majorBidi"/>
        </w:rPr>
        <w:t xml:space="preserve"> </w:t>
      </w:r>
      <w:r w:rsidRPr="00B228AF">
        <w:rPr>
          <w:rFonts w:asciiTheme="majorBidi" w:hAnsiTheme="majorBidi" w:cstheme="majorBidi"/>
        </w:rPr>
        <w:t>billion</w:t>
      </w:r>
      <w:r w:rsidR="00FF72BA">
        <w:rPr>
          <w:rFonts w:asciiTheme="majorBidi" w:hAnsiTheme="majorBidi" w:cstheme="majorBidi"/>
        </w:rPr>
        <w:t>—p</w:t>
      </w:r>
      <w:r w:rsidR="006E668A" w:rsidRPr="00B228AF">
        <w:rPr>
          <w:rFonts w:asciiTheme="majorBidi" w:hAnsiTheme="majorBidi" w:cstheme="majorBidi"/>
        </w:rPr>
        <w:t>urchases totaling about $</w:t>
      </w:r>
      <w:r w:rsidR="00E16423">
        <w:rPr>
          <w:rFonts w:asciiTheme="majorBidi" w:hAnsiTheme="majorBidi" w:cstheme="majorBidi"/>
        </w:rPr>
        <w:t>1</w:t>
      </w:r>
      <w:r w:rsidR="00703E74">
        <w:rPr>
          <w:rFonts w:asciiTheme="majorBidi" w:hAnsiTheme="majorBidi" w:cstheme="majorBidi"/>
        </w:rPr>
        <w:t>.5</w:t>
      </w:r>
      <w:r w:rsidR="002C5BC5">
        <w:rPr>
          <w:rFonts w:asciiTheme="majorBidi" w:hAnsiTheme="majorBidi" w:cstheme="majorBidi"/>
        </w:rPr>
        <w:t xml:space="preserve"> </w:t>
      </w:r>
      <w:r w:rsidR="006E668A" w:rsidRPr="00B228AF">
        <w:rPr>
          <w:rFonts w:asciiTheme="majorBidi" w:hAnsiTheme="majorBidi" w:cstheme="majorBidi"/>
        </w:rPr>
        <w:t xml:space="preserve">billion </w:t>
      </w:r>
      <w:r w:rsidR="006E668A" w:rsidRPr="00B228AF">
        <w:rPr>
          <w:rFonts w:asciiTheme="majorBidi" w:hAnsiTheme="majorBidi" w:cstheme="majorBidi"/>
        </w:rPr>
        <w:lastRenderedPageBreak/>
        <w:t xml:space="preserve">in </w:t>
      </w:r>
      <w:r w:rsidR="0058335D" w:rsidRPr="00B228AF">
        <w:rPr>
          <w:rFonts w:asciiTheme="majorBidi" w:hAnsiTheme="majorBidi" w:cstheme="majorBidi"/>
        </w:rPr>
        <w:t>assets denominated in and linked to foreign currency (mainly</w:t>
      </w:r>
      <w:r w:rsidR="006E668A" w:rsidRPr="00B228AF">
        <w:rPr>
          <w:rFonts w:asciiTheme="majorBidi" w:hAnsiTheme="majorBidi" w:cstheme="majorBidi"/>
        </w:rPr>
        <w:t xml:space="preserve"> in</w:t>
      </w:r>
      <w:r w:rsidR="00E16423">
        <w:rPr>
          <w:rFonts w:asciiTheme="majorBidi" w:hAnsiTheme="majorBidi" w:cstheme="majorBidi"/>
        </w:rPr>
        <w:t xml:space="preserve"> foreign bonds, </w:t>
      </w:r>
      <w:r w:rsidR="00703E74">
        <w:rPr>
          <w:rFonts w:asciiTheme="majorBidi" w:hAnsiTheme="majorBidi" w:cstheme="majorBidi"/>
        </w:rPr>
        <w:t xml:space="preserve">while selling </w:t>
      </w:r>
      <w:r w:rsidR="00E16423">
        <w:rPr>
          <w:rFonts w:asciiTheme="majorBidi" w:hAnsiTheme="majorBidi" w:cstheme="majorBidi"/>
        </w:rPr>
        <w:t>demand deposits in Israel denominated in foreign exchange, and</w:t>
      </w:r>
      <w:r w:rsidR="006E668A" w:rsidRPr="00B228AF">
        <w:rPr>
          <w:rFonts w:asciiTheme="majorBidi" w:hAnsiTheme="majorBidi" w:cstheme="majorBidi"/>
        </w:rPr>
        <w:t xml:space="preserve"> </w:t>
      </w:r>
      <w:r w:rsidR="004C41AF">
        <w:rPr>
          <w:rFonts w:asciiTheme="majorBidi" w:hAnsiTheme="majorBidi" w:cstheme="majorBidi"/>
        </w:rPr>
        <w:t>futures and options</w:t>
      </w:r>
      <w:r w:rsidR="00FF72BA">
        <w:rPr>
          <w:rFonts w:asciiTheme="majorBidi" w:hAnsiTheme="majorBidi" w:cstheme="majorBidi"/>
        </w:rPr>
        <w:t xml:space="preserve">), </w:t>
      </w:r>
      <w:r w:rsidR="00703E74">
        <w:rPr>
          <w:rFonts w:asciiTheme="majorBidi" w:hAnsiTheme="majorBidi" w:cstheme="majorBidi"/>
        </w:rPr>
        <w:t>which were mostly offset by</w:t>
      </w:r>
      <w:r w:rsidR="00FF72BA">
        <w:rPr>
          <w:rFonts w:asciiTheme="majorBidi" w:hAnsiTheme="majorBidi" w:cstheme="majorBidi"/>
        </w:rPr>
        <w:t xml:space="preserve"> net </w:t>
      </w:r>
      <w:r w:rsidR="00703E74">
        <w:rPr>
          <w:rFonts w:asciiTheme="majorBidi" w:hAnsiTheme="majorBidi" w:cstheme="majorBidi"/>
        </w:rPr>
        <w:t>sale</w:t>
      </w:r>
      <w:r w:rsidR="00FF72BA">
        <w:rPr>
          <w:rFonts w:asciiTheme="majorBidi" w:hAnsiTheme="majorBidi" w:cstheme="majorBidi"/>
        </w:rPr>
        <w:t xml:space="preserve">s </w:t>
      </w:r>
      <w:r w:rsidR="00AB4EF3" w:rsidRPr="00B228AF">
        <w:rPr>
          <w:rFonts w:asciiTheme="majorBidi" w:hAnsiTheme="majorBidi" w:cstheme="majorBidi"/>
        </w:rPr>
        <w:t>of foreign exchange through derivative financial instruments totaling about $</w:t>
      </w:r>
      <w:r w:rsidR="00E16423">
        <w:rPr>
          <w:rFonts w:asciiTheme="majorBidi" w:hAnsiTheme="majorBidi" w:cstheme="majorBidi"/>
        </w:rPr>
        <w:t>1</w:t>
      </w:r>
      <w:r w:rsidR="00703E74">
        <w:rPr>
          <w:rFonts w:asciiTheme="majorBidi" w:hAnsiTheme="majorBidi" w:cstheme="majorBidi"/>
        </w:rPr>
        <w:t>.3</w:t>
      </w:r>
      <w:r w:rsidR="004C41AF">
        <w:rPr>
          <w:rFonts w:asciiTheme="majorBidi" w:hAnsiTheme="majorBidi" w:cstheme="majorBidi"/>
        </w:rPr>
        <w:t xml:space="preserve"> </w:t>
      </w:r>
      <w:r w:rsidR="002C5BC5">
        <w:rPr>
          <w:rFonts w:asciiTheme="majorBidi" w:hAnsiTheme="majorBidi" w:cstheme="majorBidi"/>
        </w:rPr>
        <w:t>b</w:t>
      </w:r>
      <w:r w:rsidR="00AB4EF3" w:rsidRPr="00B228AF">
        <w:rPr>
          <w:rFonts w:asciiTheme="majorBidi" w:hAnsiTheme="majorBidi" w:cstheme="majorBidi"/>
        </w:rPr>
        <w:t>illion, meaning a</w:t>
      </w:r>
      <w:r w:rsidR="00703E74">
        <w:rPr>
          <w:rFonts w:asciiTheme="majorBidi" w:hAnsiTheme="majorBidi" w:cstheme="majorBidi"/>
        </w:rPr>
        <w:t>n in</w:t>
      </w:r>
      <w:r w:rsidR="00AE1D46">
        <w:rPr>
          <w:rFonts w:asciiTheme="majorBidi" w:hAnsiTheme="majorBidi" w:cstheme="majorBidi"/>
        </w:rPr>
        <w:t xml:space="preserve">crease </w:t>
      </w:r>
      <w:r w:rsidR="00AB4EF3" w:rsidRPr="00B228AF">
        <w:rPr>
          <w:rFonts w:asciiTheme="majorBidi" w:hAnsiTheme="majorBidi" w:cstheme="majorBidi"/>
        </w:rPr>
        <w:t xml:space="preserve">in futures transactions for the sale of foreign exchange. </w:t>
      </w:r>
    </w:p>
    <w:p w14:paraId="0281A81B" w14:textId="6D281274" w:rsidR="006E668A" w:rsidRPr="00B228AF" w:rsidRDefault="006E668A" w:rsidP="006E668A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E3841BB" w14:textId="10FDDEE3" w:rsidR="00A34C08" w:rsidRPr="00B228AF" w:rsidRDefault="00A608BE" w:rsidP="00703E74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During the </w:t>
      </w:r>
      <w:r w:rsidR="00703E74">
        <w:rPr>
          <w:rFonts w:asciiTheme="majorBidi" w:hAnsiTheme="majorBidi" w:cstheme="majorBidi"/>
        </w:rPr>
        <w:t>second</w:t>
      </w:r>
      <w:r>
        <w:rPr>
          <w:rFonts w:asciiTheme="majorBidi" w:hAnsiTheme="majorBidi" w:cstheme="majorBidi"/>
        </w:rPr>
        <w:t xml:space="preserve"> quarter</w:t>
      </w:r>
      <w:r w:rsidR="006E668A" w:rsidRPr="00B228AF">
        <w:rPr>
          <w:rFonts w:asciiTheme="majorBidi" w:hAnsiTheme="majorBidi" w:cstheme="majorBidi"/>
        </w:rPr>
        <w:t xml:space="preserve">, institutional investors’ rate of exposure to foreign exchange (including shekel/forex derivatives) </w:t>
      </w:r>
      <w:r w:rsidR="00EA4C19">
        <w:rPr>
          <w:rFonts w:asciiTheme="majorBidi" w:hAnsiTheme="majorBidi" w:cstheme="majorBidi"/>
        </w:rPr>
        <w:t xml:space="preserve">increased </w:t>
      </w:r>
      <w:r w:rsidR="006E668A" w:rsidRPr="00B228AF">
        <w:rPr>
          <w:rFonts w:asciiTheme="majorBidi" w:hAnsiTheme="majorBidi" w:cstheme="majorBidi"/>
        </w:rPr>
        <w:t xml:space="preserve">by about </w:t>
      </w:r>
      <w:r w:rsidR="00703E74">
        <w:rPr>
          <w:rFonts w:asciiTheme="majorBidi" w:hAnsiTheme="majorBidi" w:cstheme="majorBidi"/>
        </w:rPr>
        <w:t>1.1</w:t>
      </w:r>
      <w:r w:rsidR="00EA4C19">
        <w:rPr>
          <w:rFonts w:asciiTheme="majorBidi" w:hAnsiTheme="majorBidi" w:cstheme="majorBidi"/>
        </w:rPr>
        <w:t xml:space="preserve"> </w:t>
      </w:r>
      <w:r w:rsidR="006E668A" w:rsidRPr="00B228AF">
        <w:rPr>
          <w:rFonts w:asciiTheme="majorBidi" w:hAnsiTheme="majorBidi" w:cstheme="majorBidi"/>
        </w:rPr>
        <w:t xml:space="preserve">percentage points to about </w:t>
      </w:r>
      <w:r w:rsidR="00E73D1E">
        <w:rPr>
          <w:rFonts w:asciiTheme="majorBidi" w:hAnsiTheme="majorBidi" w:cstheme="majorBidi"/>
        </w:rPr>
        <w:t>1</w:t>
      </w:r>
      <w:r w:rsidR="00703E74">
        <w:rPr>
          <w:rFonts w:asciiTheme="majorBidi" w:hAnsiTheme="majorBidi" w:cstheme="majorBidi"/>
        </w:rPr>
        <w:t>9.9</w:t>
      </w:r>
      <w:r w:rsidR="00E73D1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percent, due to a</w:t>
      </w:r>
      <w:r w:rsidR="00E16423">
        <w:rPr>
          <w:rFonts w:asciiTheme="majorBidi" w:hAnsiTheme="majorBidi" w:cstheme="majorBidi"/>
        </w:rPr>
        <w:t xml:space="preserve">n increase in the rate of exposure to foreign exchange after hedging </w:t>
      </w:r>
      <w:r w:rsidR="00703E74">
        <w:rPr>
          <w:rFonts w:asciiTheme="majorBidi" w:hAnsiTheme="majorBidi" w:cstheme="majorBidi"/>
        </w:rPr>
        <w:t>that was greater than the increase</w:t>
      </w:r>
      <w:r w:rsidR="00EA4C19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 xml:space="preserve">in total investment assets in dollar terms. </w:t>
      </w:r>
    </w:p>
    <w:p w14:paraId="6F8E28B9" w14:textId="21F8BD1F" w:rsidR="00A34C08" w:rsidRPr="00B228AF" w:rsidRDefault="00D57970" w:rsidP="00A34C08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8720" behindDoc="0" locked="0" layoutInCell="1" allowOverlap="1" wp14:anchorId="27963B50" wp14:editId="5A88D139">
            <wp:simplePos x="0" y="0"/>
            <wp:positionH relativeFrom="column">
              <wp:posOffset>-211850</wp:posOffset>
            </wp:positionH>
            <wp:positionV relativeFrom="paragraph">
              <wp:posOffset>390238</wp:posOffset>
            </wp:positionV>
            <wp:extent cx="3322320" cy="2476500"/>
            <wp:effectExtent l="0" t="0" r="0" b="0"/>
            <wp:wrapSquare wrapText="bothSides"/>
            <wp:docPr id="16" name="תמונה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2320" cy="2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1174238" w14:textId="7481E7CE" w:rsidR="00935E04" w:rsidRPr="00B228AF" w:rsidRDefault="00D57970" w:rsidP="00A35DF3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79744" behindDoc="0" locked="0" layoutInCell="1" allowOverlap="1" wp14:anchorId="26BCFCC4" wp14:editId="3437DAB2">
            <wp:simplePos x="0" y="0"/>
            <wp:positionH relativeFrom="column">
              <wp:posOffset>3247330</wp:posOffset>
            </wp:positionH>
            <wp:positionV relativeFrom="paragraph">
              <wp:posOffset>173882</wp:posOffset>
            </wp:positionV>
            <wp:extent cx="3089910" cy="2525395"/>
            <wp:effectExtent l="0" t="0" r="0" b="8255"/>
            <wp:wrapSquare wrapText="bothSides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9910" cy="2525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80E867" w14:textId="34A238B7" w:rsidR="00935E04" w:rsidRDefault="00935E04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E66A450" w14:textId="65F038BF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BBDE0F6" w14:textId="2540D168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2AE4731" w14:textId="2533E388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2AC93F9" w14:textId="4DD2D080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B9599FD" w14:textId="101EC8FD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08114491" w14:textId="65CF34C9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928E660" w14:textId="6FF4EB36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1F062AA" w14:textId="60EBCCDB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11ECF6A" w14:textId="6E8F46F5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09A20909" w14:textId="32F8A506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07DFB18C" w14:textId="383AECF8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7A1B272" w14:textId="008F3848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16ED509" w14:textId="5A1D00BF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25B288D0" w14:textId="47C2328E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001A5253" w14:textId="5431892F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0B68A1AD" w14:textId="22F57F66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F252AB2" w14:textId="7A457894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562FB449" w14:textId="0FD52931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F9A0516" w14:textId="509275BA" w:rsidR="00D57970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1DBB4A12" w14:textId="77777777" w:rsidR="00D57970" w:rsidRPr="00B228AF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6A32BCD4" w14:textId="32B877FE" w:rsidR="00111C23" w:rsidRPr="0006727C" w:rsidRDefault="004F34CD" w:rsidP="007E422E">
      <w:pPr>
        <w:pStyle w:val="1"/>
        <w:jc w:val="left"/>
        <w:rPr>
          <w:rFonts w:asciiTheme="majorBidi" w:hAnsiTheme="majorBidi" w:cstheme="majorBidi"/>
        </w:rPr>
      </w:pPr>
      <w:r w:rsidRPr="0006727C">
        <w:rPr>
          <w:rFonts w:asciiTheme="majorBidi" w:hAnsiTheme="majorBidi" w:cstheme="majorBidi"/>
        </w:rPr>
        <w:lastRenderedPageBreak/>
        <w:t>4</w:t>
      </w:r>
      <w:r w:rsidR="00111C23" w:rsidRPr="0006727C">
        <w:rPr>
          <w:rFonts w:asciiTheme="majorBidi" w:hAnsiTheme="majorBidi" w:cstheme="majorBidi"/>
        </w:rPr>
        <w:t xml:space="preserve">. </w:t>
      </w:r>
      <w:r w:rsidR="008C0538" w:rsidRPr="0006727C">
        <w:rPr>
          <w:rFonts w:asciiTheme="majorBidi" w:hAnsiTheme="majorBidi" w:cstheme="majorBidi"/>
        </w:rPr>
        <w:t>The portfolio managed by m</w:t>
      </w:r>
      <w:r w:rsidR="00111C23" w:rsidRPr="0006727C">
        <w:rPr>
          <w:rFonts w:asciiTheme="majorBidi" w:hAnsiTheme="majorBidi" w:cstheme="majorBidi"/>
        </w:rPr>
        <w:t>utual funds</w:t>
      </w:r>
    </w:p>
    <w:p w14:paraId="3782F0C6" w14:textId="07E87F43" w:rsidR="00111C23" w:rsidRPr="0006727C" w:rsidRDefault="00111C23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355BBB04" w14:textId="2BAD8DE4" w:rsidR="002F55F2" w:rsidRPr="00B228AF" w:rsidRDefault="00111C23" w:rsidP="00703E74">
      <w:p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06727C">
        <w:rPr>
          <w:rFonts w:asciiTheme="majorBidi" w:hAnsiTheme="majorBidi" w:cstheme="majorBidi"/>
        </w:rPr>
        <w:t>The value of the portfolio managed by</w:t>
      </w:r>
      <w:r w:rsidR="00150DCF" w:rsidRPr="0006727C">
        <w:rPr>
          <w:rFonts w:asciiTheme="majorBidi" w:hAnsiTheme="majorBidi" w:cstheme="majorBidi"/>
        </w:rPr>
        <w:t xml:space="preserve"> Israeli </w:t>
      </w:r>
      <w:r w:rsidRPr="0006727C">
        <w:rPr>
          <w:rFonts w:asciiTheme="majorBidi" w:hAnsiTheme="majorBidi" w:cstheme="majorBidi"/>
        </w:rPr>
        <w:t xml:space="preserve">mutual funds </w:t>
      </w:r>
      <w:r w:rsidR="00A76DF8" w:rsidRPr="0006727C">
        <w:rPr>
          <w:rFonts w:asciiTheme="majorBidi" w:hAnsiTheme="majorBidi" w:cstheme="majorBidi"/>
        </w:rPr>
        <w:t>increased</w:t>
      </w:r>
      <w:r w:rsidR="005F1CA9" w:rsidRPr="0006727C">
        <w:rPr>
          <w:rFonts w:asciiTheme="majorBidi" w:hAnsiTheme="majorBidi" w:cstheme="majorBidi"/>
        </w:rPr>
        <w:t xml:space="preserve"> in the </w:t>
      </w:r>
      <w:r w:rsidR="00703E74">
        <w:rPr>
          <w:rFonts w:asciiTheme="majorBidi" w:hAnsiTheme="majorBidi" w:cstheme="majorBidi"/>
        </w:rPr>
        <w:t>second</w:t>
      </w:r>
      <w:r w:rsidR="006919D1" w:rsidRPr="0006727C">
        <w:rPr>
          <w:rFonts w:asciiTheme="majorBidi" w:hAnsiTheme="majorBidi" w:cstheme="majorBidi"/>
        </w:rPr>
        <w:t xml:space="preserve"> quarter</w:t>
      </w:r>
      <w:r w:rsidR="005F1CA9" w:rsidRPr="0006727C">
        <w:rPr>
          <w:rFonts w:asciiTheme="majorBidi" w:hAnsiTheme="majorBidi" w:cstheme="majorBidi"/>
        </w:rPr>
        <w:t xml:space="preserve"> by </w:t>
      </w:r>
      <w:r w:rsidR="00935E04" w:rsidRPr="0006727C">
        <w:rPr>
          <w:rFonts w:asciiTheme="majorBidi" w:hAnsiTheme="majorBidi" w:cstheme="majorBidi"/>
        </w:rPr>
        <w:t xml:space="preserve">about NIS </w:t>
      </w:r>
      <w:r w:rsidR="00703E74">
        <w:rPr>
          <w:rFonts w:asciiTheme="majorBidi" w:hAnsiTheme="majorBidi" w:cstheme="majorBidi"/>
        </w:rPr>
        <w:t>31</w:t>
      </w:r>
      <w:r w:rsidR="00F95F5A" w:rsidRPr="0006727C">
        <w:rPr>
          <w:rFonts w:asciiTheme="majorBidi" w:hAnsiTheme="majorBidi" w:cstheme="majorBidi"/>
        </w:rPr>
        <w:t xml:space="preserve"> </w:t>
      </w:r>
      <w:r w:rsidR="00935E04" w:rsidRPr="0006727C">
        <w:rPr>
          <w:rFonts w:asciiTheme="majorBidi" w:hAnsiTheme="majorBidi" w:cstheme="majorBidi"/>
        </w:rPr>
        <w:t>billion (</w:t>
      </w:r>
      <w:r w:rsidR="00703E74">
        <w:rPr>
          <w:rFonts w:asciiTheme="majorBidi" w:hAnsiTheme="majorBidi" w:cstheme="majorBidi"/>
        </w:rPr>
        <w:t>8.4</w:t>
      </w:r>
      <w:r w:rsidR="00A76DF8" w:rsidRPr="0006727C">
        <w:rPr>
          <w:rFonts w:asciiTheme="majorBidi" w:hAnsiTheme="majorBidi" w:cstheme="majorBidi"/>
        </w:rPr>
        <w:t xml:space="preserve"> </w:t>
      </w:r>
      <w:r w:rsidR="00935E04" w:rsidRPr="0006727C">
        <w:rPr>
          <w:rFonts w:asciiTheme="majorBidi" w:hAnsiTheme="majorBidi" w:cstheme="majorBidi"/>
        </w:rPr>
        <w:t>percent), to</w:t>
      </w:r>
      <w:r w:rsidRPr="0006727C">
        <w:rPr>
          <w:rFonts w:asciiTheme="majorBidi" w:hAnsiTheme="majorBidi" w:cstheme="majorBidi"/>
        </w:rPr>
        <w:t xml:space="preserve"> </w:t>
      </w:r>
      <w:r w:rsidR="00A22FC4" w:rsidRPr="0006727C">
        <w:rPr>
          <w:rFonts w:asciiTheme="majorBidi" w:hAnsiTheme="majorBidi" w:cstheme="majorBidi"/>
        </w:rPr>
        <w:t xml:space="preserve">about </w:t>
      </w:r>
      <w:r w:rsidRPr="0006727C">
        <w:rPr>
          <w:rFonts w:asciiTheme="majorBidi" w:hAnsiTheme="majorBidi" w:cstheme="majorBidi"/>
        </w:rPr>
        <w:t xml:space="preserve">NIS </w:t>
      </w:r>
      <w:r w:rsidR="00703E74">
        <w:rPr>
          <w:rFonts w:asciiTheme="majorBidi" w:hAnsiTheme="majorBidi" w:cstheme="majorBidi"/>
        </w:rPr>
        <w:t>403</w:t>
      </w:r>
      <w:r w:rsidR="005E246B" w:rsidRPr="0006727C">
        <w:rPr>
          <w:rFonts w:asciiTheme="majorBidi" w:hAnsiTheme="majorBidi" w:cstheme="majorBidi"/>
        </w:rPr>
        <w:t xml:space="preserve"> </w:t>
      </w:r>
      <w:r w:rsidRPr="0006727C">
        <w:rPr>
          <w:rFonts w:asciiTheme="majorBidi" w:hAnsiTheme="majorBidi" w:cstheme="majorBidi"/>
        </w:rPr>
        <w:t>billion</w:t>
      </w:r>
      <w:r w:rsidR="000A2FAD" w:rsidRPr="0006727C">
        <w:rPr>
          <w:rFonts w:asciiTheme="majorBidi" w:hAnsiTheme="majorBidi" w:cstheme="majorBidi"/>
        </w:rPr>
        <w:t>,</w:t>
      </w:r>
      <w:r w:rsidRPr="0006727C">
        <w:rPr>
          <w:rFonts w:asciiTheme="majorBidi" w:hAnsiTheme="majorBidi" w:cstheme="majorBidi"/>
        </w:rPr>
        <w:t xml:space="preserve"> </w:t>
      </w:r>
      <w:r w:rsidR="000A2FAD" w:rsidRPr="0006727C">
        <w:rPr>
          <w:rFonts w:asciiTheme="majorBidi" w:hAnsiTheme="majorBidi" w:cstheme="majorBidi"/>
        </w:rPr>
        <w:t>constituting</w:t>
      </w:r>
      <w:r w:rsidR="00E3433E" w:rsidRPr="0006727C">
        <w:rPr>
          <w:rFonts w:asciiTheme="majorBidi" w:hAnsiTheme="majorBidi" w:cstheme="majorBidi"/>
        </w:rPr>
        <w:t xml:space="preserve"> about </w:t>
      </w:r>
      <w:r w:rsidR="00703E74">
        <w:rPr>
          <w:rFonts w:asciiTheme="majorBidi" w:hAnsiTheme="majorBidi" w:cstheme="majorBidi"/>
        </w:rPr>
        <w:t>8</w:t>
      </w:r>
      <w:r w:rsidR="00E3433E" w:rsidRPr="0006727C">
        <w:rPr>
          <w:rFonts w:asciiTheme="majorBidi" w:hAnsiTheme="majorBidi" w:cstheme="majorBidi"/>
        </w:rPr>
        <w:t xml:space="preserve"> percent of the public’s total asset portfolio.</w:t>
      </w:r>
      <w:r w:rsidR="00E3433E" w:rsidRPr="00B228AF">
        <w:rPr>
          <w:rFonts w:asciiTheme="majorBidi" w:hAnsiTheme="majorBidi" w:cstheme="majorBidi"/>
        </w:rPr>
        <w:t xml:space="preserve"> </w:t>
      </w:r>
    </w:p>
    <w:p w14:paraId="1B224F30" w14:textId="197227BC" w:rsidR="006704E6" w:rsidRPr="00B228AF" w:rsidRDefault="006704E6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7DE3F9E5" w14:textId="2F967C85" w:rsidR="00A76DF8" w:rsidRDefault="006A3AF5" w:rsidP="00703E74">
      <w:pPr>
        <w:bidi w:val="0"/>
        <w:spacing w:line="300" w:lineRule="exact"/>
        <w:jc w:val="both"/>
        <w:rPr>
          <w:rFonts w:asciiTheme="majorBidi" w:hAnsiTheme="majorBidi" w:cstheme="majorBidi"/>
        </w:rPr>
      </w:pPr>
      <w:r w:rsidRPr="00AF201C">
        <w:rPr>
          <w:rFonts w:asciiTheme="majorBidi" w:hAnsiTheme="majorBidi" w:cstheme="majorBidi"/>
        </w:rPr>
        <w:t xml:space="preserve">The </w:t>
      </w:r>
      <w:r w:rsidR="00A76DF8" w:rsidRPr="00AF201C">
        <w:rPr>
          <w:rFonts w:asciiTheme="majorBidi" w:hAnsiTheme="majorBidi" w:cstheme="majorBidi"/>
        </w:rPr>
        <w:t>increase</w:t>
      </w:r>
      <w:r w:rsidR="00EC215C" w:rsidRPr="00AF201C">
        <w:rPr>
          <w:rFonts w:asciiTheme="majorBidi" w:hAnsiTheme="majorBidi" w:cstheme="majorBidi"/>
        </w:rPr>
        <w:t xml:space="preserve"> in the </w:t>
      </w:r>
      <w:r w:rsidR="00703E74">
        <w:rPr>
          <w:rFonts w:asciiTheme="majorBidi" w:hAnsiTheme="majorBidi" w:cstheme="majorBidi"/>
        </w:rPr>
        <w:t>second</w:t>
      </w:r>
      <w:r w:rsidR="006919D1" w:rsidRPr="00AF201C">
        <w:rPr>
          <w:rFonts w:asciiTheme="majorBidi" w:hAnsiTheme="majorBidi" w:cstheme="majorBidi"/>
        </w:rPr>
        <w:t xml:space="preserve"> quarter</w:t>
      </w:r>
      <w:r w:rsidRPr="00AF201C">
        <w:rPr>
          <w:rFonts w:asciiTheme="majorBidi" w:hAnsiTheme="majorBidi" w:cstheme="majorBidi"/>
        </w:rPr>
        <w:t xml:space="preserve"> </w:t>
      </w:r>
      <w:r w:rsidR="002749DD" w:rsidRPr="00AF201C">
        <w:rPr>
          <w:rFonts w:asciiTheme="majorBidi" w:hAnsiTheme="majorBidi" w:cstheme="majorBidi"/>
        </w:rPr>
        <w:t>derived</w:t>
      </w:r>
      <w:r w:rsidR="00A35DF3" w:rsidRPr="00AF201C">
        <w:rPr>
          <w:rFonts w:asciiTheme="majorBidi" w:hAnsiTheme="majorBidi" w:cstheme="majorBidi"/>
        </w:rPr>
        <w:t xml:space="preserve"> mainly </w:t>
      </w:r>
      <w:r w:rsidR="002749DD" w:rsidRPr="00AF201C">
        <w:rPr>
          <w:rFonts w:asciiTheme="majorBidi" w:hAnsiTheme="majorBidi" w:cstheme="majorBidi"/>
        </w:rPr>
        <w:t xml:space="preserve">from net </w:t>
      </w:r>
      <w:r w:rsidR="00BE0F6C" w:rsidRPr="00AF201C">
        <w:rPr>
          <w:rFonts w:asciiTheme="majorBidi" w:hAnsiTheme="majorBidi" w:cstheme="majorBidi"/>
        </w:rPr>
        <w:t>investment</w:t>
      </w:r>
      <w:r w:rsidR="00E16423">
        <w:rPr>
          <w:rFonts w:asciiTheme="majorBidi" w:hAnsiTheme="majorBidi" w:cstheme="majorBidi"/>
        </w:rPr>
        <w:t xml:space="preserve"> in the funds</w:t>
      </w:r>
      <w:r w:rsidR="00766AD6" w:rsidRPr="00AF201C">
        <w:rPr>
          <w:rFonts w:asciiTheme="majorBidi" w:hAnsiTheme="majorBidi" w:cstheme="majorBidi"/>
        </w:rPr>
        <w:t xml:space="preserve"> </w:t>
      </w:r>
      <w:r w:rsidR="00A76DF8" w:rsidRPr="00AF201C">
        <w:rPr>
          <w:rFonts w:asciiTheme="majorBidi" w:hAnsiTheme="majorBidi" w:cstheme="majorBidi"/>
        </w:rPr>
        <w:t xml:space="preserve">totaling </w:t>
      </w:r>
      <w:r w:rsidR="00E16423">
        <w:rPr>
          <w:rFonts w:asciiTheme="majorBidi" w:hAnsiTheme="majorBidi" w:cstheme="majorBidi"/>
        </w:rPr>
        <w:t xml:space="preserve">about </w:t>
      </w:r>
      <w:r w:rsidR="00A76DF8" w:rsidRPr="00AF201C">
        <w:rPr>
          <w:rFonts w:asciiTheme="majorBidi" w:hAnsiTheme="majorBidi" w:cstheme="majorBidi"/>
        </w:rPr>
        <w:t xml:space="preserve">NIS </w:t>
      </w:r>
      <w:r w:rsidR="00703E74">
        <w:rPr>
          <w:rFonts w:asciiTheme="majorBidi" w:hAnsiTheme="majorBidi" w:cstheme="majorBidi"/>
        </w:rPr>
        <w:t>15</w:t>
      </w:r>
      <w:r w:rsidR="001A3180" w:rsidRPr="00AF201C">
        <w:rPr>
          <w:rFonts w:asciiTheme="majorBidi" w:hAnsiTheme="majorBidi" w:cstheme="majorBidi"/>
        </w:rPr>
        <w:t xml:space="preserve"> b</w:t>
      </w:r>
      <w:r w:rsidR="00E16423">
        <w:rPr>
          <w:rFonts w:asciiTheme="majorBidi" w:hAnsiTheme="majorBidi" w:cstheme="majorBidi"/>
        </w:rPr>
        <w:t>illion.</w:t>
      </w:r>
      <w:r w:rsidR="00A76DF8" w:rsidRPr="00AF201C">
        <w:rPr>
          <w:rFonts w:asciiTheme="majorBidi" w:hAnsiTheme="majorBidi" w:cstheme="majorBidi"/>
        </w:rPr>
        <w:t xml:space="preserve"> Most of the new </w:t>
      </w:r>
      <w:r w:rsidR="00BE0F6C" w:rsidRPr="00AF201C">
        <w:rPr>
          <w:rFonts w:asciiTheme="majorBidi" w:hAnsiTheme="majorBidi" w:cstheme="majorBidi"/>
        </w:rPr>
        <w:t xml:space="preserve">investment </w:t>
      </w:r>
      <w:r w:rsidR="00A76DF8" w:rsidRPr="00AF201C">
        <w:rPr>
          <w:rFonts w:asciiTheme="majorBidi" w:hAnsiTheme="majorBidi" w:cstheme="majorBidi"/>
        </w:rPr>
        <w:t>was in shekel money market funds</w:t>
      </w:r>
      <w:r w:rsidR="00847A61" w:rsidRPr="00AF201C">
        <w:rPr>
          <w:rFonts w:asciiTheme="majorBidi" w:hAnsiTheme="majorBidi" w:cstheme="majorBidi"/>
        </w:rPr>
        <w:t>,</w:t>
      </w:r>
      <w:r w:rsidR="00A76DF8" w:rsidRPr="00AF201C">
        <w:rPr>
          <w:rFonts w:asciiTheme="majorBidi" w:hAnsiTheme="majorBidi" w:cstheme="majorBidi"/>
        </w:rPr>
        <w:t xml:space="preserve"> totaling NIS </w:t>
      </w:r>
      <w:r w:rsidR="001A3180" w:rsidRPr="00AF201C">
        <w:rPr>
          <w:rFonts w:asciiTheme="majorBidi" w:hAnsiTheme="majorBidi" w:cstheme="majorBidi"/>
        </w:rPr>
        <w:t>1</w:t>
      </w:r>
      <w:r w:rsidR="00703E74">
        <w:rPr>
          <w:rFonts w:asciiTheme="majorBidi" w:hAnsiTheme="majorBidi" w:cstheme="majorBidi"/>
        </w:rPr>
        <w:t>1.5</w:t>
      </w:r>
      <w:r w:rsidR="001A3180" w:rsidRPr="00AF201C">
        <w:rPr>
          <w:rFonts w:asciiTheme="majorBidi" w:hAnsiTheme="majorBidi" w:cstheme="majorBidi"/>
        </w:rPr>
        <w:t xml:space="preserve"> </w:t>
      </w:r>
      <w:r w:rsidR="00A76DF8" w:rsidRPr="00AF201C">
        <w:rPr>
          <w:rFonts w:asciiTheme="majorBidi" w:hAnsiTheme="majorBidi" w:cstheme="majorBidi"/>
        </w:rPr>
        <w:t>billion</w:t>
      </w:r>
      <w:r w:rsidR="001A3180" w:rsidRPr="00AF201C">
        <w:rPr>
          <w:rFonts w:asciiTheme="majorBidi" w:hAnsiTheme="majorBidi" w:cstheme="majorBidi"/>
        </w:rPr>
        <w:t xml:space="preserve">, </w:t>
      </w:r>
      <w:r w:rsidR="00FF2611" w:rsidRPr="00AF201C">
        <w:rPr>
          <w:rFonts w:asciiTheme="majorBidi" w:hAnsiTheme="majorBidi" w:cstheme="majorBidi"/>
        </w:rPr>
        <w:t>further to the trend</w:t>
      </w:r>
      <w:r w:rsidR="00C43603" w:rsidRPr="00AF201C">
        <w:rPr>
          <w:rFonts w:asciiTheme="majorBidi" w:hAnsiTheme="majorBidi" w:cstheme="majorBidi"/>
        </w:rPr>
        <w:t xml:space="preserve"> sin</w:t>
      </w:r>
      <w:r w:rsidR="00847A61" w:rsidRPr="00AF201C">
        <w:rPr>
          <w:rFonts w:asciiTheme="majorBidi" w:hAnsiTheme="majorBidi" w:cstheme="majorBidi"/>
        </w:rPr>
        <w:t>c</w:t>
      </w:r>
      <w:r w:rsidR="00C43603" w:rsidRPr="00AF201C">
        <w:rPr>
          <w:rFonts w:asciiTheme="majorBidi" w:hAnsiTheme="majorBidi" w:cstheme="majorBidi"/>
        </w:rPr>
        <w:t xml:space="preserve">e the beginning of </w:t>
      </w:r>
      <w:r w:rsidR="00E16423">
        <w:rPr>
          <w:rFonts w:asciiTheme="majorBidi" w:hAnsiTheme="majorBidi" w:cstheme="majorBidi"/>
        </w:rPr>
        <w:t>2022</w:t>
      </w:r>
      <w:r w:rsidR="00C43603" w:rsidRPr="00AF201C">
        <w:rPr>
          <w:rFonts w:asciiTheme="majorBidi" w:hAnsiTheme="majorBidi" w:cstheme="majorBidi"/>
        </w:rPr>
        <w:t xml:space="preserve">. In contrast, there were net </w:t>
      </w:r>
      <w:r w:rsidR="001A3180" w:rsidRPr="00AF201C">
        <w:rPr>
          <w:rFonts w:asciiTheme="majorBidi" w:hAnsiTheme="majorBidi" w:cstheme="majorBidi"/>
        </w:rPr>
        <w:t xml:space="preserve">withdrawals </w:t>
      </w:r>
      <w:r w:rsidR="00C43603" w:rsidRPr="00AF201C">
        <w:rPr>
          <w:rFonts w:asciiTheme="majorBidi" w:hAnsiTheme="majorBidi" w:cstheme="majorBidi"/>
        </w:rPr>
        <w:t xml:space="preserve">of NIS </w:t>
      </w:r>
      <w:r w:rsidR="00703E74">
        <w:rPr>
          <w:rFonts w:asciiTheme="majorBidi" w:hAnsiTheme="majorBidi" w:cstheme="majorBidi"/>
        </w:rPr>
        <w:t>3.5</w:t>
      </w:r>
      <w:r w:rsidR="001A3180" w:rsidRPr="00AF201C">
        <w:rPr>
          <w:rFonts w:asciiTheme="majorBidi" w:hAnsiTheme="majorBidi" w:cstheme="majorBidi"/>
        </w:rPr>
        <w:t xml:space="preserve"> </w:t>
      </w:r>
      <w:r w:rsidR="00C43603" w:rsidRPr="00AF201C">
        <w:rPr>
          <w:rFonts w:asciiTheme="majorBidi" w:hAnsiTheme="majorBidi" w:cstheme="majorBidi"/>
        </w:rPr>
        <w:t xml:space="preserve">billion </w:t>
      </w:r>
      <w:r w:rsidR="00703E74">
        <w:rPr>
          <w:rFonts w:asciiTheme="majorBidi" w:hAnsiTheme="majorBidi" w:cstheme="majorBidi"/>
        </w:rPr>
        <w:t>from</w:t>
      </w:r>
      <w:r w:rsidR="00C43603" w:rsidRPr="00AF201C">
        <w:rPr>
          <w:rFonts w:asciiTheme="majorBidi" w:hAnsiTheme="majorBidi" w:cstheme="majorBidi"/>
        </w:rPr>
        <w:t xml:space="preserve"> funds specializing in general bonds in Israel.</w:t>
      </w:r>
    </w:p>
    <w:p w14:paraId="25A2BACC" w14:textId="3B33B91B" w:rsidR="00A76DF8" w:rsidRDefault="006663FA" w:rsidP="00A76DF8">
      <w:pPr>
        <w:bidi w:val="0"/>
        <w:spacing w:line="300" w:lineRule="exact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w:drawing>
          <wp:anchor distT="0" distB="0" distL="114300" distR="114300" simplePos="0" relativeHeight="251684864" behindDoc="0" locked="0" layoutInCell="1" allowOverlap="1" wp14:anchorId="6A699A98" wp14:editId="25B455C1">
            <wp:simplePos x="0" y="0"/>
            <wp:positionH relativeFrom="column">
              <wp:posOffset>158750</wp:posOffset>
            </wp:positionH>
            <wp:positionV relativeFrom="paragraph">
              <wp:posOffset>200025</wp:posOffset>
            </wp:positionV>
            <wp:extent cx="5806440" cy="2385695"/>
            <wp:effectExtent l="0" t="0" r="3810" b="0"/>
            <wp:wrapSquare wrapText="bothSides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6440" cy="238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880433D" w14:textId="7D139A5C" w:rsidR="00F856FE" w:rsidRDefault="00F856FE" w:rsidP="007E422E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081351FF" w14:textId="1D907CD1" w:rsidR="00D57970" w:rsidRPr="00B228AF" w:rsidRDefault="00D57970" w:rsidP="00D57970">
      <w:pPr>
        <w:bidi w:val="0"/>
        <w:spacing w:line="300" w:lineRule="exact"/>
        <w:jc w:val="both"/>
        <w:rPr>
          <w:rFonts w:asciiTheme="majorBidi" w:hAnsiTheme="majorBidi" w:cstheme="majorBidi"/>
        </w:rPr>
      </w:pPr>
    </w:p>
    <w:p w14:paraId="4A1BB88E" w14:textId="3854BE7E" w:rsidR="00030E0F" w:rsidRPr="00B228AF" w:rsidRDefault="00FA1969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  <w:b/>
          <w:bCs/>
        </w:rPr>
      </w:pPr>
      <w:r w:rsidRPr="00B228AF">
        <w:rPr>
          <w:rFonts w:asciiTheme="majorBidi" w:hAnsiTheme="majorBidi" w:cstheme="majorBidi"/>
          <w:b/>
          <w:bCs/>
        </w:rPr>
        <w:t>Further information and details:</w:t>
      </w:r>
    </w:p>
    <w:p w14:paraId="248400D8" w14:textId="157097D2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</w:p>
    <w:p w14:paraId="77212F77" w14:textId="334C5C72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>Long-term tables on the asset portfolio are available here.</w:t>
      </w:r>
    </w:p>
    <w:p w14:paraId="4F26CFA2" w14:textId="36321110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>Long-term tables on institutional investors’ exposure to foreign exchange and to foreign assets are available here.</w:t>
      </w:r>
    </w:p>
    <w:p w14:paraId="1EF846CE" w14:textId="1BB82663" w:rsidR="00030E0F" w:rsidRPr="00B228AF" w:rsidRDefault="00030E0F" w:rsidP="007E422E">
      <w:pPr>
        <w:pStyle w:val="regpar"/>
        <w:ind w:firstLine="0"/>
        <w:jc w:val="left"/>
        <w:outlineLvl w:val="0"/>
        <w:rPr>
          <w:rFonts w:asciiTheme="majorBidi" w:hAnsiTheme="majorBidi" w:cstheme="majorBidi"/>
        </w:rPr>
      </w:pPr>
      <w:r w:rsidRPr="00B228AF">
        <w:rPr>
          <w:rFonts w:asciiTheme="majorBidi" w:hAnsiTheme="majorBidi" w:cstheme="majorBidi"/>
        </w:rPr>
        <w:t>Long-term tables on mutual funds are available here.</w:t>
      </w:r>
      <w:r w:rsidR="00BE513C" w:rsidRPr="00B228AF">
        <w:rPr>
          <w:rFonts w:asciiTheme="majorBidi" w:hAnsiTheme="majorBidi" w:cstheme="majorBidi"/>
        </w:rPr>
        <w:t xml:space="preserve"> </w:t>
      </w:r>
    </w:p>
    <w:sectPr w:rsidR="00030E0F" w:rsidRPr="00B228AF" w:rsidSect="009E75D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40" w:right="1080" w:bottom="1440" w:left="1080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2982A" w14:textId="77777777" w:rsidR="00E60FEA" w:rsidRDefault="00E60FEA">
      <w:r>
        <w:separator/>
      </w:r>
    </w:p>
  </w:endnote>
  <w:endnote w:type="continuationSeparator" w:id="0">
    <w:p w14:paraId="4941FA83" w14:textId="77777777" w:rsidR="00E60FEA" w:rsidRDefault="00E60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D4AE99" w14:textId="77777777" w:rsidR="00943474" w:rsidRDefault="0094347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2EC83F" w14:textId="1040FD80" w:rsidR="00FA1969" w:rsidRPr="00943474" w:rsidRDefault="00FA1969" w:rsidP="00943474">
    <w:pPr>
      <w:pStyle w:val="a4"/>
      <w:rPr>
        <w:rtl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6978B" w14:textId="77777777" w:rsidR="00527385" w:rsidRPr="00943474" w:rsidRDefault="00527385" w:rsidP="00943474">
    <w:pPr>
      <w:pStyle w:val="a4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132CA" w14:textId="77777777" w:rsidR="00E60FEA" w:rsidRDefault="00E60FEA">
      <w:r>
        <w:separator/>
      </w:r>
    </w:p>
  </w:footnote>
  <w:footnote w:type="continuationSeparator" w:id="0">
    <w:p w14:paraId="5F1F6B6A" w14:textId="77777777" w:rsidR="00E60FEA" w:rsidRDefault="00E60FEA">
      <w:r>
        <w:continuationSeparator/>
      </w:r>
    </w:p>
  </w:footnote>
  <w:footnote w:id="1">
    <w:p w14:paraId="28D7B6E0" w14:textId="77777777" w:rsidR="00DF0119" w:rsidRDefault="00DF0119" w:rsidP="00DF0119">
      <w:pPr>
        <w:pStyle w:val="a7"/>
        <w:bidi w:val="0"/>
      </w:pPr>
      <w:r>
        <w:rPr>
          <w:rStyle w:val="a8"/>
        </w:rPr>
        <w:footnoteRef/>
      </w:r>
      <w:r>
        <w:t xml:space="preserve"> Excluding mutual funds.</w:t>
      </w:r>
    </w:p>
  </w:footnote>
  <w:footnote w:id="2">
    <w:p w14:paraId="768F7FB2" w14:textId="02E7293E" w:rsidR="004A407B" w:rsidRDefault="004A407B" w:rsidP="0004599E">
      <w:pPr>
        <w:pStyle w:val="a7"/>
        <w:bidi w:val="0"/>
      </w:pPr>
      <w:r w:rsidRPr="00203A86">
        <w:rPr>
          <w:rStyle w:val="a8"/>
        </w:rPr>
        <w:footnoteRef/>
      </w:r>
      <w:r w:rsidRPr="00203A86">
        <w:rPr>
          <w:rtl/>
        </w:rPr>
        <w:t xml:space="preserve"> </w:t>
      </w:r>
      <w:r w:rsidR="00D879B5" w:rsidRPr="00203A86">
        <w:t>Estimates of members’ exposure (rather than exposure of the institutional investors themselves) to various risks in the portfolio managed for them by the institutional investors (excluding insurance policies with a guaranteed yield, where the risk is taken on by the institutional investors).</w:t>
      </w:r>
      <w:r w:rsidR="00CC1271" w:rsidRPr="00203A86">
        <w:t xml:space="preserve"> For additional details on definitions, terms, and explanations, see “Measuring the Exposures of Institutional Investors to Foreign Currency and to Foreign Assets” in the Bank’s Statistical Bulletin for 2016</w:t>
      </w:r>
      <w:r w:rsidR="0004599E" w:rsidRPr="00203A86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EA67B0" w14:textId="77777777" w:rsidR="00943474" w:rsidRDefault="0094347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EE9D6B" w14:textId="77777777" w:rsidR="00943474" w:rsidRDefault="0094347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F34405" w14:textId="11958CA7" w:rsidR="009E75D5" w:rsidRPr="009E75D5" w:rsidRDefault="009E75D5" w:rsidP="00E35C84">
    <w:pPr>
      <w:pStyle w:val="Letterhead2"/>
      <w:jc w:val="lef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20D1B"/>
    <w:multiLevelType w:val="hybridMultilevel"/>
    <w:tmpl w:val="CFEAE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90A0C"/>
    <w:multiLevelType w:val="hybridMultilevel"/>
    <w:tmpl w:val="1C124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976DF"/>
    <w:multiLevelType w:val="hybridMultilevel"/>
    <w:tmpl w:val="2A148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FF2751"/>
    <w:multiLevelType w:val="hybridMultilevel"/>
    <w:tmpl w:val="0DEEE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803CB"/>
    <w:multiLevelType w:val="hybridMultilevel"/>
    <w:tmpl w:val="4A9A7706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605F3"/>
    <w:multiLevelType w:val="hybridMultilevel"/>
    <w:tmpl w:val="B30C4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594805"/>
    <w:multiLevelType w:val="hybridMultilevel"/>
    <w:tmpl w:val="A8BCD1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5A3B03"/>
    <w:multiLevelType w:val="multilevel"/>
    <w:tmpl w:val="A4E44050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B61592"/>
    <w:multiLevelType w:val="hybridMultilevel"/>
    <w:tmpl w:val="47BEB7D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745DF"/>
    <w:multiLevelType w:val="hybridMultilevel"/>
    <w:tmpl w:val="6018DF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A27C0C"/>
    <w:multiLevelType w:val="hybridMultilevel"/>
    <w:tmpl w:val="5B88046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A46D6"/>
    <w:multiLevelType w:val="hybridMultilevel"/>
    <w:tmpl w:val="75F83FFC"/>
    <w:lvl w:ilvl="0" w:tplc="DB888D32">
      <w:start w:val="1"/>
      <w:numFmt w:val="bullet"/>
      <w:lvlText w:val="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40138"/>
    <w:multiLevelType w:val="hybridMultilevel"/>
    <w:tmpl w:val="8FE6CDB6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3427E5E"/>
    <w:multiLevelType w:val="hybridMultilevel"/>
    <w:tmpl w:val="B40844E8"/>
    <w:lvl w:ilvl="0" w:tplc="82020CE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A3A5F80"/>
    <w:multiLevelType w:val="hybridMultilevel"/>
    <w:tmpl w:val="1E8C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A0AB1"/>
    <w:multiLevelType w:val="hybridMultilevel"/>
    <w:tmpl w:val="0B4A8B58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C495A6B"/>
    <w:multiLevelType w:val="hybridMultilevel"/>
    <w:tmpl w:val="5F8CFB40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C721EA"/>
    <w:multiLevelType w:val="hybridMultilevel"/>
    <w:tmpl w:val="A4E44050"/>
    <w:lvl w:ilvl="0" w:tplc="4B12868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434EF0"/>
    <w:multiLevelType w:val="hybridMultilevel"/>
    <w:tmpl w:val="154425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067F0E"/>
    <w:multiLevelType w:val="hybridMultilevel"/>
    <w:tmpl w:val="3B941A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0969B0"/>
    <w:multiLevelType w:val="hybridMultilevel"/>
    <w:tmpl w:val="331E9492"/>
    <w:lvl w:ilvl="0" w:tplc="C45ED432">
      <w:start w:val="1"/>
      <w:numFmt w:val="decimal"/>
      <w:lvlText w:val="%1."/>
      <w:lvlJc w:val="left"/>
      <w:pPr>
        <w:tabs>
          <w:tab w:val="num" w:pos="3120"/>
        </w:tabs>
        <w:ind w:left="3120" w:hanging="27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E37DDA"/>
    <w:multiLevelType w:val="multilevel"/>
    <w:tmpl w:val="E758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B5E70"/>
    <w:multiLevelType w:val="hybridMultilevel"/>
    <w:tmpl w:val="182003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450E37"/>
    <w:multiLevelType w:val="hybridMultilevel"/>
    <w:tmpl w:val="162E62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8F6054"/>
    <w:multiLevelType w:val="hybridMultilevel"/>
    <w:tmpl w:val="9CB69E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5"/>
  </w:num>
  <w:num w:numId="3">
    <w:abstractNumId w:val="4"/>
  </w:num>
  <w:num w:numId="4">
    <w:abstractNumId w:val="12"/>
  </w:num>
  <w:num w:numId="5">
    <w:abstractNumId w:val="22"/>
  </w:num>
  <w:num w:numId="6">
    <w:abstractNumId w:val="11"/>
  </w:num>
  <w:num w:numId="7">
    <w:abstractNumId w:val="19"/>
  </w:num>
  <w:num w:numId="8">
    <w:abstractNumId w:val="13"/>
  </w:num>
  <w:num w:numId="9">
    <w:abstractNumId w:val="0"/>
  </w:num>
  <w:num w:numId="10">
    <w:abstractNumId w:val="21"/>
  </w:num>
  <w:num w:numId="11">
    <w:abstractNumId w:val="23"/>
  </w:num>
  <w:num w:numId="12">
    <w:abstractNumId w:val="24"/>
  </w:num>
  <w:num w:numId="13">
    <w:abstractNumId w:val="9"/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</w:num>
  <w:num w:numId="16">
    <w:abstractNumId w:val="7"/>
  </w:num>
  <w:num w:numId="17">
    <w:abstractNumId w:val="10"/>
  </w:num>
  <w:num w:numId="18">
    <w:abstractNumId w:val="8"/>
  </w:num>
  <w:num w:numId="19">
    <w:abstractNumId w:val="16"/>
  </w:num>
  <w:num w:numId="20">
    <w:abstractNumId w:val="14"/>
  </w:num>
  <w:num w:numId="21">
    <w:abstractNumId w:val="1"/>
  </w:num>
  <w:num w:numId="22">
    <w:abstractNumId w:val="6"/>
  </w:num>
  <w:num w:numId="23">
    <w:abstractNumId w:val="3"/>
  </w:num>
  <w:num w:numId="24">
    <w:abstractNumId w:val="5"/>
  </w:num>
  <w:num w:numId="25">
    <w:abstractNumId w:val="2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D53"/>
    <w:rsid w:val="00001639"/>
    <w:rsid w:val="00002378"/>
    <w:rsid w:val="000029D9"/>
    <w:rsid w:val="00004DEE"/>
    <w:rsid w:val="00005F13"/>
    <w:rsid w:val="00007712"/>
    <w:rsid w:val="00007ABC"/>
    <w:rsid w:val="00007CFD"/>
    <w:rsid w:val="00010E6D"/>
    <w:rsid w:val="00011480"/>
    <w:rsid w:val="0001230C"/>
    <w:rsid w:val="00012BEC"/>
    <w:rsid w:val="000130F6"/>
    <w:rsid w:val="000131ED"/>
    <w:rsid w:val="0001349E"/>
    <w:rsid w:val="00014CF7"/>
    <w:rsid w:val="00015F2B"/>
    <w:rsid w:val="0001611E"/>
    <w:rsid w:val="00016AAE"/>
    <w:rsid w:val="0001757B"/>
    <w:rsid w:val="00021226"/>
    <w:rsid w:val="00021906"/>
    <w:rsid w:val="00021A26"/>
    <w:rsid w:val="00022CED"/>
    <w:rsid w:val="00023598"/>
    <w:rsid w:val="0002460E"/>
    <w:rsid w:val="0002558A"/>
    <w:rsid w:val="00025A61"/>
    <w:rsid w:val="00026495"/>
    <w:rsid w:val="00026948"/>
    <w:rsid w:val="00027156"/>
    <w:rsid w:val="000303AD"/>
    <w:rsid w:val="00030937"/>
    <w:rsid w:val="00030C47"/>
    <w:rsid w:val="00030E0F"/>
    <w:rsid w:val="00031A70"/>
    <w:rsid w:val="00034BDA"/>
    <w:rsid w:val="00037EA5"/>
    <w:rsid w:val="00040334"/>
    <w:rsid w:val="00042656"/>
    <w:rsid w:val="00042EBE"/>
    <w:rsid w:val="0004373E"/>
    <w:rsid w:val="000451FC"/>
    <w:rsid w:val="0004599E"/>
    <w:rsid w:val="00046071"/>
    <w:rsid w:val="00046636"/>
    <w:rsid w:val="00046B0A"/>
    <w:rsid w:val="00046FFC"/>
    <w:rsid w:val="000515C2"/>
    <w:rsid w:val="000534FA"/>
    <w:rsid w:val="00055574"/>
    <w:rsid w:val="000555D2"/>
    <w:rsid w:val="000568B1"/>
    <w:rsid w:val="00056985"/>
    <w:rsid w:val="00056FD7"/>
    <w:rsid w:val="00060F3C"/>
    <w:rsid w:val="00061279"/>
    <w:rsid w:val="0006161F"/>
    <w:rsid w:val="00061E54"/>
    <w:rsid w:val="00062BC0"/>
    <w:rsid w:val="00064B14"/>
    <w:rsid w:val="00064B4F"/>
    <w:rsid w:val="00065A05"/>
    <w:rsid w:val="00066BE2"/>
    <w:rsid w:val="0006727C"/>
    <w:rsid w:val="00071569"/>
    <w:rsid w:val="00071706"/>
    <w:rsid w:val="00072650"/>
    <w:rsid w:val="00072BC5"/>
    <w:rsid w:val="000730F5"/>
    <w:rsid w:val="000733F6"/>
    <w:rsid w:val="00073536"/>
    <w:rsid w:val="00073A52"/>
    <w:rsid w:val="000742EC"/>
    <w:rsid w:val="00074A88"/>
    <w:rsid w:val="00075628"/>
    <w:rsid w:val="0007598C"/>
    <w:rsid w:val="00076E8B"/>
    <w:rsid w:val="000770C2"/>
    <w:rsid w:val="00077374"/>
    <w:rsid w:val="00077422"/>
    <w:rsid w:val="0007769E"/>
    <w:rsid w:val="00077ABB"/>
    <w:rsid w:val="00077D45"/>
    <w:rsid w:val="00080272"/>
    <w:rsid w:val="00080D87"/>
    <w:rsid w:val="000827F1"/>
    <w:rsid w:val="000836B8"/>
    <w:rsid w:val="00083D7F"/>
    <w:rsid w:val="00083FB0"/>
    <w:rsid w:val="00084032"/>
    <w:rsid w:val="00084081"/>
    <w:rsid w:val="0008433F"/>
    <w:rsid w:val="00084AD9"/>
    <w:rsid w:val="00087197"/>
    <w:rsid w:val="00087B82"/>
    <w:rsid w:val="00087F9E"/>
    <w:rsid w:val="00090B9D"/>
    <w:rsid w:val="00090F04"/>
    <w:rsid w:val="000913E8"/>
    <w:rsid w:val="00096B23"/>
    <w:rsid w:val="00096BCA"/>
    <w:rsid w:val="000979C4"/>
    <w:rsid w:val="000A0574"/>
    <w:rsid w:val="000A05C1"/>
    <w:rsid w:val="000A0B1D"/>
    <w:rsid w:val="000A0DC3"/>
    <w:rsid w:val="000A28FD"/>
    <w:rsid w:val="000A2FAD"/>
    <w:rsid w:val="000A5131"/>
    <w:rsid w:val="000A5497"/>
    <w:rsid w:val="000A5596"/>
    <w:rsid w:val="000A616C"/>
    <w:rsid w:val="000A6565"/>
    <w:rsid w:val="000A794F"/>
    <w:rsid w:val="000A7A78"/>
    <w:rsid w:val="000A7F6F"/>
    <w:rsid w:val="000B19BE"/>
    <w:rsid w:val="000B3856"/>
    <w:rsid w:val="000B38F4"/>
    <w:rsid w:val="000C000E"/>
    <w:rsid w:val="000C21A7"/>
    <w:rsid w:val="000C2857"/>
    <w:rsid w:val="000D1297"/>
    <w:rsid w:val="000D193E"/>
    <w:rsid w:val="000D1D64"/>
    <w:rsid w:val="000D1F69"/>
    <w:rsid w:val="000D1FF2"/>
    <w:rsid w:val="000D283A"/>
    <w:rsid w:val="000D2D34"/>
    <w:rsid w:val="000D2F56"/>
    <w:rsid w:val="000D2F8B"/>
    <w:rsid w:val="000D4E1C"/>
    <w:rsid w:val="000D6056"/>
    <w:rsid w:val="000D6826"/>
    <w:rsid w:val="000D6F91"/>
    <w:rsid w:val="000E15B9"/>
    <w:rsid w:val="000E1E65"/>
    <w:rsid w:val="000E1EBF"/>
    <w:rsid w:val="000E3BB6"/>
    <w:rsid w:val="000E3F59"/>
    <w:rsid w:val="000F008D"/>
    <w:rsid w:val="000F0704"/>
    <w:rsid w:val="000F09CF"/>
    <w:rsid w:val="000F1279"/>
    <w:rsid w:val="000F3911"/>
    <w:rsid w:val="000F4E29"/>
    <w:rsid w:val="000F5D12"/>
    <w:rsid w:val="000F5E04"/>
    <w:rsid w:val="00100BAC"/>
    <w:rsid w:val="00101E40"/>
    <w:rsid w:val="001028F7"/>
    <w:rsid w:val="001037DF"/>
    <w:rsid w:val="0010395A"/>
    <w:rsid w:val="001041D2"/>
    <w:rsid w:val="0010469E"/>
    <w:rsid w:val="00105992"/>
    <w:rsid w:val="00105A05"/>
    <w:rsid w:val="00106B14"/>
    <w:rsid w:val="00110A0B"/>
    <w:rsid w:val="00110A6B"/>
    <w:rsid w:val="00110F2B"/>
    <w:rsid w:val="00111379"/>
    <w:rsid w:val="00111C23"/>
    <w:rsid w:val="00112DFA"/>
    <w:rsid w:val="00113852"/>
    <w:rsid w:val="00117240"/>
    <w:rsid w:val="00117349"/>
    <w:rsid w:val="00117C88"/>
    <w:rsid w:val="00117EA8"/>
    <w:rsid w:val="001212BC"/>
    <w:rsid w:val="00121863"/>
    <w:rsid w:val="00121AD1"/>
    <w:rsid w:val="001225C6"/>
    <w:rsid w:val="00122677"/>
    <w:rsid w:val="00123403"/>
    <w:rsid w:val="00123F47"/>
    <w:rsid w:val="00125BC4"/>
    <w:rsid w:val="00126B0A"/>
    <w:rsid w:val="00130432"/>
    <w:rsid w:val="00131BF1"/>
    <w:rsid w:val="00131BFB"/>
    <w:rsid w:val="00132090"/>
    <w:rsid w:val="00134B93"/>
    <w:rsid w:val="00134BBB"/>
    <w:rsid w:val="001361FB"/>
    <w:rsid w:val="001368EE"/>
    <w:rsid w:val="00137F23"/>
    <w:rsid w:val="00141D4A"/>
    <w:rsid w:val="00142F66"/>
    <w:rsid w:val="00143081"/>
    <w:rsid w:val="00150DCF"/>
    <w:rsid w:val="00152DB5"/>
    <w:rsid w:val="0015326A"/>
    <w:rsid w:val="00153693"/>
    <w:rsid w:val="00153B8E"/>
    <w:rsid w:val="00153E5E"/>
    <w:rsid w:val="001559DF"/>
    <w:rsid w:val="00155A7B"/>
    <w:rsid w:val="00155FC7"/>
    <w:rsid w:val="0015643E"/>
    <w:rsid w:val="00156775"/>
    <w:rsid w:val="00157086"/>
    <w:rsid w:val="00160252"/>
    <w:rsid w:val="00160FD3"/>
    <w:rsid w:val="001617F7"/>
    <w:rsid w:val="001621C9"/>
    <w:rsid w:val="00162C08"/>
    <w:rsid w:val="00164265"/>
    <w:rsid w:val="001648C9"/>
    <w:rsid w:val="00164F0B"/>
    <w:rsid w:val="00166FAD"/>
    <w:rsid w:val="00167663"/>
    <w:rsid w:val="00173CD7"/>
    <w:rsid w:val="0017463C"/>
    <w:rsid w:val="00175845"/>
    <w:rsid w:val="0017625D"/>
    <w:rsid w:val="001777E8"/>
    <w:rsid w:val="00177B46"/>
    <w:rsid w:val="00180F85"/>
    <w:rsid w:val="0018249C"/>
    <w:rsid w:val="001825F8"/>
    <w:rsid w:val="001829FC"/>
    <w:rsid w:val="00182C7D"/>
    <w:rsid w:val="001849E7"/>
    <w:rsid w:val="001862E3"/>
    <w:rsid w:val="00186591"/>
    <w:rsid w:val="00186701"/>
    <w:rsid w:val="001903DA"/>
    <w:rsid w:val="001904AF"/>
    <w:rsid w:val="00190880"/>
    <w:rsid w:val="00190956"/>
    <w:rsid w:val="00190B50"/>
    <w:rsid w:val="001910E4"/>
    <w:rsid w:val="00192FE0"/>
    <w:rsid w:val="0019307C"/>
    <w:rsid w:val="00193AC4"/>
    <w:rsid w:val="0019572A"/>
    <w:rsid w:val="00195C3E"/>
    <w:rsid w:val="00195E75"/>
    <w:rsid w:val="00196353"/>
    <w:rsid w:val="00197D9E"/>
    <w:rsid w:val="001A0B4E"/>
    <w:rsid w:val="001A0F65"/>
    <w:rsid w:val="001A1082"/>
    <w:rsid w:val="001A17D0"/>
    <w:rsid w:val="001A3180"/>
    <w:rsid w:val="001A3A99"/>
    <w:rsid w:val="001A3B35"/>
    <w:rsid w:val="001A3EBE"/>
    <w:rsid w:val="001A5804"/>
    <w:rsid w:val="001A620F"/>
    <w:rsid w:val="001A76C1"/>
    <w:rsid w:val="001B0802"/>
    <w:rsid w:val="001B155A"/>
    <w:rsid w:val="001B275A"/>
    <w:rsid w:val="001B42A1"/>
    <w:rsid w:val="001B4C79"/>
    <w:rsid w:val="001B4FF0"/>
    <w:rsid w:val="001B6F1C"/>
    <w:rsid w:val="001B7792"/>
    <w:rsid w:val="001B7AE4"/>
    <w:rsid w:val="001B7C95"/>
    <w:rsid w:val="001C09C8"/>
    <w:rsid w:val="001C13BF"/>
    <w:rsid w:val="001C17FB"/>
    <w:rsid w:val="001C1C22"/>
    <w:rsid w:val="001C2666"/>
    <w:rsid w:val="001C2C91"/>
    <w:rsid w:val="001C3794"/>
    <w:rsid w:val="001C40EE"/>
    <w:rsid w:val="001C5AAF"/>
    <w:rsid w:val="001C7BA1"/>
    <w:rsid w:val="001C7F86"/>
    <w:rsid w:val="001D03E7"/>
    <w:rsid w:val="001D2255"/>
    <w:rsid w:val="001D672B"/>
    <w:rsid w:val="001D680D"/>
    <w:rsid w:val="001D72B6"/>
    <w:rsid w:val="001D73FB"/>
    <w:rsid w:val="001D7666"/>
    <w:rsid w:val="001E01B6"/>
    <w:rsid w:val="001E03F4"/>
    <w:rsid w:val="001E0BB4"/>
    <w:rsid w:val="001E1450"/>
    <w:rsid w:val="001E4860"/>
    <w:rsid w:val="001E6BC1"/>
    <w:rsid w:val="001E74E0"/>
    <w:rsid w:val="001E7841"/>
    <w:rsid w:val="001E78EB"/>
    <w:rsid w:val="001E7E8F"/>
    <w:rsid w:val="001F07D8"/>
    <w:rsid w:val="001F25C6"/>
    <w:rsid w:val="001F2773"/>
    <w:rsid w:val="001F294B"/>
    <w:rsid w:val="001F47EA"/>
    <w:rsid w:val="001F4FC4"/>
    <w:rsid w:val="001F5034"/>
    <w:rsid w:val="001F55BF"/>
    <w:rsid w:val="001F5920"/>
    <w:rsid w:val="00202426"/>
    <w:rsid w:val="002026ED"/>
    <w:rsid w:val="00202B01"/>
    <w:rsid w:val="00202C1F"/>
    <w:rsid w:val="002035D1"/>
    <w:rsid w:val="00203777"/>
    <w:rsid w:val="00203997"/>
    <w:rsid w:val="00203A86"/>
    <w:rsid w:val="00204632"/>
    <w:rsid w:val="00204BED"/>
    <w:rsid w:val="002058CF"/>
    <w:rsid w:val="00205985"/>
    <w:rsid w:val="00206068"/>
    <w:rsid w:val="0020691A"/>
    <w:rsid w:val="00207390"/>
    <w:rsid w:val="00207524"/>
    <w:rsid w:val="00210190"/>
    <w:rsid w:val="00210A74"/>
    <w:rsid w:val="00211069"/>
    <w:rsid w:val="00211075"/>
    <w:rsid w:val="0021142F"/>
    <w:rsid w:val="0021170F"/>
    <w:rsid w:val="00211E5F"/>
    <w:rsid w:val="00212971"/>
    <w:rsid w:val="002134F9"/>
    <w:rsid w:val="00214F11"/>
    <w:rsid w:val="00215694"/>
    <w:rsid w:val="0021590B"/>
    <w:rsid w:val="00215D14"/>
    <w:rsid w:val="0021612F"/>
    <w:rsid w:val="002165A4"/>
    <w:rsid w:val="00216917"/>
    <w:rsid w:val="002169A7"/>
    <w:rsid w:val="00216BA0"/>
    <w:rsid w:val="00216C54"/>
    <w:rsid w:val="00221532"/>
    <w:rsid w:val="00221663"/>
    <w:rsid w:val="002234B0"/>
    <w:rsid w:val="00223E46"/>
    <w:rsid w:val="00226B34"/>
    <w:rsid w:val="002274B2"/>
    <w:rsid w:val="00227817"/>
    <w:rsid w:val="002279C5"/>
    <w:rsid w:val="002322C4"/>
    <w:rsid w:val="002336E8"/>
    <w:rsid w:val="00233E6F"/>
    <w:rsid w:val="00234629"/>
    <w:rsid w:val="002348A9"/>
    <w:rsid w:val="00236044"/>
    <w:rsid w:val="00240305"/>
    <w:rsid w:val="00240F5E"/>
    <w:rsid w:val="00242EEC"/>
    <w:rsid w:val="00243B18"/>
    <w:rsid w:val="00243D62"/>
    <w:rsid w:val="002446CA"/>
    <w:rsid w:val="00244AA4"/>
    <w:rsid w:val="00244B90"/>
    <w:rsid w:val="00245041"/>
    <w:rsid w:val="00245B79"/>
    <w:rsid w:val="00245C37"/>
    <w:rsid w:val="00245F1B"/>
    <w:rsid w:val="002468D7"/>
    <w:rsid w:val="00247F90"/>
    <w:rsid w:val="00250BA8"/>
    <w:rsid w:val="00251701"/>
    <w:rsid w:val="00251E96"/>
    <w:rsid w:val="0025230A"/>
    <w:rsid w:val="002527B1"/>
    <w:rsid w:val="00253115"/>
    <w:rsid w:val="00254125"/>
    <w:rsid w:val="00254AAB"/>
    <w:rsid w:val="00255454"/>
    <w:rsid w:val="0025558D"/>
    <w:rsid w:val="002559A8"/>
    <w:rsid w:val="00257E01"/>
    <w:rsid w:val="00257E2A"/>
    <w:rsid w:val="00260AB9"/>
    <w:rsid w:val="00260AFC"/>
    <w:rsid w:val="00260FE7"/>
    <w:rsid w:val="00261B22"/>
    <w:rsid w:val="00262435"/>
    <w:rsid w:val="00262464"/>
    <w:rsid w:val="0026287A"/>
    <w:rsid w:val="00262B04"/>
    <w:rsid w:val="002643E0"/>
    <w:rsid w:val="00264B82"/>
    <w:rsid w:val="00265935"/>
    <w:rsid w:val="00265E31"/>
    <w:rsid w:val="002666F2"/>
    <w:rsid w:val="00267C4D"/>
    <w:rsid w:val="00267E9D"/>
    <w:rsid w:val="00270181"/>
    <w:rsid w:val="0027082F"/>
    <w:rsid w:val="00270C3E"/>
    <w:rsid w:val="00270F3E"/>
    <w:rsid w:val="002720DA"/>
    <w:rsid w:val="00272EB6"/>
    <w:rsid w:val="00272F0C"/>
    <w:rsid w:val="002749DD"/>
    <w:rsid w:val="00274DE1"/>
    <w:rsid w:val="002763E8"/>
    <w:rsid w:val="002804F4"/>
    <w:rsid w:val="00280D05"/>
    <w:rsid w:val="00281187"/>
    <w:rsid w:val="00281D1F"/>
    <w:rsid w:val="002830B3"/>
    <w:rsid w:val="002837E1"/>
    <w:rsid w:val="00283948"/>
    <w:rsid w:val="00284325"/>
    <w:rsid w:val="002854F4"/>
    <w:rsid w:val="00285C6E"/>
    <w:rsid w:val="00285FCB"/>
    <w:rsid w:val="002862C7"/>
    <w:rsid w:val="00287183"/>
    <w:rsid w:val="0028784B"/>
    <w:rsid w:val="002910A7"/>
    <w:rsid w:val="00291F87"/>
    <w:rsid w:val="00292F62"/>
    <w:rsid w:val="00293A2B"/>
    <w:rsid w:val="00294ED7"/>
    <w:rsid w:val="002956DF"/>
    <w:rsid w:val="00295E21"/>
    <w:rsid w:val="0029626E"/>
    <w:rsid w:val="00296C0D"/>
    <w:rsid w:val="002A0A29"/>
    <w:rsid w:val="002A1069"/>
    <w:rsid w:val="002A1F90"/>
    <w:rsid w:val="002A5618"/>
    <w:rsid w:val="002A6A02"/>
    <w:rsid w:val="002A79DB"/>
    <w:rsid w:val="002A7A79"/>
    <w:rsid w:val="002A7F2D"/>
    <w:rsid w:val="002B03AC"/>
    <w:rsid w:val="002B0735"/>
    <w:rsid w:val="002B0BD0"/>
    <w:rsid w:val="002B0EA2"/>
    <w:rsid w:val="002B111B"/>
    <w:rsid w:val="002B132F"/>
    <w:rsid w:val="002B146C"/>
    <w:rsid w:val="002B1629"/>
    <w:rsid w:val="002B1956"/>
    <w:rsid w:val="002B20B9"/>
    <w:rsid w:val="002B36CA"/>
    <w:rsid w:val="002B41EA"/>
    <w:rsid w:val="002B4397"/>
    <w:rsid w:val="002B4AD7"/>
    <w:rsid w:val="002C1606"/>
    <w:rsid w:val="002C40ED"/>
    <w:rsid w:val="002C4278"/>
    <w:rsid w:val="002C4625"/>
    <w:rsid w:val="002C46ED"/>
    <w:rsid w:val="002C5BC5"/>
    <w:rsid w:val="002C6355"/>
    <w:rsid w:val="002C6776"/>
    <w:rsid w:val="002C77A3"/>
    <w:rsid w:val="002D0722"/>
    <w:rsid w:val="002D0953"/>
    <w:rsid w:val="002D09EE"/>
    <w:rsid w:val="002D17EE"/>
    <w:rsid w:val="002D1DB1"/>
    <w:rsid w:val="002D21DA"/>
    <w:rsid w:val="002D3AFA"/>
    <w:rsid w:val="002D43A1"/>
    <w:rsid w:val="002D4AF7"/>
    <w:rsid w:val="002D4F52"/>
    <w:rsid w:val="002D670F"/>
    <w:rsid w:val="002D6929"/>
    <w:rsid w:val="002D6B8A"/>
    <w:rsid w:val="002D7028"/>
    <w:rsid w:val="002E1F22"/>
    <w:rsid w:val="002E269A"/>
    <w:rsid w:val="002E347D"/>
    <w:rsid w:val="002E3A4D"/>
    <w:rsid w:val="002E579F"/>
    <w:rsid w:val="002E5D3E"/>
    <w:rsid w:val="002E63B3"/>
    <w:rsid w:val="002F0FD5"/>
    <w:rsid w:val="002F1A50"/>
    <w:rsid w:val="002F1D64"/>
    <w:rsid w:val="002F348F"/>
    <w:rsid w:val="002F3824"/>
    <w:rsid w:val="002F426A"/>
    <w:rsid w:val="002F456F"/>
    <w:rsid w:val="002F55F2"/>
    <w:rsid w:val="002F57E5"/>
    <w:rsid w:val="002F6063"/>
    <w:rsid w:val="002F660B"/>
    <w:rsid w:val="0030076F"/>
    <w:rsid w:val="0030084A"/>
    <w:rsid w:val="00300932"/>
    <w:rsid w:val="00300B42"/>
    <w:rsid w:val="0030109B"/>
    <w:rsid w:val="003013B7"/>
    <w:rsid w:val="00301495"/>
    <w:rsid w:val="00301814"/>
    <w:rsid w:val="00304403"/>
    <w:rsid w:val="00304E14"/>
    <w:rsid w:val="003060EE"/>
    <w:rsid w:val="00306B10"/>
    <w:rsid w:val="00306DD1"/>
    <w:rsid w:val="00307A36"/>
    <w:rsid w:val="0031159F"/>
    <w:rsid w:val="00311BB9"/>
    <w:rsid w:val="0031228A"/>
    <w:rsid w:val="00314470"/>
    <w:rsid w:val="00314A18"/>
    <w:rsid w:val="00314CFD"/>
    <w:rsid w:val="0031513A"/>
    <w:rsid w:val="00316F2B"/>
    <w:rsid w:val="0031760F"/>
    <w:rsid w:val="003220F2"/>
    <w:rsid w:val="0032250E"/>
    <w:rsid w:val="003229AF"/>
    <w:rsid w:val="0032497A"/>
    <w:rsid w:val="00331310"/>
    <w:rsid w:val="00332036"/>
    <w:rsid w:val="00332140"/>
    <w:rsid w:val="00332339"/>
    <w:rsid w:val="0033260A"/>
    <w:rsid w:val="00332FA1"/>
    <w:rsid w:val="00333D4A"/>
    <w:rsid w:val="00333E56"/>
    <w:rsid w:val="003341B1"/>
    <w:rsid w:val="00334B4B"/>
    <w:rsid w:val="003352A9"/>
    <w:rsid w:val="003362E9"/>
    <w:rsid w:val="003364AD"/>
    <w:rsid w:val="00340064"/>
    <w:rsid w:val="00342578"/>
    <w:rsid w:val="003432BF"/>
    <w:rsid w:val="00343B20"/>
    <w:rsid w:val="003464F1"/>
    <w:rsid w:val="003472F7"/>
    <w:rsid w:val="00347A26"/>
    <w:rsid w:val="00347D8B"/>
    <w:rsid w:val="00347DED"/>
    <w:rsid w:val="0035064D"/>
    <w:rsid w:val="0035079C"/>
    <w:rsid w:val="00350CB8"/>
    <w:rsid w:val="00352B3C"/>
    <w:rsid w:val="00355822"/>
    <w:rsid w:val="0035617A"/>
    <w:rsid w:val="00356331"/>
    <w:rsid w:val="003564F1"/>
    <w:rsid w:val="0036192B"/>
    <w:rsid w:val="003619A6"/>
    <w:rsid w:val="003619D5"/>
    <w:rsid w:val="00364581"/>
    <w:rsid w:val="00364A9A"/>
    <w:rsid w:val="00365255"/>
    <w:rsid w:val="00367017"/>
    <w:rsid w:val="00370133"/>
    <w:rsid w:val="00372C60"/>
    <w:rsid w:val="00372D42"/>
    <w:rsid w:val="0038136B"/>
    <w:rsid w:val="003814BD"/>
    <w:rsid w:val="00382839"/>
    <w:rsid w:val="00383726"/>
    <w:rsid w:val="0038374A"/>
    <w:rsid w:val="0038469B"/>
    <w:rsid w:val="00384AF4"/>
    <w:rsid w:val="00384D46"/>
    <w:rsid w:val="003866F0"/>
    <w:rsid w:val="0038756A"/>
    <w:rsid w:val="00390134"/>
    <w:rsid w:val="0039069F"/>
    <w:rsid w:val="00391815"/>
    <w:rsid w:val="0039305B"/>
    <w:rsid w:val="00394B7C"/>
    <w:rsid w:val="00395476"/>
    <w:rsid w:val="003966E0"/>
    <w:rsid w:val="00396A86"/>
    <w:rsid w:val="00396F9B"/>
    <w:rsid w:val="003A171E"/>
    <w:rsid w:val="003A1B2E"/>
    <w:rsid w:val="003A292D"/>
    <w:rsid w:val="003A2D09"/>
    <w:rsid w:val="003A2F59"/>
    <w:rsid w:val="003A336D"/>
    <w:rsid w:val="003A3AB2"/>
    <w:rsid w:val="003A3E05"/>
    <w:rsid w:val="003A4A56"/>
    <w:rsid w:val="003A4CC3"/>
    <w:rsid w:val="003A5AE4"/>
    <w:rsid w:val="003A5B8D"/>
    <w:rsid w:val="003A613B"/>
    <w:rsid w:val="003A6D75"/>
    <w:rsid w:val="003A7404"/>
    <w:rsid w:val="003B1261"/>
    <w:rsid w:val="003B1FA5"/>
    <w:rsid w:val="003B2166"/>
    <w:rsid w:val="003B3F9A"/>
    <w:rsid w:val="003B4B09"/>
    <w:rsid w:val="003B5666"/>
    <w:rsid w:val="003B693D"/>
    <w:rsid w:val="003B6B7E"/>
    <w:rsid w:val="003B7065"/>
    <w:rsid w:val="003C0136"/>
    <w:rsid w:val="003C2229"/>
    <w:rsid w:val="003C2952"/>
    <w:rsid w:val="003C2F9D"/>
    <w:rsid w:val="003C3E71"/>
    <w:rsid w:val="003C4BEC"/>
    <w:rsid w:val="003D008A"/>
    <w:rsid w:val="003D03CF"/>
    <w:rsid w:val="003D14D9"/>
    <w:rsid w:val="003D2DB4"/>
    <w:rsid w:val="003D2F2A"/>
    <w:rsid w:val="003D4469"/>
    <w:rsid w:val="003D4FC6"/>
    <w:rsid w:val="003D5846"/>
    <w:rsid w:val="003D677F"/>
    <w:rsid w:val="003D7F26"/>
    <w:rsid w:val="003E017C"/>
    <w:rsid w:val="003E02FC"/>
    <w:rsid w:val="003E0FF4"/>
    <w:rsid w:val="003E103A"/>
    <w:rsid w:val="003E2295"/>
    <w:rsid w:val="003E25CB"/>
    <w:rsid w:val="003E3084"/>
    <w:rsid w:val="003E32B0"/>
    <w:rsid w:val="003E56C0"/>
    <w:rsid w:val="003E5F37"/>
    <w:rsid w:val="003E613D"/>
    <w:rsid w:val="003E6527"/>
    <w:rsid w:val="003E656B"/>
    <w:rsid w:val="003E71DE"/>
    <w:rsid w:val="003E77F7"/>
    <w:rsid w:val="003F1446"/>
    <w:rsid w:val="003F1DF8"/>
    <w:rsid w:val="003F3161"/>
    <w:rsid w:val="003F457B"/>
    <w:rsid w:val="003F56A0"/>
    <w:rsid w:val="003F58C6"/>
    <w:rsid w:val="003F6B6D"/>
    <w:rsid w:val="003F718B"/>
    <w:rsid w:val="004001F6"/>
    <w:rsid w:val="004004B8"/>
    <w:rsid w:val="004012F0"/>
    <w:rsid w:val="0040273E"/>
    <w:rsid w:val="004027A7"/>
    <w:rsid w:val="00404E58"/>
    <w:rsid w:val="00405DAB"/>
    <w:rsid w:val="00406531"/>
    <w:rsid w:val="00406BA6"/>
    <w:rsid w:val="00410D14"/>
    <w:rsid w:val="004110C5"/>
    <w:rsid w:val="004121F0"/>
    <w:rsid w:val="00413395"/>
    <w:rsid w:val="004144FD"/>
    <w:rsid w:val="00414638"/>
    <w:rsid w:val="00415701"/>
    <w:rsid w:val="004179FC"/>
    <w:rsid w:val="00417F90"/>
    <w:rsid w:val="00420603"/>
    <w:rsid w:val="00420BC3"/>
    <w:rsid w:val="00422354"/>
    <w:rsid w:val="00423C29"/>
    <w:rsid w:val="00426567"/>
    <w:rsid w:val="00427B96"/>
    <w:rsid w:val="00427E1D"/>
    <w:rsid w:val="00432340"/>
    <w:rsid w:val="0043361B"/>
    <w:rsid w:val="00435548"/>
    <w:rsid w:val="00436A27"/>
    <w:rsid w:val="0044010B"/>
    <w:rsid w:val="00441550"/>
    <w:rsid w:val="00441CC4"/>
    <w:rsid w:val="00442B1C"/>
    <w:rsid w:val="00442D5A"/>
    <w:rsid w:val="004432EF"/>
    <w:rsid w:val="00443AE1"/>
    <w:rsid w:val="00445287"/>
    <w:rsid w:val="004473DA"/>
    <w:rsid w:val="004477AF"/>
    <w:rsid w:val="00447D06"/>
    <w:rsid w:val="00447E57"/>
    <w:rsid w:val="00450271"/>
    <w:rsid w:val="0045049D"/>
    <w:rsid w:val="00450B95"/>
    <w:rsid w:val="00450D5F"/>
    <w:rsid w:val="00451008"/>
    <w:rsid w:val="00452759"/>
    <w:rsid w:val="00452EFF"/>
    <w:rsid w:val="004548B3"/>
    <w:rsid w:val="00454A9D"/>
    <w:rsid w:val="00455E2B"/>
    <w:rsid w:val="00456ADF"/>
    <w:rsid w:val="0045793A"/>
    <w:rsid w:val="004614B4"/>
    <w:rsid w:val="00463E31"/>
    <w:rsid w:val="00465820"/>
    <w:rsid w:val="00465B91"/>
    <w:rsid w:val="00465C25"/>
    <w:rsid w:val="00465C9F"/>
    <w:rsid w:val="00466098"/>
    <w:rsid w:val="00466D57"/>
    <w:rsid w:val="00467EA1"/>
    <w:rsid w:val="004723F7"/>
    <w:rsid w:val="0047420A"/>
    <w:rsid w:val="0047470A"/>
    <w:rsid w:val="0047471D"/>
    <w:rsid w:val="004750F0"/>
    <w:rsid w:val="00475E93"/>
    <w:rsid w:val="004769B0"/>
    <w:rsid w:val="00476B88"/>
    <w:rsid w:val="00476D5E"/>
    <w:rsid w:val="0048255E"/>
    <w:rsid w:val="004828F9"/>
    <w:rsid w:val="00484071"/>
    <w:rsid w:val="00484250"/>
    <w:rsid w:val="00484C72"/>
    <w:rsid w:val="0048738A"/>
    <w:rsid w:val="0048761D"/>
    <w:rsid w:val="004877C1"/>
    <w:rsid w:val="00487B02"/>
    <w:rsid w:val="004900B1"/>
    <w:rsid w:val="004905B5"/>
    <w:rsid w:val="0049064A"/>
    <w:rsid w:val="00490B94"/>
    <w:rsid w:val="0049133F"/>
    <w:rsid w:val="004917A5"/>
    <w:rsid w:val="0049194E"/>
    <w:rsid w:val="00496384"/>
    <w:rsid w:val="0049671C"/>
    <w:rsid w:val="00496808"/>
    <w:rsid w:val="004968D4"/>
    <w:rsid w:val="00497370"/>
    <w:rsid w:val="004A1436"/>
    <w:rsid w:val="004A24ED"/>
    <w:rsid w:val="004A2AF4"/>
    <w:rsid w:val="004A2CFC"/>
    <w:rsid w:val="004A36D0"/>
    <w:rsid w:val="004A3FEE"/>
    <w:rsid w:val="004A407B"/>
    <w:rsid w:val="004A4FEC"/>
    <w:rsid w:val="004A582B"/>
    <w:rsid w:val="004A603B"/>
    <w:rsid w:val="004A700F"/>
    <w:rsid w:val="004B0A46"/>
    <w:rsid w:val="004B0B9B"/>
    <w:rsid w:val="004B1208"/>
    <w:rsid w:val="004B1404"/>
    <w:rsid w:val="004B1FF8"/>
    <w:rsid w:val="004B27F2"/>
    <w:rsid w:val="004B2B27"/>
    <w:rsid w:val="004B2C68"/>
    <w:rsid w:val="004B2D26"/>
    <w:rsid w:val="004B4733"/>
    <w:rsid w:val="004B4F42"/>
    <w:rsid w:val="004B500B"/>
    <w:rsid w:val="004B6368"/>
    <w:rsid w:val="004B7D72"/>
    <w:rsid w:val="004B7E92"/>
    <w:rsid w:val="004C05B2"/>
    <w:rsid w:val="004C0CE7"/>
    <w:rsid w:val="004C25E5"/>
    <w:rsid w:val="004C41AF"/>
    <w:rsid w:val="004C459F"/>
    <w:rsid w:val="004C610B"/>
    <w:rsid w:val="004C62AF"/>
    <w:rsid w:val="004C644A"/>
    <w:rsid w:val="004C6845"/>
    <w:rsid w:val="004C6B47"/>
    <w:rsid w:val="004C7181"/>
    <w:rsid w:val="004C7879"/>
    <w:rsid w:val="004C7F25"/>
    <w:rsid w:val="004D074E"/>
    <w:rsid w:val="004D20FF"/>
    <w:rsid w:val="004D2F40"/>
    <w:rsid w:val="004D3901"/>
    <w:rsid w:val="004D446A"/>
    <w:rsid w:val="004D53F8"/>
    <w:rsid w:val="004D6523"/>
    <w:rsid w:val="004D700B"/>
    <w:rsid w:val="004D7118"/>
    <w:rsid w:val="004D7DFB"/>
    <w:rsid w:val="004E2907"/>
    <w:rsid w:val="004E3447"/>
    <w:rsid w:val="004E37A4"/>
    <w:rsid w:val="004E5A18"/>
    <w:rsid w:val="004F1539"/>
    <w:rsid w:val="004F1F78"/>
    <w:rsid w:val="004F26C6"/>
    <w:rsid w:val="004F34CD"/>
    <w:rsid w:val="004F472B"/>
    <w:rsid w:val="004F5256"/>
    <w:rsid w:val="004F6146"/>
    <w:rsid w:val="004F6F2D"/>
    <w:rsid w:val="004F7FFD"/>
    <w:rsid w:val="0050004E"/>
    <w:rsid w:val="005011FE"/>
    <w:rsid w:val="00502BC8"/>
    <w:rsid w:val="00502DFD"/>
    <w:rsid w:val="005034F5"/>
    <w:rsid w:val="0050362E"/>
    <w:rsid w:val="0050420E"/>
    <w:rsid w:val="0050429F"/>
    <w:rsid w:val="00505128"/>
    <w:rsid w:val="00505893"/>
    <w:rsid w:val="0050623C"/>
    <w:rsid w:val="00506636"/>
    <w:rsid w:val="0050748D"/>
    <w:rsid w:val="00510000"/>
    <w:rsid w:val="0051030E"/>
    <w:rsid w:val="00510728"/>
    <w:rsid w:val="00511523"/>
    <w:rsid w:val="00511CFF"/>
    <w:rsid w:val="0051226E"/>
    <w:rsid w:val="00512D49"/>
    <w:rsid w:val="00513C6B"/>
    <w:rsid w:val="00514DD8"/>
    <w:rsid w:val="00515115"/>
    <w:rsid w:val="00515118"/>
    <w:rsid w:val="00515342"/>
    <w:rsid w:val="0051650E"/>
    <w:rsid w:val="0051690D"/>
    <w:rsid w:val="00516F34"/>
    <w:rsid w:val="00517377"/>
    <w:rsid w:val="00517389"/>
    <w:rsid w:val="0051741F"/>
    <w:rsid w:val="005175F3"/>
    <w:rsid w:val="00517971"/>
    <w:rsid w:val="00517B78"/>
    <w:rsid w:val="00517E67"/>
    <w:rsid w:val="00517F66"/>
    <w:rsid w:val="00520686"/>
    <w:rsid w:val="005218E7"/>
    <w:rsid w:val="00522134"/>
    <w:rsid w:val="005226D3"/>
    <w:rsid w:val="00522B01"/>
    <w:rsid w:val="0052314F"/>
    <w:rsid w:val="00523846"/>
    <w:rsid w:val="005243CF"/>
    <w:rsid w:val="00524C45"/>
    <w:rsid w:val="0052524C"/>
    <w:rsid w:val="0052690C"/>
    <w:rsid w:val="00526DCA"/>
    <w:rsid w:val="00527385"/>
    <w:rsid w:val="0053056A"/>
    <w:rsid w:val="00530D53"/>
    <w:rsid w:val="00531E72"/>
    <w:rsid w:val="00531E88"/>
    <w:rsid w:val="0053230B"/>
    <w:rsid w:val="00532518"/>
    <w:rsid w:val="00532F90"/>
    <w:rsid w:val="00535119"/>
    <w:rsid w:val="0053542D"/>
    <w:rsid w:val="00536471"/>
    <w:rsid w:val="00536959"/>
    <w:rsid w:val="00536C99"/>
    <w:rsid w:val="005401D4"/>
    <w:rsid w:val="00540CA5"/>
    <w:rsid w:val="005415D4"/>
    <w:rsid w:val="005428A9"/>
    <w:rsid w:val="005434A3"/>
    <w:rsid w:val="0054358D"/>
    <w:rsid w:val="00543C15"/>
    <w:rsid w:val="0054497E"/>
    <w:rsid w:val="0054568D"/>
    <w:rsid w:val="005466CA"/>
    <w:rsid w:val="00546C44"/>
    <w:rsid w:val="00547AE7"/>
    <w:rsid w:val="00550603"/>
    <w:rsid w:val="00550BC8"/>
    <w:rsid w:val="00551061"/>
    <w:rsid w:val="00551888"/>
    <w:rsid w:val="00551F8F"/>
    <w:rsid w:val="00552EE3"/>
    <w:rsid w:val="00553C92"/>
    <w:rsid w:val="00554944"/>
    <w:rsid w:val="005572AB"/>
    <w:rsid w:val="00557500"/>
    <w:rsid w:val="00557FE0"/>
    <w:rsid w:val="005604CC"/>
    <w:rsid w:val="00561DC3"/>
    <w:rsid w:val="00561E95"/>
    <w:rsid w:val="005620AD"/>
    <w:rsid w:val="00562F0E"/>
    <w:rsid w:val="0056459E"/>
    <w:rsid w:val="00566740"/>
    <w:rsid w:val="0057079B"/>
    <w:rsid w:val="00571362"/>
    <w:rsid w:val="005734B9"/>
    <w:rsid w:val="00573D81"/>
    <w:rsid w:val="00575ED5"/>
    <w:rsid w:val="0057653C"/>
    <w:rsid w:val="005769DB"/>
    <w:rsid w:val="00576D60"/>
    <w:rsid w:val="00576F10"/>
    <w:rsid w:val="005800FE"/>
    <w:rsid w:val="00582971"/>
    <w:rsid w:val="00582B78"/>
    <w:rsid w:val="0058335D"/>
    <w:rsid w:val="00583559"/>
    <w:rsid w:val="00584C12"/>
    <w:rsid w:val="00585C8E"/>
    <w:rsid w:val="00586094"/>
    <w:rsid w:val="00586228"/>
    <w:rsid w:val="0059046F"/>
    <w:rsid w:val="00591E4E"/>
    <w:rsid w:val="0059241D"/>
    <w:rsid w:val="005941C4"/>
    <w:rsid w:val="00594D2B"/>
    <w:rsid w:val="005951C9"/>
    <w:rsid w:val="005956BD"/>
    <w:rsid w:val="00595986"/>
    <w:rsid w:val="00597C34"/>
    <w:rsid w:val="00597D68"/>
    <w:rsid w:val="005A087D"/>
    <w:rsid w:val="005A3C44"/>
    <w:rsid w:val="005A43E3"/>
    <w:rsid w:val="005A5172"/>
    <w:rsid w:val="005A5250"/>
    <w:rsid w:val="005A67E7"/>
    <w:rsid w:val="005A6CCA"/>
    <w:rsid w:val="005A7C9A"/>
    <w:rsid w:val="005B3433"/>
    <w:rsid w:val="005B48BE"/>
    <w:rsid w:val="005B52DB"/>
    <w:rsid w:val="005B58FC"/>
    <w:rsid w:val="005B5D81"/>
    <w:rsid w:val="005B6C67"/>
    <w:rsid w:val="005C00C2"/>
    <w:rsid w:val="005C0357"/>
    <w:rsid w:val="005C1C7B"/>
    <w:rsid w:val="005C54E9"/>
    <w:rsid w:val="005D0063"/>
    <w:rsid w:val="005D1209"/>
    <w:rsid w:val="005D15BE"/>
    <w:rsid w:val="005D40B8"/>
    <w:rsid w:val="005D431A"/>
    <w:rsid w:val="005D72F4"/>
    <w:rsid w:val="005D786E"/>
    <w:rsid w:val="005E0530"/>
    <w:rsid w:val="005E057B"/>
    <w:rsid w:val="005E13FB"/>
    <w:rsid w:val="005E246B"/>
    <w:rsid w:val="005E42AB"/>
    <w:rsid w:val="005E4CF0"/>
    <w:rsid w:val="005E5075"/>
    <w:rsid w:val="005E6A08"/>
    <w:rsid w:val="005E7523"/>
    <w:rsid w:val="005F103C"/>
    <w:rsid w:val="005F10C2"/>
    <w:rsid w:val="005F189F"/>
    <w:rsid w:val="005F1CA9"/>
    <w:rsid w:val="005F36DF"/>
    <w:rsid w:val="005F4F97"/>
    <w:rsid w:val="005F513B"/>
    <w:rsid w:val="005F5632"/>
    <w:rsid w:val="005F60A7"/>
    <w:rsid w:val="005F7982"/>
    <w:rsid w:val="006003FC"/>
    <w:rsid w:val="00602DE6"/>
    <w:rsid w:val="006047FE"/>
    <w:rsid w:val="006048C6"/>
    <w:rsid w:val="00606AEE"/>
    <w:rsid w:val="00612CEF"/>
    <w:rsid w:val="00612D3F"/>
    <w:rsid w:val="006133D1"/>
    <w:rsid w:val="00613C32"/>
    <w:rsid w:val="00616069"/>
    <w:rsid w:val="006163C1"/>
    <w:rsid w:val="00616DFC"/>
    <w:rsid w:val="00616EC6"/>
    <w:rsid w:val="00617676"/>
    <w:rsid w:val="00617B1C"/>
    <w:rsid w:val="00620048"/>
    <w:rsid w:val="0062245B"/>
    <w:rsid w:val="00624FD4"/>
    <w:rsid w:val="0062610C"/>
    <w:rsid w:val="00626EC4"/>
    <w:rsid w:val="00632B5D"/>
    <w:rsid w:val="00633277"/>
    <w:rsid w:val="0063417E"/>
    <w:rsid w:val="006347FE"/>
    <w:rsid w:val="00635BDA"/>
    <w:rsid w:val="006400C7"/>
    <w:rsid w:val="00640C52"/>
    <w:rsid w:val="00641337"/>
    <w:rsid w:val="00643C08"/>
    <w:rsid w:val="00644071"/>
    <w:rsid w:val="006440C1"/>
    <w:rsid w:val="00644211"/>
    <w:rsid w:val="00644498"/>
    <w:rsid w:val="00644622"/>
    <w:rsid w:val="006448E2"/>
    <w:rsid w:val="00645379"/>
    <w:rsid w:val="00646A8C"/>
    <w:rsid w:val="00646FBD"/>
    <w:rsid w:val="006479BB"/>
    <w:rsid w:val="00650141"/>
    <w:rsid w:val="00650CE5"/>
    <w:rsid w:val="00651D36"/>
    <w:rsid w:val="00652F5A"/>
    <w:rsid w:val="006540B7"/>
    <w:rsid w:val="00654374"/>
    <w:rsid w:val="00654EC6"/>
    <w:rsid w:val="00655244"/>
    <w:rsid w:val="00657D1A"/>
    <w:rsid w:val="0066169D"/>
    <w:rsid w:val="0066317F"/>
    <w:rsid w:val="00664042"/>
    <w:rsid w:val="00664212"/>
    <w:rsid w:val="006655A3"/>
    <w:rsid w:val="00665B3A"/>
    <w:rsid w:val="00665B96"/>
    <w:rsid w:val="006660A7"/>
    <w:rsid w:val="006663FA"/>
    <w:rsid w:val="0066680B"/>
    <w:rsid w:val="006704E6"/>
    <w:rsid w:val="006705B4"/>
    <w:rsid w:val="00671268"/>
    <w:rsid w:val="00671805"/>
    <w:rsid w:val="00672724"/>
    <w:rsid w:val="00673481"/>
    <w:rsid w:val="006737E5"/>
    <w:rsid w:val="00674AB1"/>
    <w:rsid w:val="00677750"/>
    <w:rsid w:val="00680665"/>
    <w:rsid w:val="00681F56"/>
    <w:rsid w:val="00682436"/>
    <w:rsid w:val="00682981"/>
    <w:rsid w:val="00683395"/>
    <w:rsid w:val="006843F7"/>
    <w:rsid w:val="00684D56"/>
    <w:rsid w:val="00685E23"/>
    <w:rsid w:val="00686AA2"/>
    <w:rsid w:val="00690B65"/>
    <w:rsid w:val="006914A2"/>
    <w:rsid w:val="006919D1"/>
    <w:rsid w:val="006926B8"/>
    <w:rsid w:val="006937DD"/>
    <w:rsid w:val="00694333"/>
    <w:rsid w:val="00695646"/>
    <w:rsid w:val="00696C1B"/>
    <w:rsid w:val="00696E05"/>
    <w:rsid w:val="006A0C03"/>
    <w:rsid w:val="006A10A7"/>
    <w:rsid w:val="006A1B7B"/>
    <w:rsid w:val="006A374C"/>
    <w:rsid w:val="006A3AF5"/>
    <w:rsid w:val="006A3FDB"/>
    <w:rsid w:val="006A494B"/>
    <w:rsid w:val="006A6F00"/>
    <w:rsid w:val="006A7EAE"/>
    <w:rsid w:val="006B08E4"/>
    <w:rsid w:val="006B097B"/>
    <w:rsid w:val="006B0D61"/>
    <w:rsid w:val="006B170E"/>
    <w:rsid w:val="006B19D7"/>
    <w:rsid w:val="006B2627"/>
    <w:rsid w:val="006B285E"/>
    <w:rsid w:val="006B3099"/>
    <w:rsid w:val="006B331A"/>
    <w:rsid w:val="006B547A"/>
    <w:rsid w:val="006B61CC"/>
    <w:rsid w:val="006C03B7"/>
    <w:rsid w:val="006C0799"/>
    <w:rsid w:val="006C0FD1"/>
    <w:rsid w:val="006C2A2E"/>
    <w:rsid w:val="006C2B04"/>
    <w:rsid w:val="006C32FA"/>
    <w:rsid w:val="006C34DA"/>
    <w:rsid w:val="006C44C6"/>
    <w:rsid w:val="006C524E"/>
    <w:rsid w:val="006C7BE0"/>
    <w:rsid w:val="006D0ADE"/>
    <w:rsid w:val="006D0E11"/>
    <w:rsid w:val="006D5767"/>
    <w:rsid w:val="006D607B"/>
    <w:rsid w:val="006E01EF"/>
    <w:rsid w:val="006E1594"/>
    <w:rsid w:val="006E170F"/>
    <w:rsid w:val="006E1E27"/>
    <w:rsid w:val="006E668A"/>
    <w:rsid w:val="006E672F"/>
    <w:rsid w:val="006E6A28"/>
    <w:rsid w:val="006E6C74"/>
    <w:rsid w:val="006E73A8"/>
    <w:rsid w:val="006E74A6"/>
    <w:rsid w:val="006F1458"/>
    <w:rsid w:val="006F4150"/>
    <w:rsid w:val="006F44F1"/>
    <w:rsid w:val="006F497B"/>
    <w:rsid w:val="006F4A77"/>
    <w:rsid w:val="006F4D0B"/>
    <w:rsid w:val="006F52CC"/>
    <w:rsid w:val="006F55D1"/>
    <w:rsid w:val="006F6344"/>
    <w:rsid w:val="006F66EF"/>
    <w:rsid w:val="00700924"/>
    <w:rsid w:val="00702707"/>
    <w:rsid w:val="00702E5E"/>
    <w:rsid w:val="00702F3D"/>
    <w:rsid w:val="0070358D"/>
    <w:rsid w:val="00703DC5"/>
    <w:rsid w:val="00703E6E"/>
    <w:rsid w:val="00703E74"/>
    <w:rsid w:val="007043F0"/>
    <w:rsid w:val="00704D2C"/>
    <w:rsid w:val="00705A2E"/>
    <w:rsid w:val="0070654C"/>
    <w:rsid w:val="00706604"/>
    <w:rsid w:val="00707FB9"/>
    <w:rsid w:val="0071108D"/>
    <w:rsid w:val="007114C4"/>
    <w:rsid w:val="00711F1A"/>
    <w:rsid w:val="007123E1"/>
    <w:rsid w:val="00712571"/>
    <w:rsid w:val="00714D14"/>
    <w:rsid w:val="00715A66"/>
    <w:rsid w:val="00716CC9"/>
    <w:rsid w:val="00717D97"/>
    <w:rsid w:val="00721156"/>
    <w:rsid w:val="00721AE9"/>
    <w:rsid w:val="007226D8"/>
    <w:rsid w:val="00722DC0"/>
    <w:rsid w:val="007233D0"/>
    <w:rsid w:val="0072429C"/>
    <w:rsid w:val="00724A1F"/>
    <w:rsid w:val="00725CE7"/>
    <w:rsid w:val="007261A7"/>
    <w:rsid w:val="00727457"/>
    <w:rsid w:val="00727F8B"/>
    <w:rsid w:val="00734510"/>
    <w:rsid w:val="007352B7"/>
    <w:rsid w:val="00736312"/>
    <w:rsid w:val="00737595"/>
    <w:rsid w:val="00737EE4"/>
    <w:rsid w:val="00740B14"/>
    <w:rsid w:val="007416B0"/>
    <w:rsid w:val="00741E9C"/>
    <w:rsid w:val="00742176"/>
    <w:rsid w:val="0074349B"/>
    <w:rsid w:val="00744096"/>
    <w:rsid w:val="0074589B"/>
    <w:rsid w:val="00745FEE"/>
    <w:rsid w:val="0074640A"/>
    <w:rsid w:val="00746B90"/>
    <w:rsid w:val="007522DE"/>
    <w:rsid w:val="00753F88"/>
    <w:rsid w:val="007540AD"/>
    <w:rsid w:val="00754340"/>
    <w:rsid w:val="00754E11"/>
    <w:rsid w:val="00755014"/>
    <w:rsid w:val="00755348"/>
    <w:rsid w:val="00756981"/>
    <w:rsid w:val="00757830"/>
    <w:rsid w:val="00757CBE"/>
    <w:rsid w:val="00760323"/>
    <w:rsid w:val="00760CD2"/>
    <w:rsid w:val="00762518"/>
    <w:rsid w:val="0076377C"/>
    <w:rsid w:val="00766451"/>
    <w:rsid w:val="007667AD"/>
    <w:rsid w:val="00766AD6"/>
    <w:rsid w:val="00767508"/>
    <w:rsid w:val="00770889"/>
    <w:rsid w:val="00770DA6"/>
    <w:rsid w:val="00771AA6"/>
    <w:rsid w:val="00772567"/>
    <w:rsid w:val="007727A3"/>
    <w:rsid w:val="007745DC"/>
    <w:rsid w:val="00774B19"/>
    <w:rsid w:val="007763A9"/>
    <w:rsid w:val="007803B4"/>
    <w:rsid w:val="0078052A"/>
    <w:rsid w:val="00780704"/>
    <w:rsid w:val="00780B06"/>
    <w:rsid w:val="00780B52"/>
    <w:rsid w:val="00781BF4"/>
    <w:rsid w:val="00782EA5"/>
    <w:rsid w:val="007835E5"/>
    <w:rsid w:val="00785BC0"/>
    <w:rsid w:val="00785DDB"/>
    <w:rsid w:val="007866C0"/>
    <w:rsid w:val="007905B5"/>
    <w:rsid w:val="00790FA5"/>
    <w:rsid w:val="0079181B"/>
    <w:rsid w:val="007969B0"/>
    <w:rsid w:val="00797E86"/>
    <w:rsid w:val="007A09FA"/>
    <w:rsid w:val="007A09FF"/>
    <w:rsid w:val="007A1B83"/>
    <w:rsid w:val="007A30DE"/>
    <w:rsid w:val="007A4048"/>
    <w:rsid w:val="007A49D9"/>
    <w:rsid w:val="007A4A25"/>
    <w:rsid w:val="007A4E9B"/>
    <w:rsid w:val="007A543D"/>
    <w:rsid w:val="007A5503"/>
    <w:rsid w:val="007A565D"/>
    <w:rsid w:val="007A5CFB"/>
    <w:rsid w:val="007B05EF"/>
    <w:rsid w:val="007B0BD9"/>
    <w:rsid w:val="007B6403"/>
    <w:rsid w:val="007B757B"/>
    <w:rsid w:val="007C0E51"/>
    <w:rsid w:val="007C2110"/>
    <w:rsid w:val="007C298F"/>
    <w:rsid w:val="007C3898"/>
    <w:rsid w:val="007C42CA"/>
    <w:rsid w:val="007C4B42"/>
    <w:rsid w:val="007C59A0"/>
    <w:rsid w:val="007C5C97"/>
    <w:rsid w:val="007C5F21"/>
    <w:rsid w:val="007C61E1"/>
    <w:rsid w:val="007D0D02"/>
    <w:rsid w:val="007D2943"/>
    <w:rsid w:val="007D37A6"/>
    <w:rsid w:val="007D3FC1"/>
    <w:rsid w:val="007D4C14"/>
    <w:rsid w:val="007D5767"/>
    <w:rsid w:val="007D7606"/>
    <w:rsid w:val="007E3701"/>
    <w:rsid w:val="007E404C"/>
    <w:rsid w:val="007E41FC"/>
    <w:rsid w:val="007E422E"/>
    <w:rsid w:val="007E5190"/>
    <w:rsid w:val="007E529F"/>
    <w:rsid w:val="007E7961"/>
    <w:rsid w:val="007E7CBF"/>
    <w:rsid w:val="007E7E6A"/>
    <w:rsid w:val="007F0B00"/>
    <w:rsid w:val="007F11D9"/>
    <w:rsid w:val="007F23D5"/>
    <w:rsid w:val="007F38C5"/>
    <w:rsid w:val="007F4D5F"/>
    <w:rsid w:val="007F69A1"/>
    <w:rsid w:val="007F791B"/>
    <w:rsid w:val="00801E32"/>
    <w:rsid w:val="00802530"/>
    <w:rsid w:val="00803217"/>
    <w:rsid w:val="008033B3"/>
    <w:rsid w:val="008046DD"/>
    <w:rsid w:val="00804A2B"/>
    <w:rsid w:val="00805544"/>
    <w:rsid w:val="0080668F"/>
    <w:rsid w:val="00810F0A"/>
    <w:rsid w:val="00811044"/>
    <w:rsid w:val="00812EFD"/>
    <w:rsid w:val="00813539"/>
    <w:rsid w:val="00822D47"/>
    <w:rsid w:val="00824AAA"/>
    <w:rsid w:val="00825FC7"/>
    <w:rsid w:val="0083134F"/>
    <w:rsid w:val="0083165E"/>
    <w:rsid w:val="00831FB9"/>
    <w:rsid w:val="00832105"/>
    <w:rsid w:val="00832C83"/>
    <w:rsid w:val="00833BC1"/>
    <w:rsid w:val="008344AC"/>
    <w:rsid w:val="008359A8"/>
    <w:rsid w:val="00835D18"/>
    <w:rsid w:val="00835EB3"/>
    <w:rsid w:val="00835F93"/>
    <w:rsid w:val="0083716E"/>
    <w:rsid w:val="00837EEB"/>
    <w:rsid w:val="00840E20"/>
    <w:rsid w:val="00840E98"/>
    <w:rsid w:val="0084133D"/>
    <w:rsid w:val="008413EC"/>
    <w:rsid w:val="008422B1"/>
    <w:rsid w:val="00842463"/>
    <w:rsid w:val="00842C0D"/>
    <w:rsid w:val="00842C38"/>
    <w:rsid w:val="00842F1C"/>
    <w:rsid w:val="008436D5"/>
    <w:rsid w:val="0084400C"/>
    <w:rsid w:val="00844089"/>
    <w:rsid w:val="008442B0"/>
    <w:rsid w:val="008445C8"/>
    <w:rsid w:val="008448D2"/>
    <w:rsid w:val="008452FF"/>
    <w:rsid w:val="00845B49"/>
    <w:rsid w:val="00845D48"/>
    <w:rsid w:val="00845DCA"/>
    <w:rsid w:val="008473C0"/>
    <w:rsid w:val="00847A61"/>
    <w:rsid w:val="00850C5D"/>
    <w:rsid w:val="00851DFC"/>
    <w:rsid w:val="00853D37"/>
    <w:rsid w:val="00854396"/>
    <w:rsid w:val="00854764"/>
    <w:rsid w:val="008548B1"/>
    <w:rsid w:val="008554EB"/>
    <w:rsid w:val="008562FD"/>
    <w:rsid w:val="00857CF3"/>
    <w:rsid w:val="00861E0E"/>
    <w:rsid w:val="008620C1"/>
    <w:rsid w:val="008625DE"/>
    <w:rsid w:val="00863F2A"/>
    <w:rsid w:val="008648C4"/>
    <w:rsid w:val="00865278"/>
    <w:rsid w:val="00865D55"/>
    <w:rsid w:val="00866D7A"/>
    <w:rsid w:val="00867008"/>
    <w:rsid w:val="00867A17"/>
    <w:rsid w:val="00871AF5"/>
    <w:rsid w:val="0087214C"/>
    <w:rsid w:val="00872846"/>
    <w:rsid w:val="00872A79"/>
    <w:rsid w:val="00872D92"/>
    <w:rsid w:val="0087332E"/>
    <w:rsid w:val="00873619"/>
    <w:rsid w:val="008756BE"/>
    <w:rsid w:val="00875B26"/>
    <w:rsid w:val="00875C82"/>
    <w:rsid w:val="00881220"/>
    <w:rsid w:val="0088133C"/>
    <w:rsid w:val="00881BF1"/>
    <w:rsid w:val="00881D08"/>
    <w:rsid w:val="00881DEE"/>
    <w:rsid w:val="00882F30"/>
    <w:rsid w:val="00885071"/>
    <w:rsid w:val="00885B9F"/>
    <w:rsid w:val="008903F8"/>
    <w:rsid w:val="0089090C"/>
    <w:rsid w:val="00890D30"/>
    <w:rsid w:val="008910AD"/>
    <w:rsid w:val="008915E2"/>
    <w:rsid w:val="008929B6"/>
    <w:rsid w:val="00892D46"/>
    <w:rsid w:val="008955A5"/>
    <w:rsid w:val="0089700D"/>
    <w:rsid w:val="008973F2"/>
    <w:rsid w:val="008A0D6B"/>
    <w:rsid w:val="008A1BC5"/>
    <w:rsid w:val="008A225D"/>
    <w:rsid w:val="008A2902"/>
    <w:rsid w:val="008A3704"/>
    <w:rsid w:val="008A40F3"/>
    <w:rsid w:val="008A4A4D"/>
    <w:rsid w:val="008A5583"/>
    <w:rsid w:val="008A666E"/>
    <w:rsid w:val="008A7274"/>
    <w:rsid w:val="008A78F2"/>
    <w:rsid w:val="008B1707"/>
    <w:rsid w:val="008B2220"/>
    <w:rsid w:val="008B2B82"/>
    <w:rsid w:val="008B309B"/>
    <w:rsid w:val="008B3BF4"/>
    <w:rsid w:val="008B7040"/>
    <w:rsid w:val="008B792F"/>
    <w:rsid w:val="008C0538"/>
    <w:rsid w:val="008C0DB0"/>
    <w:rsid w:val="008C2C15"/>
    <w:rsid w:val="008C3A03"/>
    <w:rsid w:val="008C3F48"/>
    <w:rsid w:val="008C6503"/>
    <w:rsid w:val="008C71C4"/>
    <w:rsid w:val="008C72E9"/>
    <w:rsid w:val="008C78E9"/>
    <w:rsid w:val="008C7B48"/>
    <w:rsid w:val="008D08E9"/>
    <w:rsid w:val="008D2F94"/>
    <w:rsid w:val="008D43DB"/>
    <w:rsid w:val="008D4B98"/>
    <w:rsid w:val="008D62DF"/>
    <w:rsid w:val="008D76D3"/>
    <w:rsid w:val="008E0DEA"/>
    <w:rsid w:val="008E0E54"/>
    <w:rsid w:val="008E15B3"/>
    <w:rsid w:val="008E1629"/>
    <w:rsid w:val="008E1ADC"/>
    <w:rsid w:val="008E278E"/>
    <w:rsid w:val="008E4AA7"/>
    <w:rsid w:val="008E4D2E"/>
    <w:rsid w:val="008E5AED"/>
    <w:rsid w:val="008E673F"/>
    <w:rsid w:val="008E6C41"/>
    <w:rsid w:val="008F0323"/>
    <w:rsid w:val="008F19A1"/>
    <w:rsid w:val="008F321C"/>
    <w:rsid w:val="008F365E"/>
    <w:rsid w:val="008F50FD"/>
    <w:rsid w:val="008F5631"/>
    <w:rsid w:val="008F6700"/>
    <w:rsid w:val="008F720F"/>
    <w:rsid w:val="00900029"/>
    <w:rsid w:val="009010AE"/>
    <w:rsid w:val="0090374C"/>
    <w:rsid w:val="00903CBE"/>
    <w:rsid w:val="009056FB"/>
    <w:rsid w:val="0090623E"/>
    <w:rsid w:val="00907152"/>
    <w:rsid w:val="00910D7D"/>
    <w:rsid w:val="009118F8"/>
    <w:rsid w:val="00911F97"/>
    <w:rsid w:val="00913B5E"/>
    <w:rsid w:val="00913C07"/>
    <w:rsid w:val="00914E66"/>
    <w:rsid w:val="00915E5B"/>
    <w:rsid w:val="0091622F"/>
    <w:rsid w:val="009167AA"/>
    <w:rsid w:val="00917120"/>
    <w:rsid w:val="009171EC"/>
    <w:rsid w:val="00917882"/>
    <w:rsid w:val="009205A6"/>
    <w:rsid w:val="00920D89"/>
    <w:rsid w:val="009212FE"/>
    <w:rsid w:val="00921E0E"/>
    <w:rsid w:val="00922E56"/>
    <w:rsid w:val="00924D8B"/>
    <w:rsid w:val="00924E7C"/>
    <w:rsid w:val="0092572E"/>
    <w:rsid w:val="00927D48"/>
    <w:rsid w:val="00930FC9"/>
    <w:rsid w:val="00932202"/>
    <w:rsid w:val="00932800"/>
    <w:rsid w:val="0093282E"/>
    <w:rsid w:val="00933507"/>
    <w:rsid w:val="00933DBE"/>
    <w:rsid w:val="00934CCE"/>
    <w:rsid w:val="0093535B"/>
    <w:rsid w:val="00935E04"/>
    <w:rsid w:val="00936863"/>
    <w:rsid w:val="00936E8D"/>
    <w:rsid w:val="00937177"/>
    <w:rsid w:val="009376DD"/>
    <w:rsid w:val="0093776C"/>
    <w:rsid w:val="00940B64"/>
    <w:rsid w:val="00940E4D"/>
    <w:rsid w:val="00943474"/>
    <w:rsid w:val="0094361C"/>
    <w:rsid w:val="00945ABC"/>
    <w:rsid w:val="009464D5"/>
    <w:rsid w:val="00946657"/>
    <w:rsid w:val="00947B89"/>
    <w:rsid w:val="009502CD"/>
    <w:rsid w:val="009507EE"/>
    <w:rsid w:val="009512C2"/>
    <w:rsid w:val="0095137B"/>
    <w:rsid w:val="009518B0"/>
    <w:rsid w:val="00951E4B"/>
    <w:rsid w:val="0095248C"/>
    <w:rsid w:val="00955437"/>
    <w:rsid w:val="00955E3A"/>
    <w:rsid w:val="009574E5"/>
    <w:rsid w:val="009603C1"/>
    <w:rsid w:val="009611EB"/>
    <w:rsid w:val="009624DA"/>
    <w:rsid w:val="00962759"/>
    <w:rsid w:val="00963A03"/>
    <w:rsid w:val="00964A03"/>
    <w:rsid w:val="00964B4C"/>
    <w:rsid w:val="00964D39"/>
    <w:rsid w:val="009659F2"/>
    <w:rsid w:val="0096670E"/>
    <w:rsid w:val="00966ACF"/>
    <w:rsid w:val="00967058"/>
    <w:rsid w:val="00967F9C"/>
    <w:rsid w:val="00967FBF"/>
    <w:rsid w:val="00972AC7"/>
    <w:rsid w:val="009733F7"/>
    <w:rsid w:val="00973C9F"/>
    <w:rsid w:val="00973DC2"/>
    <w:rsid w:val="009761E3"/>
    <w:rsid w:val="00980348"/>
    <w:rsid w:val="00980E8C"/>
    <w:rsid w:val="00982246"/>
    <w:rsid w:val="0098482A"/>
    <w:rsid w:val="00985792"/>
    <w:rsid w:val="00986431"/>
    <w:rsid w:val="00986A31"/>
    <w:rsid w:val="00986E05"/>
    <w:rsid w:val="0098703F"/>
    <w:rsid w:val="009875E4"/>
    <w:rsid w:val="009876C3"/>
    <w:rsid w:val="00991445"/>
    <w:rsid w:val="0099173F"/>
    <w:rsid w:val="00992167"/>
    <w:rsid w:val="00992FAC"/>
    <w:rsid w:val="00993DBB"/>
    <w:rsid w:val="009944C0"/>
    <w:rsid w:val="0099474B"/>
    <w:rsid w:val="00994CE3"/>
    <w:rsid w:val="0099582F"/>
    <w:rsid w:val="0099743A"/>
    <w:rsid w:val="0099796C"/>
    <w:rsid w:val="009A0F0E"/>
    <w:rsid w:val="009A2151"/>
    <w:rsid w:val="009A22E0"/>
    <w:rsid w:val="009A2766"/>
    <w:rsid w:val="009A386B"/>
    <w:rsid w:val="009A548F"/>
    <w:rsid w:val="009A569D"/>
    <w:rsid w:val="009A7644"/>
    <w:rsid w:val="009A7F01"/>
    <w:rsid w:val="009B1D75"/>
    <w:rsid w:val="009B1ED8"/>
    <w:rsid w:val="009B2B6B"/>
    <w:rsid w:val="009B5880"/>
    <w:rsid w:val="009B6028"/>
    <w:rsid w:val="009C042F"/>
    <w:rsid w:val="009C1C08"/>
    <w:rsid w:val="009C20F0"/>
    <w:rsid w:val="009C332E"/>
    <w:rsid w:val="009C3491"/>
    <w:rsid w:val="009C3830"/>
    <w:rsid w:val="009C38E8"/>
    <w:rsid w:val="009C53C5"/>
    <w:rsid w:val="009C6117"/>
    <w:rsid w:val="009C690F"/>
    <w:rsid w:val="009C7907"/>
    <w:rsid w:val="009D00F8"/>
    <w:rsid w:val="009D0B68"/>
    <w:rsid w:val="009D1E7F"/>
    <w:rsid w:val="009D21FB"/>
    <w:rsid w:val="009D33AF"/>
    <w:rsid w:val="009D3518"/>
    <w:rsid w:val="009D40DD"/>
    <w:rsid w:val="009D47D8"/>
    <w:rsid w:val="009D7F6F"/>
    <w:rsid w:val="009E076D"/>
    <w:rsid w:val="009E24DD"/>
    <w:rsid w:val="009E2980"/>
    <w:rsid w:val="009E2D6A"/>
    <w:rsid w:val="009E4AF8"/>
    <w:rsid w:val="009E4EF3"/>
    <w:rsid w:val="009E5259"/>
    <w:rsid w:val="009E5F7D"/>
    <w:rsid w:val="009E6643"/>
    <w:rsid w:val="009E75D5"/>
    <w:rsid w:val="009E7703"/>
    <w:rsid w:val="009F0D6F"/>
    <w:rsid w:val="009F1863"/>
    <w:rsid w:val="009F259C"/>
    <w:rsid w:val="009F2625"/>
    <w:rsid w:val="009F30C3"/>
    <w:rsid w:val="009F352F"/>
    <w:rsid w:val="009F358E"/>
    <w:rsid w:val="009F3C28"/>
    <w:rsid w:val="009F68FC"/>
    <w:rsid w:val="009F73B2"/>
    <w:rsid w:val="00A0146C"/>
    <w:rsid w:val="00A017DF"/>
    <w:rsid w:val="00A01F37"/>
    <w:rsid w:val="00A03B9B"/>
    <w:rsid w:val="00A0569D"/>
    <w:rsid w:val="00A05C05"/>
    <w:rsid w:val="00A070B1"/>
    <w:rsid w:val="00A10210"/>
    <w:rsid w:val="00A10C5F"/>
    <w:rsid w:val="00A10F11"/>
    <w:rsid w:val="00A118BD"/>
    <w:rsid w:val="00A118E7"/>
    <w:rsid w:val="00A11BAB"/>
    <w:rsid w:val="00A127B4"/>
    <w:rsid w:val="00A12EDF"/>
    <w:rsid w:val="00A13156"/>
    <w:rsid w:val="00A13794"/>
    <w:rsid w:val="00A156D1"/>
    <w:rsid w:val="00A15D73"/>
    <w:rsid w:val="00A20E2C"/>
    <w:rsid w:val="00A2193F"/>
    <w:rsid w:val="00A21EDF"/>
    <w:rsid w:val="00A2266D"/>
    <w:rsid w:val="00A22FC4"/>
    <w:rsid w:val="00A2304D"/>
    <w:rsid w:val="00A24D55"/>
    <w:rsid w:val="00A255CD"/>
    <w:rsid w:val="00A259E8"/>
    <w:rsid w:val="00A26597"/>
    <w:rsid w:val="00A30001"/>
    <w:rsid w:val="00A30F43"/>
    <w:rsid w:val="00A31558"/>
    <w:rsid w:val="00A31D44"/>
    <w:rsid w:val="00A31EEB"/>
    <w:rsid w:val="00A32ECA"/>
    <w:rsid w:val="00A33B68"/>
    <w:rsid w:val="00A33BAB"/>
    <w:rsid w:val="00A34079"/>
    <w:rsid w:val="00A34185"/>
    <w:rsid w:val="00A34C08"/>
    <w:rsid w:val="00A35554"/>
    <w:rsid w:val="00A35C46"/>
    <w:rsid w:val="00A35DF3"/>
    <w:rsid w:val="00A35F02"/>
    <w:rsid w:val="00A36FE7"/>
    <w:rsid w:val="00A37B04"/>
    <w:rsid w:val="00A40A6D"/>
    <w:rsid w:val="00A4158E"/>
    <w:rsid w:val="00A418D2"/>
    <w:rsid w:val="00A4321B"/>
    <w:rsid w:val="00A432FD"/>
    <w:rsid w:val="00A4383B"/>
    <w:rsid w:val="00A45010"/>
    <w:rsid w:val="00A4505C"/>
    <w:rsid w:val="00A4506E"/>
    <w:rsid w:val="00A4651A"/>
    <w:rsid w:val="00A473BD"/>
    <w:rsid w:val="00A47C87"/>
    <w:rsid w:val="00A5014B"/>
    <w:rsid w:val="00A50216"/>
    <w:rsid w:val="00A50808"/>
    <w:rsid w:val="00A51089"/>
    <w:rsid w:val="00A51D81"/>
    <w:rsid w:val="00A525FB"/>
    <w:rsid w:val="00A535BE"/>
    <w:rsid w:val="00A55592"/>
    <w:rsid w:val="00A608BE"/>
    <w:rsid w:val="00A6097C"/>
    <w:rsid w:val="00A60CCF"/>
    <w:rsid w:val="00A63123"/>
    <w:rsid w:val="00A64E2C"/>
    <w:rsid w:val="00A6594B"/>
    <w:rsid w:val="00A6739D"/>
    <w:rsid w:val="00A71261"/>
    <w:rsid w:val="00A7302F"/>
    <w:rsid w:val="00A7534B"/>
    <w:rsid w:val="00A75727"/>
    <w:rsid w:val="00A76B70"/>
    <w:rsid w:val="00A76DF8"/>
    <w:rsid w:val="00A8065D"/>
    <w:rsid w:val="00A80F5B"/>
    <w:rsid w:val="00A820A3"/>
    <w:rsid w:val="00A82428"/>
    <w:rsid w:val="00A82A65"/>
    <w:rsid w:val="00A83C1B"/>
    <w:rsid w:val="00A84BDB"/>
    <w:rsid w:val="00A85686"/>
    <w:rsid w:val="00A85EF0"/>
    <w:rsid w:val="00A861CB"/>
    <w:rsid w:val="00A87F7C"/>
    <w:rsid w:val="00A905EE"/>
    <w:rsid w:val="00A906B6"/>
    <w:rsid w:val="00A925EB"/>
    <w:rsid w:val="00A9574E"/>
    <w:rsid w:val="00A95D7E"/>
    <w:rsid w:val="00A96169"/>
    <w:rsid w:val="00A971EC"/>
    <w:rsid w:val="00A97200"/>
    <w:rsid w:val="00A97228"/>
    <w:rsid w:val="00AA2086"/>
    <w:rsid w:val="00AA2F35"/>
    <w:rsid w:val="00AA3DD5"/>
    <w:rsid w:val="00AA44C5"/>
    <w:rsid w:val="00AA4CBD"/>
    <w:rsid w:val="00AA4DFA"/>
    <w:rsid w:val="00AA5423"/>
    <w:rsid w:val="00AA631F"/>
    <w:rsid w:val="00AA7994"/>
    <w:rsid w:val="00AB1BBD"/>
    <w:rsid w:val="00AB2F7D"/>
    <w:rsid w:val="00AB42EB"/>
    <w:rsid w:val="00AB4BA7"/>
    <w:rsid w:val="00AB4E44"/>
    <w:rsid w:val="00AB4EF3"/>
    <w:rsid w:val="00AB5089"/>
    <w:rsid w:val="00AB5A45"/>
    <w:rsid w:val="00AB5C61"/>
    <w:rsid w:val="00AB652F"/>
    <w:rsid w:val="00AC0438"/>
    <w:rsid w:val="00AC0CB7"/>
    <w:rsid w:val="00AC0D9A"/>
    <w:rsid w:val="00AC0F62"/>
    <w:rsid w:val="00AC10A8"/>
    <w:rsid w:val="00AC12BA"/>
    <w:rsid w:val="00AC1E32"/>
    <w:rsid w:val="00AC3451"/>
    <w:rsid w:val="00AC3545"/>
    <w:rsid w:val="00AC38B3"/>
    <w:rsid w:val="00AC446A"/>
    <w:rsid w:val="00AC4DE1"/>
    <w:rsid w:val="00AC6AF3"/>
    <w:rsid w:val="00AC6CCE"/>
    <w:rsid w:val="00AC7D82"/>
    <w:rsid w:val="00AD022E"/>
    <w:rsid w:val="00AD1054"/>
    <w:rsid w:val="00AD12FC"/>
    <w:rsid w:val="00AD18EF"/>
    <w:rsid w:val="00AD230D"/>
    <w:rsid w:val="00AD28EB"/>
    <w:rsid w:val="00AD3E34"/>
    <w:rsid w:val="00AD4108"/>
    <w:rsid w:val="00AD4B7E"/>
    <w:rsid w:val="00AD4F19"/>
    <w:rsid w:val="00AD71E5"/>
    <w:rsid w:val="00AD7782"/>
    <w:rsid w:val="00AD78AF"/>
    <w:rsid w:val="00AD7B0C"/>
    <w:rsid w:val="00AE0383"/>
    <w:rsid w:val="00AE0970"/>
    <w:rsid w:val="00AE128C"/>
    <w:rsid w:val="00AE1D46"/>
    <w:rsid w:val="00AE2C51"/>
    <w:rsid w:val="00AE6D05"/>
    <w:rsid w:val="00AE7464"/>
    <w:rsid w:val="00AE7887"/>
    <w:rsid w:val="00AE7BD9"/>
    <w:rsid w:val="00AE7CD3"/>
    <w:rsid w:val="00AF061A"/>
    <w:rsid w:val="00AF0627"/>
    <w:rsid w:val="00AF1C2A"/>
    <w:rsid w:val="00AF201C"/>
    <w:rsid w:val="00AF21BC"/>
    <w:rsid w:val="00AF311E"/>
    <w:rsid w:val="00AF3A7E"/>
    <w:rsid w:val="00AF405A"/>
    <w:rsid w:val="00AF43CD"/>
    <w:rsid w:val="00AF4E15"/>
    <w:rsid w:val="00AF5372"/>
    <w:rsid w:val="00AF5635"/>
    <w:rsid w:val="00AF59BA"/>
    <w:rsid w:val="00B008E3"/>
    <w:rsid w:val="00B0147E"/>
    <w:rsid w:val="00B0186C"/>
    <w:rsid w:val="00B02265"/>
    <w:rsid w:val="00B02EE0"/>
    <w:rsid w:val="00B02F7E"/>
    <w:rsid w:val="00B030E9"/>
    <w:rsid w:val="00B03FC4"/>
    <w:rsid w:val="00B04049"/>
    <w:rsid w:val="00B04898"/>
    <w:rsid w:val="00B0797F"/>
    <w:rsid w:val="00B07E9E"/>
    <w:rsid w:val="00B120AC"/>
    <w:rsid w:val="00B125FE"/>
    <w:rsid w:val="00B1262D"/>
    <w:rsid w:val="00B1313A"/>
    <w:rsid w:val="00B13166"/>
    <w:rsid w:val="00B13E2E"/>
    <w:rsid w:val="00B140AE"/>
    <w:rsid w:val="00B1442B"/>
    <w:rsid w:val="00B14963"/>
    <w:rsid w:val="00B14A17"/>
    <w:rsid w:val="00B15341"/>
    <w:rsid w:val="00B15DA2"/>
    <w:rsid w:val="00B1702C"/>
    <w:rsid w:val="00B17705"/>
    <w:rsid w:val="00B20148"/>
    <w:rsid w:val="00B20E67"/>
    <w:rsid w:val="00B213F4"/>
    <w:rsid w:val="00B21A6E"/>
    <w:rsid w:val="00B228AF"/>
    <w:rsid w:val="00B24526"/>
    <w:rsid w:val="00B27059"/>
    <w:rsid w:val="00B2797F"/>
    <w:rsid w:val="00B30710"/>
    <w:rsid w:val="00B3072E"/>
    <w:rsid w:val="00B308D6"/>
    <w:rsid w:val="00B31D19"/>
    <w:rsid w:val="00B3201D"/>
    <w:rsid w:val="00B332FE"/>
    <w:rsid w:val="00B348C8"/>
    <w:rsid w:val="00B358F4"/>
    <w:rsid w:val="00B36E03"/>
    <w:rsid w:val="00B40A32"/>
    <w:rsid w:val="00B40F65"/>
    <w:rsid w:val="00B41683"/>
    <w:rsid w:val="00B41798"/>
    <w:rsid w:val="00B42A20"/>
    <w:rsid w:val="00B42AE5"/>
    <w:rsid w:val="00B4389B"/>
    <w:rsid w:val="00B438C4"/>
    <w:rsid w:val="00B43AA3"/>
    <w:rsid w:val="00B44B06"/>
    <w:rsid w:val="00B451AE"/>
    <w:rsid w:val="00B45209"/>
    <w:rsid w:val="00B4554C"/>
    <w:rsid w:val="00B45C54"/>
    <w:rsid w:val="00B46EB5"/>
    <w:rsid w:val="00B47889"/>
    <w:rsid w:val="00B502B8"/>
    <w:rsid w:val="00B50370"/>
    <w:rsid w:val="00B54AAD"/>
    <w:rsid w:val="00B552E5"/>
    <w:rsid w:val="00B56B8C"/>
    <w:rsid w:val="00B56CDB"/>
    <w:rsid w:val="00B57938"/>
    <w:rsid w:val="00B57B35"/>
    <w:rsid w:val="00B62D55"/>
    <w:rsid w:val="00B62DAF"/>
    <w:rsid w:val="00B64FEC"/>
    <w:rsid w:val="00B67877"/>
    <w:rsid w:val="00B706BE"/>
    <w:rsid w:val="00B710D1"/>
    <w:rsid w:val="00B71B06"/>
    <w:rsid w:val="00B71DBD"/>
    <w:rsid w:val="00B72F48"/>
    <w:rsid w:val="00B7341E"/>
    <w:rsid w:val="00B73E88"/>
    <w:rsid w:val="00B74104"/>
    <w:rsid w:val="00B75420"/>
    <w:rsid w:val="00B7616C"/>
    <w:rsid w:val="00B8035A"/>
    <w:rsid w:val="00B808F7"/>
    <w:rsid w:val="00B80991"/>
    <w:rsid w:val="00B80FE3"/>
    <w:rsid w:val="00B81B2B"/>
    <w:rsid w:val="00B84509"/>
    <w:rsid w:val="00B84EFF"/>
    <w:rsid w:val="00B8715B"/>
    <w:rsid w:val="00B901F9"/>
    <w:rsid w:val="00B90756"/>
    <w:rsid w:val="00B92F44"/>
    <w:rsid w:val="00B93974"/>
    <w:rsid w:val="00B93E17"/>
    <w:rsid w:val="00B949C9"/>
    <w:rsid w:val="00B965E5"/>
    <w:rsid w:val="00B96FD4"/>
    <w:rsid w:val="00B972F7"/>
    <w:rsid w:val="00B97A4D"/>
    <w:rsid w:val="00BA1007"/>
    <w:rsid w:val="00BA2A4F"/>
    <w:rsid w:val="00BA2AE3"/>
    <w:rsid w:val="00BA325F"/>
    <w:rsid w:val="00BA37AD"/>
    <w:rsid w:val="00BA3FFF"/>
    <w:rsid w:val="00BA45FE"/>
    <w:rsid w:val="00BA591D"/>
    <w:rsid w:val="00BA67B6"/>
    <w:rsid w:val="00BA6F96"/>
    <w:rsid w:val="00BB1291"/>
    <w:rsid w:val="00BB3948"/>
    <w:rsid w:val="00BB4BE0"/>
    <w:rsid w:val="00BB5486"/>
    <w:rsid w:val="00BB5A5B"/>
    <w:rsid w:val="00BB6F4A"/>
    <w:rsid w:val="00BB70FB"/>
    <w:rsid w:val="00BB77F8"/>
    <w:rsid w:val="00BB7C1A"/>
    <w:rsid w:val="00BC30BC"/>
    <w:rsid w:val="00BD0AAD"/>
    <w:rsid w:val="00BD1066"/>
    <w:rsid w:val="00BD139A"/>
    <w:rsid w:val="00BD218E"/>
    <w:rsid w:val="00BD25B2"/>
    <w:rsid w:val="00BD3350"/>
    <w:rsid w:val="00BD5E2D"/>
    <w:rsid w:val="00BD7B9D"/>
    <w:rsid w:val="00BD7F6B"/>
    <w:rsid w:val="00BE02B2"/>
    <w:rsid w:val="00BE0641"/>
    <w:rsid w:val="00BE0F6C"/>
    <w:rsid w:val="00BE0FB1"/>
    <w:rsid w:val="00BE12BF"/>
    <w:rsid w:val="00BE1B75"/>
    <w:rsid w:val="00BE513C"/>
    <w:rsid w:val="00BE524A"/>
    <w:rsid w:val="00BE5AA8"/>
    <w:rsid w:val="00BF0504"/>
    <w:rsid w:val="00BF0C4B"/>
    <w:rsid w:val="00BF0D19"/>
    <w:rsid w:val="00BF154A"/>
    <w:rsid w:val="00BF24DA"/>
    <w:rsid w:val="00BF3080"/>
    <w:rsid w:val="00BF3B74"/>
    <w:rsid w:val="00BF56A0"/>
    <w:rsid w:val="00BF6403"/>
    <w:rsid w:val="00BF725E"/>
    <w:rsid w:val="00C006EC"/>
    <w:rsid w:val="00C01214"/>
    <w:rsid w:val="00C01AC9"/>
    <w:rsid w:val="00C02A67"/>
    <w:rsid w:val="00C02F4B"/>
    <w:rsid w:val="00C03D0F"/>
    <w:rsid w:val="00C04924"/>
    <w:rsid w:val="00C04D49"/>
    <w:rsid w:val="00C074A9"/>
    <w:rsid w:val="00C07A18"/>
    <w:rsid w:val="00C13C37"/>
    <w:rsid w:val="00C14C5D"/>
    <w:rsid w:val="00C14D26"/>
    <w:rsid w:val="00C16CFF"/>
    <w:rsid w:val="00C16DFE"/>
    <w:rsid w:val="00C20153"/>
    <w:rsid w:val="00C21895"/>
    <w:rsid w:val="00C23319"/>
    <w:rsid w:val="00C23494"/>
    <w:rsid w:val="00C23BC3"/>
    <w:rsid w:val="00C23CDD"/>
    <w:rsid w:val="00C25158"/>
    <w:rsid w:val="00C319A5"/>
    <w:rsid w:val="00C3216D"/>
    <w:rsid w:val="00C32D37"/>
    <w:rsid w:val="00C330A1"/>
    <w:rsid w:val="00C3320B"/>
    <w:rsid w:val="00C34224"/>
    <w:rsid w:val="00C34D1F"/>
    <w:rsid w:val="00C351DF"/>
    <w:rsid w:val="00C3553B"/>
    <w:rsid w:val="00C3556A"/>
    <w:rsid w:val="00C35EDB"/>
    <w:rsid w:val="00C36A60"/>
    <w:rsid w:val="00C36ED1"/>
    <w:rsid w:val="00C37AF8"/>
    <w:rsid w:val="00C37BC0"/>
    <w:rsid w:val="00C402EE"/>
    <w:rsid w:val="00C40626"/>
    <w:rsid w:val="00C418EB"/>
    <w:rsid w:val="00C43603"/>
    <w:rsid w:val="00C437A2"/>
    <w:rsid w:val="00C45C1D"/>
    <w:rsid w:val="00C472D1"/>
    <w:rsid w:val="00C476FC"/>
    <w:rsid w:val="00C47A7B"/>
    <w:rsid w:val="00C47D12"/>
    <w:rsid w:val="00C50BCA"/>
    <w:rsid w:val="00C50D05"/>
    <w:rsid w:val="00C50EA4"/>
    <w:rsid w:val="00C52E6D"/>
    <w:rsid w:val="00C55547"/>
    <w:rsid w:val="00C56756"/>
    <w:rsid w:val="00C575DB"/>
    <w:rsid w:val="00C6070A"/>
    <w:rsid w:val="00C611A1"/>
    <w:rsid w:val="00C61570"/>
    <w:rsid w:val="00C61EC0"/>
    <w:rsid w:val="00C63DC2"/>
    <w:rsid w:val="00C65F88"/>
    <w:rsid w:val="00C66380"/>
    <w:rsid w:val="00C6645B"/>
    <w:rsid w:val="00C66947"/>
    <w:rsid w:val="00C67064"/>
    <w:rsid w:val="00C670FB"/>
    <w:rsid w:val="00C705F1"/>
    <w:rsid w:val="00C7071E"/>
    <w:rsid w:val="00C71092"/>
    <w:rsid w:val="00C723FD"/>
    <w:rsid w:val="00C72CDB"/>
    <w:rsid w:val="00C7411F"/>
    <w:rsid w:val="00C7499B"/>
    <w:rsid w:val="00C754B1"/>
    <w:rsid w:val="00C75E8C"/>
    <w:rsid w:val="00C8104F"/>
    <w:rsid w:val="00C82CDF"/>
    <w:rsid w:val="00C82F8F"/>
    <w:rsid w:val="00C8452B"/>
    <w:rsid w:val="00C8495D"/>
    <w:rsid w:val="00C8518C"/>
    <w:rsid w:val="00C856B4"/>
    <w:rsid w:val="00C87086"/>
    <w:rsid w:val="00C901C2"/>
    <w:rsid w:val="00C90F6D"/>
    <w:rsid w:val="00C9104D"/>
    <w:rsid w:val="00C91206"/>
    <w:rsid w:val="00C91E94"/>
    <w:rsid w:val="00C935C0"/>
    <w:rsid w:val="00C9432C"/>
    <w:rsid w:val="00C97695"/>
    <w:rsid w:val="00CA012C"/>
    <w:rsid w:val="00CA0417"/>
    <w:rsid w:val="00CA0D62"/>
    <w:rsid w:val="00CA33F4"/>
    <w:rsid w:val="00CA6C90"/>
    <w:rsid w:val="00CB0861"/>
    <w:rsid w:val="00CB1075"/>
    <w:rsid w:val="00CB3DAD"/>
    <w:rsid w:val="00CB3EE6"/>
    <w:rsid w:val="00CB408E"/>
    <w:rsid w:val="00CB542F"/>
    <w:rsid w:val="00CB56FA"/>
    <w:rsid w:val="00CB598D"/>
    <w:rsid w:val="00CB696D"/>
    <w:rsid w:val="00CC072B"/>
    <w:rsid w:val="00CC0DA3"/>
    <w:rsid w:val="00CC1271"/>
    <w:rsid w:val="00CC17C8"/>
    <w:rsid w:val="00CC17E7"/>
    <w:rsid w:val="00CC3CA0"/>
    <w:rsid w:val="00CC3E60"/>
    <w:rsid w:val="00CC535C"/>
    <w:rsid w:val="00CC7795"/>
    <w:rsid w:val="00CD193D"/>
    <w:rsid w:val="00CD2D49"/>
    <w:rsid w:val="00CD48F9"/>
    <w:rsid w:val="00CD50C9"/>
    <w:rsid w:val="00CD623F"/>
    <w:rsid w:val="00CD67A6"/>
    <w:rsid w:val="00CD79DC"/>
    <w:rsid w:val="00CE0729"/>
    <w:rsid w:val="00CE0856"/>
    <w:rsid w:val="00CE0CFB"/>
    <w:rsid w:val="00CE11C4"/>
    <w:rsid w:val="00CE18F5"/>
    <w:rsid w:val="00CE3580"/>
    <w:rsid w:val="00CE4893"/>
    <w:rsid w:val="00CE4D28"/>
    <w:rsid w:val="00CE5054"/>
    <w:rsid w:val="00CE6DDA"/>
    <w:rsid w:val="00CF0623"/>
    <w:rsid w:val="00CF22FA"/>
    <w:rsid w:val="00CF3578"/>
    <w:rsid w:val="00CF3CDD"/>
    <w:rsid w:val="00CF4334"/>
    <w:rsid w:val="00CF6E2B"/>
    <w:rsid w:val="00CF6F55"/>
    <w:rsid w:val="00CF7862"/>
    <w:rsid w:val="00D013B4"/>
    <w:rsid w:val="00D01785"/>
    <w:rsid w:val="00D020BD"/>
    <w:rsid w:val="00D03F36"/>
    <w:rsid w:val="00D05CA4"/>
    <w:rsid w:val="00D05DEF"/>
    <w:rsid w:val="00D0787F"/>
    <w:rsid w:val="00D10037"/>
    <w:rsid w:val="00D104EE"/>
    <w:rsid w:val="00D1085D"/>
    <w:rsid w:val="00D11078"/>
    <w:rsid w:val="00D13712"/>
    <w:rsid w:val="00D13BCE"/>
    <w:rsid w:val="00D14953"/>
    <w:rsid w:val="00D14AEA"/>
    <w:rsid w:val="00D14CBA"/>
    <w:rsid w:val="00D14D9A"/>
    <w:rsid w:val="00D15E31"/>
    <w:rsid w:val="00D178F1"/>
    <w:rsid w:val="00D214AF"/>
    <w:rsid w:val="00D21779"/>
    <w:rsid w:val="00D223DE"/>
    <w:rsid w:val="00D224FB"/>
    <w:rsid w:val="00D23833"/>
    <w:rsid w:val="00D25089"/>
    <w:rsid w:val="00D25FA1"/>
    <w:rsid w:val="00D30203"/>
    <w:rsid w:val="00D308D1"/>
    <w:rsid w:val="00D32657"/>
    <w:rsid w:val="00D348FD"/>
    <w:rsid w:val="00D35BB5"/>
    <w:rsid w:val="00D3669B"/>
    <w:rsid w:val="00D375A1"/>
    <w:rsid w:val="00D376B4"/>
    <w:rsid w:val="00D376BF"/>
    <w:rsid w:val="00D40CFD"/>
    <w:rsid w:val="00D41081"/>
    <w:rsid w:val="00D429D2"/>
    <w:rsid w:val="00D42F1B"/>
    <w:rsid w:val="00D4405E"/>
    <w:rsid w:val="00D44B1C"/>
    <w:rsid w:val="00D45083"/>
    <w:rsid w:val="00D45A04"/>
    <w:rsid w:val="00D46357"/>
    <w:rsid w:val="00D478BA"/>
    <w:rsid w:val="00D50A29"/>
    <w:rsid w:val="00D51209"/>
    <w:rsid w:val="00D52D0D"/>
    <w:rsid w:val="00D52DB8"/>
    <w:rsid w:val="00D53721"/>
    <w:rsid w:val="00D55BF8"/>
    <w:rsid w:val="00D568EA"/>
    <w:rsid w:val="00D56DC8"/>
    <w:rsid w:val="00D57902"/>
    <w:rsid w:val="00D57970"/>
    <w:rsid w:val="00D57DAE"/>
    <w:rsid w:val="00D606F9"/>
    <w:rsid w:val="00D6178A"/>
    <w:rsid w:val="00D61D15"/>
    <w:rsid w:val="00D628F9"/>
    <w:rsid w:val="00D64596"/>
    <w:rsid w:val="00D6615F"/>
    <w:rsid w:val="00D67107"/>
    <w:rsid w:val="00D67569"/>
    <w:rsid w:val="00D67BDF"/>
    <w:rsid w:val="00D67DCE"/>
    <w:rsid w:val="00D700E5"/>
    <w:rsid w:val="00D71B0C"/>
    <w:rsid w:val="00D73649"/>
    <w:rsid w:val="00D737C0"/>
    <w:rsid w:val="00D7473F"/>
    <w:rsid w:val="00D749B6"/>
    <w:rsid w:val="00D74B97"/>
    <w:rsid w:val="00D76A8F"/>
    <w:rsid w:val="00D772B2"/>
    <w:rsid w:val="00D77D83"/>
    <w:rsid w:val="00D81248"/>
    <w:rsid w:val="00D8221C"/>
    <w:rsid w:val="00D82DF3"/>
    <w:rsid w:val="00D84BFF"/>
    <w:rsid w:val="00D85097"/>
    <w:rsid w:val="00D85391"/>
    <w:rsid w:val="00D8569E"/>
    <w:rsid w:val="00D879B5"/>
    <w:rsid w:val="00D928BE"/>
    <w:rsid w:val="00D936FC"/>
    <w:rsid w:val="00D93F47"/>
    <w:rsid w:val="00D9433D"/>
    <w:rsid w:val="00D952A5"/>
    <w:rsid w:val="00D96523"/>
    <w:rsid w:val="00D96A9A"/>
    <w:rsid w:val="00D973C6"/>
    <w:rsid w:val="00D9792F"/>
    <w:rsid w:val="00D97C44"/>
    <w:rsid w:val="00DA1602"/>
    <w:rsid w:val="00DA1799"/>
    <w:rsid w:val="00DA277F"/>
    <w:rsid w:val="00DA34CA"/>
    <w:rsid w:val="00DA479C"/>
    <w:rsid w:val="00DA5034"/>
    <w:rsid w:val="00DA55A3"/>
    <w:rsid w:val="00DA5ADA"/>
    <w:rsid w:val="00DA718F"/>
    <w:rsid w:val="00DB1BB3"/>
    <w:rsid w:val="00DB4896"/>
    <w:rsid w:val="00DB5EBF"/>
    <w:rsid w:val="00DB7C68"/>
    <w:rsid w:val="00DC4D6A"/>
    <w:rsid w:val="00DC570C"/>
    <w:rsid w:val="00DC72DC"/>
    <w:rsid w:val="00DC74B6"/>
    <w:rsid w:val="00DD076A"/>
    <w:rsid w:val="00DD191D"/>
    <w:rsid w:val="00DD2239"/>
    <w:rsid w:val="00DD27F2"/>
    <w:rsid w:val="00DD2FAD"/>
    <w:rsid w:val="00DD4ED1"/>
    <w:rsid w:val="00DD5C7E"/>
    <w:rsid w:val="00DD6CED"/>
    <w:rsid w:val="00DD7414"/>
    <w:rsid w:val="00DD7886"/>
    <w:rsid w:val="00DE0467"/>
    <w:rsid w:val="00DE0AAE"/>
    <w:rsid w:val="00DE247E"/>
    <w:rsid w:val="00DE33E4"/>
    <w:rsid w:val="00DE6869"/>
    <w:rsid w:val="00DE705E"/>
    <w:rsid w:val="00DE7DEE"/>
    <w:rsid w:val="00DF0119"/>
    <w:rsid w:val="00DF05DD"/>
    <w:rsid w:val="00DF3532"/>
    <w:rsid w:val="00DF35B5"/>
    <w:rsid w:val="00DF48FC"/>
    <w:rsid w:val="00DF4AEA"/>
    <w:rsid w:val="00DF612C"/>
    <w:rsid w:val="00DF619E"/>
    <w:rsid w:val="00DF67D1"/>
    <w:rsid w:val="00DF75D1"/>
    <w:rsid w:val="00DF7964"/>
    <w:rsid w:val="00E029C2"/>
    <w:rsid w:val="00E02A56"/>
    <w:rsid w:val="00E03CB3"/>
    <w:rsid w:val="00E03F3D"/>
    <w:rsid w:val="00E0417C"/>
    <w:rsid w:val="00E04503"/>
    <w:rsid w:val="00E04A0B"/>
    <w:rsid w:val="00E04B4A"/>
    <w:rsid w:val="00E05EE5"/>
    <w:rsid w:val="00E07A19"/>
    <w:rsid w:val="00E1001C"/>
    <w:rsid w:val="00E114C3"/>
    <w:rsid w:val="00E11787"/>
    <w:rsid w:val="00E12AF3"/>
    <w:rsid w:val="00E12E9D"/>
    <w:rsid w:val="00E14980"/>
    <w:rsid w:val="00E14B5C"/>
    <w:rsid w:val="00E16423"/>
    <w:rsid w:val="00E1693A"/>
    <w:rsid w:val="00E1753A"/>
    <w:rsid w:val="00E175F3"/>
    <w:rsid w:val="00E20A1F"/>
    <w:rsid w:val="00E24F21"/>
    <w:rsid w:val="00E24F35"/>
    <w:rsid w:val="00E2788C"/>
    <w:rsid w:val="00E31BA3"/>
    <w:rsid w:val="00E32885"/>
    <w:rsid w:val="00E334A6"/>
    <w:rsid w:val="00E3433E"/>
    <w:rsid w:val="00E346FB"/>
    <w:rsid w:val="00E34ED5"/>
    <w:rsid w:val="00E35C84"/>
    <w:rsid w:val="00E37877"/>
    <w:rsid w:val="00E408CB"/>
    <w:rsid w:val="00E40A3C"/>
    <w:rsid w:val="00E40C98"/>
    <w:rsid w:val="00E4116B"/>
    <w:rsid w:val="00E41319"/>
    <w:rsid w:val="00E421BA"/>
    <w:rsid w:val="00E428D7"/>
    <w:rsid w:val="00E43E07"/>
    <w:rsid w:val="00E44349"/>
    <w:rsid w:val="00E4446A"/>
    <w:rsid w:val="00E44D13"/>
    <w:rsid w:val="00E46431"/>
    <w:rsid w:val="00E51A20"/>
    <w:rsid w:val="00E52372"/>
    <w:rsid w:val="00E53614"/>
    <w:rsid w:val="00E536C6"/>
    <w:rsid w:val="00E53870"/>
    <w:rsid w:val="00E54653"/>
    <w:rsid w:val="00E54E85"/>
    <w:rsid w:val="00E56018"/>
    <w:rsid w:val="00E5721A"/>
    <w:rsid w:val="00E60FEA"/>
    <w:rsid w:val="00E6152D"/>
    <w:rsid w:val="00E62056"/>
    <w:rsid w:val="00E625D6"/>
    <w:rsid w:val="00E63021"/>
    <w:rsid w:val="00E6319F"/>
    <w:rsid w:val="00E63722"/>
    <w:rsid w:val="00E648A7"/>
    <w:rsid w:val="00E660F6"/>
    <w:rsid w:val="00E716B9"/>
    <w:rsid w:val="00E71ADF"/>
    <w:rsid w:val="00E73D1E"/>
    <w:rsid w:val="00E74569"/>
    <w:rsid w:val="00E76725"/>
    <w:rsid w:val="00E775C4"/>
    <w:rsid w:val="00E80471"/>
    <w:rsid w:val="00E80BBA"/>
    <w:rsid w:val="00E81C21"/>
    <w:rsid w:val="00E837E3"/>
    <w:rsid w:val="00E838E5"/>
    <w:rsid w:val="00E8555A"/>
    <w:rsid w:val="00E86EDB"/>
    <w:rsid w:val="00E87302"/>
    <w:rsid w:val="00E87628"/>
    <w:rsid w:val="00E8768A"/>
    <w:rsid w:val="00E87B73"/>
    <w:rsid w:val="00E90450"/>
    <w:rsid w:val="00E90D4C"/>
    <w:rsid w:val="00E91422"/>
    <w:rsid w:val="00E916FD"/>
    <w:rsid w:val="00E918F3"/>
    <w:rsid w:val="00E9221B"/>
    <w:rsid w:val="00E92ADC"/>
    <w:rsid w:val="00E92C93"/>
    <w:rsid w:val="00E93313"/>
    <w:rsid w:val="00E972C2"/>
    <w:rsid w:val="00E97FDA"/>
    <w:rsid w:val="00EA0033"/>
    <w:rsid w:val="00EA0F1E"/>
    <w:rsid w:val="00EA12FD"/>
    <w:rsid w:val="00EA2D45"/>
    <w:rsid w:val="00EA4C19"/>
    <w:rsid w:val="00EA4F3D"/>
    <w:rsid w:val="00EB05A1"/>
    <w:rsid w:val="00EB1521"/>
    <w:rsid w:val="00EB1CAA"/>
    <w:rsid w:val="00EB1CDC"/>
    <w:rsid w:val="00EB3385"/>
    <w:rsid w:val="00EB39B1"/>
    <w:rsid w:val="00EB4490"/>
    <w:rsid w:val="00EB4573"/>
    <w:rsid w:val="00EB5554"/>
    <w:rsid w:val="00EB5A9C"/>
    <w:rsid w:val="00EB5FFA"/>
    <w:rsid w:val="00EB680C"/>
    <w:rsid w:val="00EB7907"/>
    <w:rsid w:val="00EB7E20"/>
    <w:rsid w:val="00EC0D11"/>
    <w:rsid w:val="00EC0E7F"/>
    <w:rsid w:val="00EC114E"/>
    <w:rsid w:val="00EC1B94"/>
    <w:rsid w:val="00EC1DA4"/>
    <w:rsid w:val="00EC215C"/>
    <w:rsid w:val="00EC2633"/>
    <w:rsid w:val="00EC460A"/>
    <w:rsid w:val="00EC4C48"/>
    <w:rsid w:val="00EC4D5A"/>
    <w:rsid w:val="00EC6894"/>
    <w:rsid w:val="00EC6F89"/>
    <w:rsid w:val="00ED0363"/>
    <w:rsid w:val="00ED03EC"/>
    <w:rsid w:val="00ED0548"/>
    <w:rsid w:val="00ED269D"/>
    <w:rsid w:val="00ED5946"/>
    <w:rsid w:val="00ED7A49"/>
    <w:rsid w:val="00ED7B36"/>
    <w:rsid w:val="00ED7EC7"/>
    <w:rsid w:val="00EE087A"/>
    <w:rsid w:val="00EE3567"/>
    <w:rsid w:val="00EE3D35"/>
    <w:rsid w:val="00EE6024"/>
    <w:rsid w:val="00EF1D4C"/>
    <w:rsid w:val="00EF3550"/>
    <w:rsid w:val="00EF3B14"/>
    <w:rsid w:val="00EF3CB8"/>
    <w:rsid w:val="00EF3D05"/>
    <w:rsid w:val="00EF4C58"/>
    <w:rsid w:val="00EF5BD7"/>
    <w:rsid w:val="00EF7A43"/>
    <w:rsid w:val="00F05378"/>
    <w:rsid w:val="00F067D1"/>
    <w:rsid w:val="00F0685C"/>
    <w:rsid w:val="00F075EE"/>
    <w:rsid w:val="00F0775C"/>
    <w:rsid w:val="00F07DA5"/>
    <w:rsid w:val="00F100F4"/>
    <w:rsid w:val="00F10BB9"/>
    <w:rsid w:val="00F124CE"/>
    <w:rsid w:val="00F12944"/>
    <w:rsid w:val="00F12EDE"/>
    <w:rsid w:val="00F1437A"/>
    <w:rsid w:val="00F14DEE"/>
    <w:rsid w:val="00F14EBA"/>
    <w:rsid w:val="00F16A3B"/>
    <w:rsid w:val="00F17693"/>
    <w:rsid w:val="00F200CE"/>
    <w:rsid w:val="00F221FD"/>
    <w:rsid w:val="00F2224A"/>
    <w:rsid w:val="00F233C5"/>
    <w:rsid w:val="00F233D2"/>
    <w:rsid w:val="00F23E7B"/>
    <w:rsid w:val="00F23FD5"/>
    <w:rsid w:val="00F24C4D"/>
    <w:rsid w:val="00F24CEF"/>
    <w:rsid w:val="00F25DB7"/>
    <w:rsid w:val="00F26FF4"/>
    <w:rsid w:val="00F27753"/>
    <w:rsid w:val="00F300E2"/>
    <w:rsid w:val="00F326FB"/>
    <w:rsid w:val="00F338D0"/>
    <w:rsid w:val="00F33C1B"/>
    <w:rsid w:val="00F36065"/>
    <w:rsid w:val="00F36FE8"/>
    <w:rsid w:val="00F37396"/>
    <w:rsid w:val="00F37550"/>
    <w:rsid w:val="00F378AB"/>
    <w:rsid w:val="00F43A3F"/>
    <w:rsid w:val="00F43A68"/>
    <w:rsid w:val="00F454AF"/>
    <w:rsid w:val="00F458B7"/>
    <w:rsid w:val="00F46F59"/>
    <w:rsid w:val="00F47CBB"/>
    <w:rsid w:val="00F503F4"/>
    <w:rsid w:val="00F50434"/>
    <w:rsid w:val="00F51284"/>
    <w:rsid w:val="00F513E3"/>
    <w:rsid w:val="00F51BCD"/>
    <w:rsid w:val="00F52278"/>
    <w:rsid w:val="00F52D6C"/>
    <w:rsid w:val="00F556C6"/>
    <w:rsid w:val="00F55F0B"/>
    <w:rsid w:val="00F56215"/>
    <w:rsid w:val="00F563A5"/>
    <w:rsid w:val="00F5642E"/>
    <w:rsid w:val="00F571D9"/>
    <w:rsid w:val="00F578F6"/>
    <w:rsid w:val="00F60A1F"/>
    <w:rsid w:val="00F61A88"/>
    <w:rsid w:val="00F61CD8"/>
    <w:rsid w:val="00F64857"/>
    <w:rsid w:val="00F667AB"/>
    <w:rsid w:val="00F67038"/>
    <w:rsid w:val="00F67D49"/>
    <w:rsid w:val="00F703AD"/>
    <w:rsid w:val="00F713A2"/>
    <w:rsid w:val="00F7236E"/>
    <w:rsid w:val="00F72BCB"/>
    <w:rsid w:val="00F73A4C"/>
    <w:rsid w:val="00F73A71"/>
    <w:rsid w:val="00F74B38"/>
    <w:rsid w:val="00F764E7"/>
    <w:rsid w:val="00F76FFC"/>
    <w:rsid w:val="00F80155"/>
    <w:rsid w:val="00F80A95"/>
    <w:rsid w:val="00F8141D"/>
    <w:rsid w:val="00F81B3F"/>
    <w:rsid w:val="00F81F27"/>
    <w:rsid w:val="00F82FAC"/>
    <w:rsid w:val="00F835F1"/>
    <w:rsid w:val="00F843C9"/>
    <w:rsid w:val="00F856FE"/>
    <w:rsid w:val="00F86F33"/>
    <w:rsid w:val="00F8771F"/>
    <w:rsid w:val="00F9000A"/>
    <w:rsid w:val="00F9006C"/>
    <w:rsid w:val="00F930C5"/>
    <w:rsid w:val="00F932E1"/>
    <w:rsid w:val="00F93F90"/>
    <w:rsid w:val="00F94488"/>
    <w:rsid w:val="00F94F1A"/>
    <w:rsid w:val="00F95055"/>
    <w:rsid w:val="00F95BD6"/>
    <w:rsid w:val="00F95F5A"/>
    <w:rsid w:val="00F96EE7"/>
    <w:rsid w:val="00FA12D7"/>
    <w:rsid w:val="00FA13B7"/>
    <w:rsid w:val="00FA1969"/>
    <w:rsid w:val="00FA1D01"/>
    <w:rsid w:val="00FA2960"/>
    <w:rsid w:val="00FA4031"/>
    <w:rsid w:val="00FA578E"/>
    <w:rsid w:val="00FA6417"/>
    <w:rsid w:val="00FA67AA"/>
    <w:rsid w:val="00FA6B45"/>
    <w:rsid w:val="00FB0A07"/>
    <w:rsid w:val="00FB1573"/>
    <w:rsid w:val="00FB1597"/>
    <w:rsid w:val="00FB334A"/>
    <w:rsid w:val="00FB35CF"/>
    <w:rsid w:val="00FB35D6"/>
    <w:rsid w:val="00FB45D2"/>
    <w:rsid w:val="00FB48AF"/>
    <w:rsid w:val="00FB5344"/>
    <w:rsid w:val="00FB59A1"/>
    <w:rsid w:val="00FB62E4"/>
    <w:rsid w:val="00FB65F3"/>
    <w:rsid w:val="00FB6F9C"/>
    <w:rsid w:val="00FC0264"/>
    <w:rsid w:val="00FC095A"/>
    <w:rsid w:val="00FC103C"/>
    <w:rsid w:val="00FC14A4"/>
    <w:rsid w:val="00FC1D37"/>
    <w:rsid w:val="00FC3B8E"/>
    <w:rsid w:val="00FC4D38"/>
    <w:rsid w:val="00FC5B55"/>
    <w:rsid w:val="00FC5EF4"/>
    <w:rsid w:val="00FC6FA7"/>
    <w:rsid w:val="00FD06B9"/>
    <w:rsid w:val="00FD0A29"/>
    <w:rsid w:val="00FD3703"/>
    <w:rsid w:val="00FD4138"/>
    <w:rsid w:val="00FD50A0"/>
    <w:rsid w:val="00FD5147"/>
    <w:rsid w:val="00FD60C3"/>
    <w:rsid w:val="00FD6174"/>
    <w:rsid w:val="00FD6983"/>
    <w:rsid w:val="00FE0291"/>
    <w:rsid w:val="00FE144A"/>
    <w:rsid w:val="00FE1B48"/>
    <w:rsid w:val="00FE1E7B"/>
    <w:rsid w:val="00FE399B"/>
    <w:rsid w:val="00FE3F9D"/>
    <w:rsid w:val="00FE60DD"/>
    <w:rsid w:val="00FE7537"/>
    <w:rsid w:val="00FF2611"/>
    <w:rsid w:val="00FF2C7E"/>
    <w:rsid w:val="00FF2D50"/>
    <w:rsid w:val="00FF3720"/>
    <w:rsid w:val="00FF3769"/>
    <w:rsid w:val="00FF449E"/>
    <w:rsid w:val="00FF4CAA"/>
    <w:rsid w:val="00FF52CE"/>
    <w:rsid w:val="00FF57E1"/>
    <w:rsid w:val="00FF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41"/>
    <o:shapelayout v:ext="edit">
      <o:idmap v:ext="edit" data="1"/>
    </o:shapelayout>
  </w:shapeDefaults>
  <w:decimalSymbol w:val="."/>
  <w:listSeparator w:val=","/>
  <w14:docId w14:val="151B78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4488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7E41FC"/>
    <w:pPr>
      <w:keepNext/>
      <w:bidi w:val="0"/>
      <w:spacing w:line="300" w:lineRule="exact"/>
      <w:jc w:val="center"/>
      <w:outlineLvl w:val="0"/>
    </w:pPr>
    <w:rPr>
      <w:rFonts w:ascii="Times" w:hAnsi="Times" w:cs="Times"/>
      <w:b/>
      <w:bCs/>
      <w:lang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E41FC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7E41FC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7E41FC"/>
    <w:pPr>
      <w:bidi w:val="0"/>
      <w:spacing w:line="300" w:lineRule="exact"/>
      <w:ind w:firstLine="240"/>
      <w:jc w:val="both"/>
    </w:pPr>
    <w:rPr>
      <w:rFonts w:ascii="Times" w:hAnsi="Times" w:cs="Times"/>
      <w:lang w:eastAsia="zh-CN" w:bidi="ar-SA"/>
    </w:rPr>
  </w:style>
  <w:style w:type="character" w:styleId="Hyperlink">
    <w:name w:val="Hyperlink"/>
    <w:uiPriority w:val="99"/>
    <w:rsid w:val="007E41FC"/>
    <w:rPr>
      <w:color w:val="0000FF"/>
      <w:u w:val="single"/>
    </w:rPr>
  </w:style>
  <w:style w:type="character" w:styleId="a5">
    <w:name w:val="page number"/>
    <w:basedOn w:val="a0"/>
    <w:rsid w:val="00E32885"/>
  </w:style>
  <w:style w:type="paragraph" w:styleId="a6">
    <w:name w:val="Balloon Text"/>
    <w:basedOn w:val="a"/>
    <w:semiHidden/>
    <w:rsid w:val="00616EC6"/>
    <w:rPr>
      <w:rFonts w:ascii="Tahoma" w:hAnsi="Tahoma" w:cs="Tahoma"/>
      <w:sz w:val="16"/>
      <w:szCs w:val="16"/>
    </w:rPr>
  </w:style>
  <w:style w:type="paragraph" w:styleId="a7">
    <w:name w:val="footnote text"/>
    <w:basedOn w:val="a"/>
    <w:semiHidden/>
    <w:rsid w:val="009D47D8"/>
    <w:rPr>
      <w:sz w:val="20"/>
      <w:szCs w:val="20"/>
    </w:rPr>
  </w:style>
  <w:style w:type="character" w:styleId="a8">
    <w:name w:val="footnote reference"/>
    <w:semiHidden/>
    <w:rsid w:val="009D47D8"/>
    <w:rPr>
      <w:vertAlign w:val="superscript"/>
    </w:rPr>
  </w:style>
  <w:style w:type="paragraph" w:styleId="a9">
    <w:name w:val="Document Map"/>
    <w:basedOn w:val="a"/>
    <w:semiHidden/>
    <w:rsid w:val="00801E32"/>
    <w:pPr>
      <w:shd w:val="clear" w:color="auto" w:fill="000080"/>
    </w:pPr>
    <w:rPr>
      <w:rFonts w:ascii="Tahoma" w:hAnsi="Tahoma" w:cs="Tahoma"/>
    </w:rPr>
  </w:style>
  <w:style w:type="character" w:styleId="FollowedHyperlink">
    <w:name w:val="FollowedHyperlink"/>
    <w:rsid w:val="0057653C"/>
    <w:rPr>
      <w:color w:val="800080"/>
      <w:u w:val="single"/>
    </w:rPr>
  </w:style>
  <w:style w:type="table" w:styleId="aa">
    <w:name w:val="Table Grid"/>
    <w:basedOn w:val="a1"/>
    <w:rsid w:val="00707FB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614B4"/>
    <w:pPr>
      <w:ind w:left="720"/>
    </w:pPr>
  </w:style>
  <w:style w:type="paragraph" w:styleId="ac">
    <w:name w:val="Title"/>
    <w:basedOn w:val="a"/>
    <w:next w:val="a"/>
    <w:link w:val="ad"/>
    <w:qFormat/>
    <w:rsid w:val="006448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כותרת טקסט תו"/>
    <w:basedOn w:val="a0"/>
    <w:link w:val="ac"/>
    <w:rsid w:val="006448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trong"/>
    <w:basedOn w:val="a0"/>
    <w:qFormat/>
    <w:rsid w:val="006448E2"/>
    <w:rPr>
      <w:b/>
      <w:bCs/>
    </w:rPr>
  </w:style>
  <w:style w:type="character" w:styleId="af">
    <w:name w:val="annotation reference"/>
    <w:basedOn w:val="a0"/>
    <w:rsid w:val="00A861CB"/>
    <w:rPr>
      <w:sz w:val="16"/>
      <w:szCs w:val="16"/>
    </w:rPr>
  </w:style>
  <w:style w:type="paragraph" w:styleId="af0">
    <w:name w:val="annotation text"/>
    <w:basedOn w:val="a"/>
    <w:link w:val="af1"/>
    <w:rsid w:val="00A861CB"/>
    <w:rPr>
      <w:sz w:val="20"/>
      <w:szCs w:val="20"/>
    </w:rPr>
  </w:style>
  <w:style w:type="character" w:customStyle="1" w:styleId="af1">
    <w:name w:val="טקסט הערה תו"/>
    <w:basedOn w:val="a0"/>
    <w:link w:val="af0"/>
    <w:rsid w:val="00A861CB"/>
  </w:style>
  <w:style w:type="paragraph" w:styleId="af2">
    <w:name w:val="annotation subject"/>
    <w:basedOn w:val="af0"/>
    <w:next w:val="af0"/>
    <w:link w:val="af3"/>
    <w:rsid w:val="00A861CB"/>
    <w:rPr>
      <w:b/>
      <w:bCs/>
    </w:rPr>
  </w:style>
  <w:style w:type="character" w:customStyle="1" w:styleId="af3">
    <w:name w:val="נושא הערה תו"/>
    <w:basedOn w:val="af1"/>
    <w:link w:val="af2"/>
    <w:rsid w:val="00A861CB"/>
    <w:rPr>
      <w:b/>
      <w:bCs/>
    </w:rPr>
  </w:style>
  <w:style w:type="paragraph" w:customStyle="1" w:styleId="LetterheadBOI">
    <w:name w:val="Letterhead BOI"/>
    <w:basedOn w:val="regpar"/>
    <w:link w:val="LetterheadBOIChar"/>
    <w:qFormat/>
    <w:rsid w:val="00D772B2"/>
    <w:pPr>
      <w:spacing w:line="300" w:lineRule="atLeast"/>
      <w:ind w:firstLine="0"/>
      <w:jc w:val="center"/>
    </w:pPr>
    <w:rPr>
      <w:rFonts w:ascii="Times New Roman" w:hAnsi="Times New Roman" w:cs="David"/>
      <w:b/>
      <w:lang w:eastAsia="en-US" w:bidi="he-IL"/>
    </w:rPr>
  </w:style>
  <w:style w:type="paragraph" w:customStyle="1" w:styleId="Letterhead2">
    <w:name w:val="Letterhead 2"/>
    <w:basedOn w:val="regpar"/>
    <w:link w:val="Letterhead2Char"/>
    <w:qFormat/>
    <w:rsid w:val="00D772B2"/>
    <w:pPr>
      <w:spacing w:line="300" w:lineRule="atLeast"/>
      <w:ind w:firstLine="0"/>
      <w:jc w:val="center"/>
    </w:pPr>
    <w:rPr>
      <w:rFonts w:ascii="Times New Roman" w:hAnsi="Times New Roman" w:cs="Times New Roman"/>
      <w:sz w:val="26"/>
      <w:szCs w:val="26"/>
      <w:lang w:eastAsia="en-US" w:bidi="he-IL"/>
    </w:rPr>
  </w:style>
  <w:style w:type="character" w:customStyle="1" w:styleId="LetterheadBOIChar">
    <w:name w:val="Letterhead BOI Char"/>
    <w:basedOn w:val="a0"/>
    <w:link w:val="LetterheadBOI"/>
    <w:rsid w:val="00D772B2"/>
    <w:rPr>
      <w:rFonts w:cs="David"/>
      <w:b/>
      <w:sz w:val="24"/>
      <w:szCs w:val="24"/>
    </w:rPr>
  </w:style>
  <w:style w:type="paragraph" w:customStyle="1" w:styleId="PressReleaseTitle">
    <w:name w:val="Press Release Title"/>
    <w:basedOn w:val="a"/>
    <w:link w:val="PressReleaseTitleChar"/>
    <w:qFormat/>
    <w:rsid w:val="00D772B2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Letterhead2Char">
    <w:name w:val="Letterhead 2 Char"/>
    <w:basedOn w:val="a0"/>
    <w:link w:val="Letterhead2"/>
    <w:rsid w:val="00D772B2"/>
    <w:rPr>
      <w:sz w:val="26"/>
      <w:szCs w:val="26"/>
    </w:rPr>
  </w:style>
  <w:style w:type="character" w:customStyle="1" w:styleId="PressReleaseTitleChar">
    <w:name w:val="Press Release Title Char"/>
    <w:basedOn w:val="a0"/>
    <w:link w:val="PressReleaseTitle"/>
    <w:rsid w:val="00D772B2"/>
    <w:rPr>
      <w:rFonts w:cs="David"/>
      <w:b/>
      <w:bCs/>
      <w:sz w:val="26"/>
      <w:szCs w:val="26"/>
    </w:rPr>
  </w:style>
  <w:style w:type="paragraph" w:styleId="af4">
    <w:name w:val="endnote text"/>
    <w:basedOn w:val="a"/>
    <w:link w:val="af5"/>
    <w:semiHidden/>
    <w:unhideWhenUsed/>
    <w:rsid w:val="00396A86"/>
    <w:rPr>
      <w:sz w:val="20"/>
      <w:szCs w:val="20"/>
    </w:rPr>
  </w:style>
  <w:style w:type="character" w:customStyle="1" w:styleId="af5">
    <w:name w:val="טקסט הערת סיום תו"/>
    <w:basedOn w:val="a0"/>
    <w:link w:val="af4"/>
    <w:semiHidden/>
    <w:rsid w:val="00396A86"/>
  </w:style>
  <w:style w:type="character" w:styleId="af6">
    <w:name w:val="endnote reference"/>
    <w:basedOn w:val="a0"/>
    <w:semiHidden/>
    <w:unhideWhenUsed/>
    <w:rsid w:val="00396A8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5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6C970-D5D5-45D3-98F8-5FF5D1045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1218</Words>
  <Characters>6478</Characters>
  <Application>Microsoft Office Word</Application>
  <DocSecurity>0</DocSecurity>
  <Lines>53</Lines>
  <Paragraphs>15</Paragraphs>
  <ScaleCrop>false</ScaleCrop>
  <Company/>
  <LinksUpToDate>false</LinksUpToDate>
  <CharactersWithSpaces>7681</CharactersWithSpaces>
  <SharedDoc>false</SharedDoc>
  <HLinks>
    <vt:vector size="6" baseType="variant">
      <vt:variant>
        <vt:i4>3080238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http://www.boi.org.il/en/DataAndStatistics/Pages/MainPage.aspx?Level=2&amp;Sid=15&amp;SubjectType=1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2023-09-27T06:57:00Z</dcterms:created>
  <dcterms:modified xsi:type="dcterms:W3CDTF">2023-09-27T06:57:00Z</dcterms:modified>
</cp:coreProperties>
</file>