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01"/>
        <w:bidiVisual/>
        <w:tblW w:w="9530" w:type="dxa"/>
        <w:tblLayout w:type="fixed"/>
        <w:tblLook w:val="0000" w:firstRow="0" w:lastRow="0" w:firstColumn="0" w:lastColumn="0" w:noHBand="0" w:noVBand="0"/>
      </w:tblPr>
      <w:tblGrid>
        <w:gridCol w:w="3343"/>
        <w:gridCol w:w="2596"/>
        <w:gridCol w:w="3591"/>
      </w:tblGrid>
      <w:tr w:rsidR="003A1E5D" w:rsidRPr="003A1E5D" w:rsidTr="00D004C2">
        <w:tc>
          <w:tcPr>
            <w:tcW w:w="3343" w:type="dxa"/>
            <w:tcBorders>
              <w:top w:val="nil"/>
              <w:left w:val="nil"/>
              <w:bottom w:val="nil"/>
              <w:right w:val="nil"/>
            </w:tcBorders>
            <w:vAlign w:val="center"/>
          </w:tcPr>
          <w:p w:rsidR="003A1E5D" w:rsidRPr="003A1E5D" w:rsidRDefault="003A1E5D" w:rsidP="00D004C2">
            <w:pPr>
              <w:pStyle w:val="a3"/>
              <w:spacing w:line="360" w:lineRule="auto"/>
              <w:ind w:left="501"/>
              <w:rPr>
                <w:rFonts w:ascii="David" w:hAnsi="David" w:cs="David"/>
                <w:b/>
                <w:bCs/>
                <w:sz w:val="28"/>
                <w:szCs w:val="28"/>
              </w:rPr>
            </w:pPr>
            <w:bookmarkStart w:id="0" w:name="_GoBack"/>
            <w:bookmarkEnd w:id="0"/>
            <w:r w:rsidRPr="003A1E5D">
              <w:rPr>
                <w:rFonts w:ascii="David" w:hAnsi="David" w:cs="David"/>
                <w:b/>
                <w:bCs/>
                <w:sz w:val="28"/>
                <w:szCs w:val="28"/>
                <w:rtl/>
              </w:rPr>
              <w:t>בנק ישראל</w:t>
            </w:r>
          </w:p>
          <w:p w:rsidR="003A1E5D" w:rsidRPr="003A1E5D" w:rsidRDefault="003A1E5D" w:rsidP="00D004C2">
            <w:pPr>
              <w:pStyle w:val="a3"/>
              <w:spacing w:line="360" w:lineRule="auto"/>
              <w:ind w:left="501" w:right="-101"/>
              <w:rPr>
                <w:rFonts w:ascii="David" w:hAnsi="David" w:cs="David"/>
              </w:rPr>
            </w:pPr>
            <w:r w:rsidRPr="003A1E5D">
              <w:rPr>
                <w:rFonts w:ascii="David" w:hAnsi="David" w:cs="David"/>
                <w:rtl/>
              </w:rPr>
              <w:t>דוברות והסברה כלכלית</w:t>
            </w:r>
          </w:p>
        </w:tc>
        <w:tc>
          <w:tcPr>
            <w:tcW w:w="2596" w:type="dxa"/>
            <w:tcBorders>
              <w:top w:val="nil"/>
              <w:left w:val="nil"/>
              <w:bottom w:val="nil"/>
              <w:right w:val="nil"/>
            </w:tcBorders>
            <w:shd w:val="clear" w:color="auto" w:fill="FFFFFF"/>
          </w:tcPr>
          <w:p w:rsidR="003A1E5D" w:rsidRPr="003A1E5D" w:rsidRDefault="003A1E5D" w:rsidP="00D004C2">
            <w:pPr>
              <w:jc w:val="center"/>
              <w:rPr>
                <w:rFonts w:ascii="David" w:hAnsi="David" w:cs="David"/>
              </w:rPr>
            </w:pPr>
            <w:r w:rsidRPr="003A1E5D">
              <w:rPr>
                <w:rFonts w:ascii="David" w:hAnsi="David" w:cs="David"/>
                <w:noProof/>
              </w:rPr>
              <w:drawing>
                <wp:anchor distT="0" distB="0" distL="114300" distR="114300" simplePos="0" relativeHeight="251659264" behindDoc="0" locked="0" layoutInCell="1" allowOverlap="1" wp14:anchorId="4318460D" wp14:editId="154431DF">
                  <wp:simplePos x="0" y="0"/>
                  <wp:positionH relativeFrom="column">
                    <wp:posOffset>47625</wp:posOffset>
                  </wp:positionH>
                  <wp:positionV relativeFrom="paragraph">
                    <wp:posOffset>-228600</wp:posOffset>
                  </wp:positionV>
                  <wp:extent cx="842645" cy="842645"/>
                  <wp:effectExtent l="0" t="0" r="0" b="0"/>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2645" cy="8426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3A1E5D" w:rsidRPr="003A1E5D" w:rsidRDefault="003A1E5D" w:rsidP="00D004C2">
            <w:pPr>
              <w:spacing w:line="480" w:lineRule="auto"/>
              <w:jc w:val="right"/>
              <w:rPr>
                <w:rFonts w:ascii="David" w:hAnsi="David" w:cs="David"/>
                <w:rtl/>
              </w:rPr>
            </w:pPr>
            <w:r w:rsidRPr="003A1E5D">
              <w:rPr>
                <w:rFonts w:ascii="David" w:hAnsi="David" w:cs="David"/>
                <w:rtl/>
              </w:rPr>
              <w:t xml:space="preserve">‏ירושלים, </w:t>
            </w:r>
            <w:r w:rsidRPr="003A1E5D">
              <w:rPr>
                <w:rFonts w:ascii="David" w:hAnsi="David" w:cs="David"/>
                <w:rtl/>
              </w:rPr>
              <w:fldChar w:fldCharType="begin"/>
            </w:r>
            <w:r w:rsidRPr="003A1E5D">
              <w:rPr>
                <w:rFonts w:ascii="David" w:hAnsi="David" w:cs="David"/>
                <w:rtl/>
              </w:rPr>
              <w:instrText xml:space="preserve"> </w:instrText>
            </w:r>
            <w:r w:rsidRPr="003A1E5D">
              <w:rPr>
                <w:rFonts w:ascii="David" w:hAnsi="David" w:cs="David"/>
              </w:rPr>
              <w:instrText>DATE</w:instrText>
            </w:r>
            <w:r w:rsidRPr="003A1E5D">
              <w:rPr>
                <w:rFonts w:ascii="David" w:hAnsi="David" w:cs="David"/>
                <w:rtl/>
              </w:rPr>
              <w:instrText xml:space="preserve"> \@ "</w:instrText>
            </w:r>
            <w:r w:rsidRPr="003A1E5D">
              <w:rPr>
                <w:rFonts w:ascii="David" w:hAnsi="David" w:cs="David"/>
              </w:rPr>
              <w:instrText>d MMMM, yyyy" \h</w:instrText>
            </w:r>
            <w:r w:rsidRPr="003A1E5D">
              <w:rPr>
                <w:rFonts w:ascii="David" w:hAnsi="David" w:cs="David"/>
                <w:rtl/>
              </w:rPr>
              <w:instrText xml:space="preserve"> </w:instrText>
            </w:r>
            <w:r w:rsidRPr="003A1E5D">
              <w:rPr>
                <w:rFonts w:ascii="David" w:hAnsi="David" w:cs="David"/>
                <w:rtl/>
              </w:rPr>
              <w:fldChar w:fldCharType="separate"/>
            </w:r>
            <w:r w:rsidR="00190741">
              <w:rPr>
                <w:rFonts w:ascii="David" w:hAnsi="David" w:cs="David"/>
                <w:noProof/>
                <w:rtl/>
              </w:rPr>
              <w:t>‏כ"א שבט, תשפ"ד</w:t>
            </w:r>
            <w:r w:rsidRPr="003A1E5D">
              <w:rPr>
                <w:rFonts w:ascii="David" w:hAnsi="David" w:cs="David"/>
                <w:rtl/>
              </w:rPr>
              <w:fldChar w:fldCharType="end"/>
            </w:r>
          </w:p>
          <w:p w:rsidR="003A1E5D" w:rsidRPr="003A1E5D" w:rsidRDefault="003A1E5D" w:rsidP="00D004C2">
            <w:pPr>
              <w:spacing w:line="480" w:lineRule="auto"/>
              <w:jc w:val="right"/>
              <w:rPr>
                <w:rFonts w:ascii="David" w:hAnsi="David" w:cs="David"/>
              </w:rPr>
            </w:pPr>
            <w:r w:rsidRPr="003A1E5D">
              <w:rPr>
                <w:rFonts w:ascii="David" w:hAnsi="David" w:cs="David"/>
                <w:rtl/>
              </w:rPr>
              <w:fldChar w:fldCharType="begin"/>
            </w:r>
            <w:r w:rsidRPr="003A1E5D">
              <w:rPr>
                <w:rFonts w:ascii="David" w:hAnsi="David" w:cs="David"/>
                <w:rtl/>
              </w:rPr>
              <w:instrText xml:space="preserve"> </w:instrText>
            </w:r>
            <w:r w:rsidRPr="003A1E5D">
              <w:rPr>
                <w:rFonts w:ascii="David" w:hAnsi="David" w:cs="David"/>
              </w:rPr>
              <w:instrText>DATE</w:instrText>
            </w:r>
            <w:r w:rsidRPr="003A1E5D">
              <w:rPr>
                <w:rFonts w:ascii="David" w:hAnsi="David" w:cs="David"/>
                <w:rtl/>
              </w:rPr>
              <w:instrText xml:space="preserve"> \@ "</w:instrText>
            </w:r>
            <w:r w:rsidRPr="003A1E5D">
              <w:rPr>
                <w:rFonts w:ascii="David" w:hAnsi="David" w:cs="David"/>
              </w:rPr>
              <w:instrText>d MMMM, yyyy</w:instrText>
            </w:r>
            <w:r w:rsidRPr="003A1E5D">
              <w:rPr>
                <w:rFonts w:ascii="David" w:hAnsi="David" w:cs="David"/>
                <w:rtl/>
              </w:rPr>
              <w:instrText xml:space="preserve">" </w:instrText>
            </w:r>
            <w:r w:rsidRPr="003A1E5D">
              <w:rPr>
                <w:rFonts w:ascii="David" w:hAnsi="David" w:cs="David"/>
                <w:rtl/>
              </w:rPr>
              <w:fldChar w:fldCharType="separate"/>
            </w:r>
            <w:r w:rsidR="00190741">
              <w:rPr>
                <w:rFonts w:ascii="David" w:hAnsi="David" w:cs="David"/>
                <w:noProof/>
                <w:rtl/>
              </w:rPr>
              <w:t>‏31 ינואר, 2024</w:t>
            </w:r>
            <w:r w:rsidRPr="003A1E5D">
              <w:rPr>
                <w:rFonts w:ascii="David" w:hAnsi="David" w:cs="David"/>
                <w:rtl/>
              </w:rPr>
              <w:fldChar w:fldCharType="end"/>
            </w:r>
          </w:p>
        </w:tc>
      </w:tr>
    </w:tbl>
    <w:p w:rsidR="003A1E5D" w:rsidRPr="003A1E5D" w:rsidRDefault="003A1E5D" w:rsidP="003A1E5D">
      <w:pPr>
        <w:spacing w:line="360" w:lineRule="auto"/>
        <w:jc w:val="both"/>
        <w:rPr>
          <w:rFonts w:ascii="David" w:hAnsi="David" w:cs="David"/>
          <w:rtl/>
        </w:rPr>
      </w:pPr>
    </w:p>
    <w:p w:rsidR="003A1E5D" w:rsidRPr="003A1E5D" w:rsidRDefault="003A1E5D" w:rsidP="003A1E5D">
      <w:pPr>
        <w:spacing w:line="360" w:lineRule="auto"/>
        <w:jc w:val="both"/>
        <w:rPr>
          <w:rFonts w:ascii="David" w:hAnsi="David" w:cs="David"/>
          <w:rtl/>
        </w:rPr>
      </w:pPr>
      <w:r w:rsidRPr="003A1E5D">
        <w:rPr>
          <w:rFonts w:ascii="David" w:hAnsi="David" w:cs="David"/>
          <w:rtl/>
        </w:rPr>
        <w:t>הודעה לעיתונות:</w:t>
      </w:r>
    </w:p>
    <w:p w:rsidR="003A1E5D" w:rsidRPr="003A1E5D" w:rsidRDefault="003A1E5D" w:rsidP="003A1E5D">
      <w:pPr>
        <w:jc w:val="center"/>
        <w:rPr>
          <w:rFonts w:ascii="David" w:hAnsi="David" w:cs="David"/>
          <w:b/>
          <w:bCs/>
          <w:sz w:val="28"/>
          <w:szCs w:val="28"/>
          <w:rtl/>
        </w:rPr>
      </w:pPr>
      <w:r>
        <w:rPr>
          <w:rFonts w:ascii="David" w:hAnsi="David" w:cs="David" w:hint="cs"/>
          <w:b/>
          <w:bCs/>
          <w:sz w:val="28"/>
          <w:szCs w:val="28"/>
          <w:rtl/>
        </w:rPr>
        <w:t>בנק ישראל</w:t>
      </w:r>
      <w:r w:rsidRPr="003A1E5D">
        <w:rPr>
          <w:rFonts w:ascii="David" w:hAnsi="David" w:cs="David"/>
          <w:b/>
          <w:bCs/>
          <w:sz w:val="28"/>
          <w:szCs w:val="28"/>
          <w:rtl/>
        </w:rPr>
        <w:t xml:space="preserve"> מפרסם את דוח היציבות הפיננסית למחצית השנייה של 2023</w:t>
      </w:r>
    </w:p>
    <w:p w:rsidR="00A24A43" w:rsidRDefault="00A24A43" w:rsidP="00DB4600">
      <w:pPr>
        <w:spacing w:line="360" w:lineRule="auto"/>
        <w:jc w:val="both"/>
        <w:rPr>
          <w:rFonts w:ascii="David" w:hAnsi="David" w:cs="David"/>
          <w:sz w:val="24"/>
          <w:szCs w:val="24"/>
          <w:rtl/>
        </w:rPr>
      </w:pPr>
    </w:p>
    <w:p w:rsidR="00DB4600" w:rsidRPr="00DB4600" w:rsidRDefault="00DB4600" w:rsidP="00DB4600">
      <w:pPr>
        <w:spacing w:line="360" w:lineRule="auto"/>
        <w:jc w:val="both"/>
        <w:rPr>
          <w:rFonts w:ascii="David" w:hAnsi="David" w:cs="David"/>
          <w:sz w:val="24"/>
          <w:szCs w:val="24"/>
          <w:rtl/>
        </w:rPr>
      </w:pPr>
      <w:r w:rsidRPr="00DB4600">
        <w:rPr>
          <w:rFonts w:ascii="David" w:hAnsi="David" w:cs="David" w:hint="cs"/>
          <w:sz w:val="24"/>
          <w:szCs w:val="24"/>
          <w:rtl/>
        </w:rPr>
        <w:t xml:space="preserve">דוח היציבות למחצית השנייה של 2023 סוקר את ההתפתחויות הפיננסיות ומספק הערכה באשר לרמת היציבות של המערכת לאור ההתפתחות המרכזית במחצית </w:t>
      </w:r>
      <w:r w:rsidRPr="00DB4600">
        <w:rPr>
          <w:rFonts w:ascii="David" w:hAnsi="David" w:cs="David"/>
          <w:sz w:val="24"/>
          <w:szCs w:val="24"/>
          <w:rtl/>
        </w:rPr>
        <w:t>–</w:t>
      </w:r>
      <w:r w:rsidRPr="00DB4600">
        <w:rPr>
          <w:rFonts w:ascii="David" w:hAnsi="David" w:cs="David" w:hint="cs"/>
          <w:sz w:val="24"/>
          <w:szCs w:val="24"/>
          <w:rtl/>
        </w:rPr>
        <w:t xml:space="preserve"> מתקפת הטרור הרצחנית של ה-7 באוקטובר ביישובי הדרום ומלחמת "חרבות ברזל" שפרצה בעקבותיה. לנוכח הנסיבות, מתמקד דוח זה רובו ככולו בהשלכות של התממשות הסיכון הגאו-פוליטי על ערוצי החשיפה לסיכון ועל כושר העמידות של המוסדות הפיננסיים, ומעריך את רמת היציבות הפיננסית על סמך ניתוחים אלה.</w:t>
      </w:r>
    </w:p>
    <w:p w:rsidR="00DE7915" w:rsidRPr="00A24A43" w:rsidRDefault="00A24A43" w:rsidP="00A24A43">
      <w:pPr>
        <w:spacing w:line="360" w:lineRule="auto"/>
        <w:rPr>
          <w:rFonts w:ascii="David" w:hAnsi="David" w:cs="David"/>
          <w:b/>
          <w:bCs/>
          <w:sz w:val="24"/>
          <w:szCs w:val="24"/>
          <w:rtl/>
        </w:rPr>
      </w:pPr>
      <w:r w:rsidRPr="00A24A43">
        <w:rPr>
          <w:rFonts w:ascii="David" w:hAnsi="David" w:cs="David" w:hint="cs"/>
          <w:b/>
          <w:bCs/>
          <w:sz w:val="24"/>
          <w:szCs w:val="24"/>
          <w:rtl/>
        </w:rPr>
        <w:t>עיקרי הממצאים:</w:t>
      </w:r>
    </w:p>
    <w:p w:rsidR="00DE7915" w:rsidRPr="00DB4600" w:rsidRDefault="00DE7915" w:rsidP="00A24A43">
      <w:pPr>
        <w:pStyle w:val="a3"/>
        <w:numPr>
          <w:ilvl w:val="0"/>
          <w:numId w:val="1"/>
        </w:numPr>
        <w:spacing w:after="120" w:line="360" w:lineRule="auto"/>
        <w:jc w:val="both"/>
        <w:rPr>
          <w:rFonts w:ascii="David" w:hAnsi="David" w:cs="David"/>
          <w:b/>
          <w:bCs/>
          <w:sz w:val="24"/>
          <w:szCs w:val="24"/>
        </w:rPr>
      </w:pPr>
      <w:r w:rsidRPr="00DB4600">
        <w:rPr>
          <w:rFonts w:ascii="David" w:hAnsi="David" w:cs="David"/>
          <w:b/>
          <w:bCs/>
          <w:sz w:val="24"/>
          <w:szCs w:val="24"/>
          <w:rtl/>
        </w:rPr>
        <w:t xml:space="preserve">מתקפת הטרור הרצחנית שאירעה ב-7 באוקטובר ומלחמת "חרבות ברזל" שנפתחה בעקבותיה הם התממשות של תרחיש קיצון לזעזוע גאו-פוליטי. התממשות הסיכון לא הביאה לפגיעה ביציבות הפיננסית במשק. זאת, בין היתר, על רקע הסטנדרטים הגבוהים של הרגולציה </w:t>
      </w:r>
      <w:proofErr w:type="spellStart"/>
      <w:r w:rsidRPr="00DB4600">
        <w:rPr>
          <w:rFonts w:ascii="David" w:hAnsi="David" w:cs="David"/>
          <w:b/>
          <w:bCs/>
          <w:sz w:val="24"/>
          <w:szCs w:val="24"/>
          <w:rtl/>
        </w:rPr>
        <w:t>היציבותית</w:t>
      </w:r>
      <w:proofErr w:type="spellEnd"/>
      <w:r w:rsidRPr="00DB4600">
        <w:rPr>
          <w:rFonts w:ascii="David" w:hAnsi="David" w:cs="David"/>
          <w:b/>
          <w:bCs/>
          <w:sz w:val="24"/>
          <w:szCs w:val="24"/>
          <w:rtl/>
        </w:rPr>
        <w:t xml:space="preserve"> עד לפרוץ המלחמה והודות לצעדי המנע שנקט בנק ישראל בתחילת האירוע ומתווי הסיוע של הממשלה.</w:t>
      </w:r>
    </w:p>
    <w:p w:rsidR="00DE7915" w:rsidRPr="00DB4600" w:rsidRDefault="00DE7915" w:rsidP="00A24A43">
      <w:pPr>
        <w:pStyle w:val="a3"/>
        <w:numPr>
          <w:ilvl w:val="0"/>
          <w:numId w:val="1"/>
        </w:numPr>
        <w:spacing w:after="120" w:line="360" w:lineRule="auto"/>
        <w:jc w:val="both"/>
        <w:rPr>
          <w:rFonts w:ascii="David" w:hAnsi="David" w:cs="David"/>
          <w:b/>
          <w:bCs/>
          <w:sz w:val="24"/>
          <w:szCs w:val="24"/>
        </w:rPr>
      </w:pPr>
      <w:r w:rsidRPr="00DB4600">
        <w:rPr>
          <w:rFonts w:ascii="David" w:hAnsi="David" w:cs="David"/>
          <w:b/>
          <w:bCs/>
          <w:sz w:val="24"/>
          <w:szCs w:val="24"/>
          <w:rtl/>
        </w:rPr>
        <w:t>השפעת המלחמה באה לידי ביטוי בכל ערוצי החשיפה המרכזיים לסיכון. אולם, לאור צעדי המדיניות שמיתנו את העברת הזעזועים, רמת הסיכון עלתה רק בערוץ המקרו-כלכלי, כפי שמשתקף בעלייה בפרמיית הסיכון של המדינה.</w:t>
      </w:r>
    </w:p>
    <w:p w:rsidR="00DE7915" w:rsidRPr="00DB4600" w:rsidRDefault="00DE7915" w:rsidP="00A24A43">
      <w:pPr>
        <w:pStyle w:val="a3"/>
        <w:numPr>
          <w:ilvl w:val="0"/>
          <w:numId w:val="1"/>
        </w:numPr>
        <w:spacing w:after="120" w:line="360" w:lineRule="auto"/>
        <w:jc w:val="both"/>
        <w:rPr>
          <w:rFonts w:ascii="David" w:hAnsi="David" w:cs="David"/>
          <w:b/>
          <w:bCs/>
          <w:sz w:val="24"/>
          <w:szCs w:val="24"/>
        </w:rPr>
      </w:pPr>
      <w:r w:rsidRPr="00DB4600">
        <w:rPr>
          <w:rFonts w:ascii="David" w:hAnsi="David" w:cs="David"/>
          <w:b/>
          <w:bCs/>
          <w:sz w:val="24"/>
          <w:szCs w:val="24"/>
          <w:rtl/>
        </w:rPr>
        <w:t>למרות עלייה בקשיים של משקי הבית בהחזרי חוב על רקע תהליך ההידוק המוניטרי שנמשך מתחילת השנה ושחיקה ריאלית של מקורות עצמיים, היקף האשראי שבסיכון של משקי הבית עודנו נמוך. זאת, גם בהינתן הפגיעה בהכנסות של חלק מסוים ממשקי הבית כתוצאה מהמלחמה שעלולה להגדיל את הקושי שלהם בשירות החוב.</w:t>
      </w:r>
    </w:p>
    <w:p w:rsidR="00DE7915" w:rsidRPr="00DB4600" w:rsidRDefault="00DE7915" w:rsidP="00A24A43">
      <w:pPr>
        <w:pStyle w:val="a3"/>
        <w:numPr>
          <w:ilvl w:val="0"/>
          <w:numId w:val="1"/>
        </w:numPr>
        <w:spacing w:after="120" w:line="360" w:lineRule="auto"/>
        <w:jc w:val="both"/>
        <w:rPr>
          <w:rFonts w:ascii="David" w:hAnsi="David" w:cs="David"/>
          <w:b/>
          <w:bCs/>
          <w:sz w:val="24"/>
          <w:szCs w:val="24"/>
        </w:rPr>
      </w:pPr>
      <w:r w:rsidRPr="00DB4600">
        <w:rPr>
          <w:rFonts w:ascii="David" w:hAnsi="David" w:cs="David"/>
          <w:b/>
          <w:bCs/>
          <w:sz w:val="24"/>
          <w:szCs w:val="24"/>
          <w:rtl/>
        </w:rPr>
        <w:t xml:space="preserve">השלכות המלחמה על הפעילות של  חברות הבינוי העלו את סיכון האשראי מענף זה, וזאת בנוסף לעלייה בהוצאות המימון שהשפיעו לשלילה על מצבן הפיננסי של החברות עוד טרם המלחמה, כפי שהצביע גם דוח היציבות הפיננסית למחצית הראשונה. </w:t>
      </w:r>
    </w:p>
    <w:p w:rsidR="00DE7915" w:rsidRPr="00DB4600" w:rsidRDefault="00DE7915" w:rsidP="00A24A43">
      <w:pPr>
        <w:pStyle w:val="a3"/>
        <w:numPr>
          <w:ilvl w:val="0"/>
          <w:numId w:val="1"/>
        </w:numPr>
        <w:spacing w:after="120" w:line="360" w:lineRule="auto"/>
        <w:jc w:val="both"/>
        <w:rPr>
          <w:rFonts w:ascii="David" w:hAnsi="David" w:cs="David"/>
          <w:b/>
          <w:bCs/>
          <w:sz w:val="24"/>
          <w:szCs w:val="24"/>
        </w:rPr>
      </w:pPr>
      <w:r w:rsidRPr="00DB4600">
        <w:rPr>
          <w:rFonts w:ascii="David" w:hAnsi="David" w:cs="David"/>
          <w:b/>
          <w:bCs/>
          <w:sz w:val="24"/>
          <w:szCs w:val="24"/>
          <w:rtl/>
        </w:rPr>
        <w:t>כריות הביטחון שנצברו ערב המלחמה על ידי המוסדות הפיננסיים וצעדי מדיניות שננקטו במטרה לסייע למשקי בית ולעסקים להתמודד עם השלכות המלחמה, ממשיכים למתן את השפעת הזעזועים על המערכת הפיננסית ושומרים על יציבותה.</w:t>
      </w:r>
    </w:p>
    <w:p w:rsidR="00DE7915" w:rsidRPr="00DB4600" w:rsidRDefault="00DE7915" w:rsidP="00A24A43">
      <w:pPr>
        <w:pStyle w:val="a3"/>
        <w:numPr>
          <w:ilvl w:val="0"/>
          <w:numId w:val="1"/>
        </w:numPr>
        <w:spacing w:after="120" w:line="360" w:lineRule="auto"/>
        <w:jc w:val="both"/>
        <w:rPr>
          <w:rFonts w:ascii="David" w:hAnsi="David" w:cs="David"/>
          <w:b/>
          <w:bCs/>
          <w:sz w:val="24"/>
          <w:szCs w:val="24"/>
        </w:rPr>
      </w:pPr>
      <w:r w:rsidRPr="00DB4600">
        <w:rPr>
          <w:rFonts w:ascii="David" w:hAnsi="David" w:cs="David"/>
          <w:b/>
          <w:bCs/>
          <w:sz w:val="24"/>
          <w:szCs w:val="24"/>
          <w:rtl/>
        </w:rPr>
        <w:t>ככל שמשך המלחמה, היקפה והשלכותיה השליליות על הכלכלה יתעצמו, למערכת הפיננסית צפויים אתגרים נוספים.</w:t>
      </w:r>
    </w:p>
    <w:p w:rsidR="00DE7915" w:rsidRDefault="00DE7915" w:rsidP="00A24A43">
      <w:pPr>
        <w:spacing w:line="360" w:lineRule="auto"/>
        <w:rPr>
          <w:rFonts w:ascii="David" w:hAnsi="David" w:cs="David"/>
          <w:sz w:val="24"/>
          <w:szCs w:val="24"/>
          <w:rtl/>
        </w:rPr>
      </w:pPr>
    </w:p>
    <w:p w:rsidR="00DB4600" w:rsidRDefault="00DB4600" w:rsidP="00A24A43">
      <w:pPr>
        <w:spacing w:line="360" w:lineRule="auto"/>
        <w:rPr>
          <w:rFonts w:ascii="David" w:hAnsi="David" w:cs="David"/>
          <w:sz w:val="24"/>
          <w:szCs w:val="24"/>
          <w:rtl/>
        </w:rPr>
      </w:pPr>
      <w:r>
        <w:rPr>
          <w:rFonts w:ascii="David" w:hAnsi="David" w:cs="David" w:hint="cs"/>
          <w:sz w:val="24"/>
          <w:szCs w:val="24"/>
          <w:rtl/>
        </w:rPr>
        <w:lastRenderedPageBreak/>
        <w:t>רקע על הדו"ח:</w:t>
      </w:r>
    </w:p>
    <w:p w:rsidR="00DB4600" w:rsidRDefault="00DB4600" w:rsidP="00DB4600">
      <w:pPr>
        <w:spacing w:line="360" w:lineRule="auto"/>
        <w:jc w:val="both"/>
        <w:rPr>
          <w:rFonts w:ascii="David" w:hAnsi="David" w:cs="David"/>
          <w:sz w:val="24"/>
          <w:szCs w:val="24"/>
          <w:rtl/>
        </w:rPr>
      </w:pPr>
      <w:r w:rsidRPr="00A24A43">
        <w:rPr>
          <w:rFonts w:ascii="David" w:hAnsi="David" w:cs="David"/>
          <w:sz w:val="24"/>
          <w:szCs w:val="24"/>
          <w:rtl/>
        </w:rPr>
        <w:t>דוח היציבות הפיננסית של בנק ישראל מתפרסם פעמיים בשנה. בדוח זה מבטאים כלכלני הבנק את הערכתם בעניין החשיפות לסיכונים העיקריים הנשקפים למערכת הפיננסית, מנתחים את החשיפות העיקריות ומעריכים תרחישי סיכון פוטנציאליים. ההערכות והניתוחים מתבססים על סקירת ההתפתחויות בתקופה הנסקרת, בחינת השינויים המבניים, שימוש במודלים אנליטיים והערכה של תנאי הרקע בכלכלות העולמיות והמקומית. הדוח מתאר את ההשפעה של התממשות תרחישי סיכון על המערכת הפיננסית בטווחים הקצר והבינוני, במטרה להגביר את המודעות להם בקרב קובעי המדיניות ובציבור הרחב ולאפשר היערכות מתאימה</w:t>
      </w:r>
      <w:r w:rsidRPr="00A24A43">
        <w:rPr>
          <w:rFonts w:ascii="David" w:hAnsi="David" w:cs="David"/>
          <w:sz w:val="24"/>
          <w:szCs w:val="24"/>
        </w:rPr>
        <w:t>.</w:t>
      </w:r>
    </w:p>
    <w:p w:rsidR="00DB4600" w:rsidRPr="00A24A43" w:rsidRDefault="00DB4600" w:rsidP="00A24A43">
      <w:pPr>
        <w:spacing w:line="360" w:lineRule="auto"/>
        <w:rPr>
          <w:rFonts w:ascii="David" w:hAnsi="David" w:cs="David"/>
          <w:sz w:val="24"/>
          <w:szCs w:val="24"/>
        </w:rPr>
      </w:pPr>
    </w:p>
    <w:sectPr w:rsidR="00DB4600" w:rsidRPr="00A24A43" w:rsidSect="0069557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E4419"/>
    <w:multiLevelType w:val="hybridMultilevel"/>
    <w:tmpl w:val="C2C219FE"/>
    <w:lvl w:ilvl="0" w:tplc="75A6D8AC">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915"/>
    <w:rsid w:val="00040A7F"/>
    <w:rsid w:val="00065B9B"/>
    <w:rsid w:val="000727FD"/>
    <w:rsid w:val="00084B5A"/>
    <w:rsid w:val="000857B7"/>
    <w:rsid w:val="00095555"/>
    <w:rsid w:val="000A5329"/>
    <w:rsid w:val="000D2157"/>
    <w:rsid w:val="000D5445"/>
    <w:rsid w:val="000E7ED2"/>
    <w:rsid w:val="00100012"/>
    <w:rsid w:val="00113BC9"/>
    <w:rsid w:val="00115277"/>
    <w:rsid w:val="00115FEF"/>
    <w:rsid w:val="00151A07"/>
    <w:rsid w:val="00156135"/>
    <w:rsid w:val="00162DCC"/>
    <w:rsid w:val="00166DBC"/>
    <w:rsid w:val="00184E4C"/>
    <w:rsid w:val="00190741"/>
    <w:rsid w:val="0019079B"/>
    <w:rsid w:val="001A2670"/>
    <w:rsid w:val="001A53CE"/>
    <w:rsid w:val="001B05C6"/>
    <w:rsid w:val="001B28C8"/>
    <w:rsid w:val="001B5E43"/>
    <w:rsid w:val="001C194B"/>
    <w:rsid w:val="001C7D79"/>
    <w:rsid w:val="001D5E62"/>
    <w:rsid w:val="001E0275"/>
    <w:rsid w:val="001E2886"/>
    <w:rsid w:val="001F2BE7"/>
    <w:rsid w:val="00223D37"/>
    <w:rsid w:val="00225BDF"/>
    <w:rsid w:val="00245BA3"/>
    <w:rsid w:val="00265657"/>
    <w:rsid w:val="00275FE8"/>
    <w:rsid w:val="00297F94"/>
    <w:rsid w:val="002A2E4C"/>
    <w:rsid w:val="002A3CC4"/>
    <w:rsid w:val="002B7877"/>
    <w:rsid w:val="002C05A5"/>
    <w:rsid w:val="002C754F"/>
    <w:rsid w:val="002D7AA8"/>
    <w:rsid w:val="002E5F96"/>
    <w:rsid w:val="00301F96"/>
    <w:rsid w:val="0031701E"/>
    <w:rsid w:val="0032792A"/>
    <w:rsid w:val="003552BD"/>
    <w:rsid w:val="003641E2"/>
    <w:rsid w:val="00370E6F"/>
    <w:rsid w:val="0037101B"/>
    <w:rsid w:val="00375149"/>
    <w:rsid w:val="003A1E5D"/>
    <w:rsid w:val="003C2931"/>
    <w:rsid w:val="003F01E4"/>
    <w:rsid w:val="003F57B2"/>
    <w:rsid w:val="00407D90"/>
    <w:rsid w:val="004537A7"/>
    <w:rsid w:val="004561A3"/>
    <w:rsid w:val="00460DDF"/>
    <w:rsid w:val="004A120F"/>
    <w:rsid w:val="004A32D7"/>
    <w:rsid w:val="004C6182"/>
    <w:rsid w:val="004C7925"/>
    <w:rsid w:val="004F5E3C"/>
    <w:rsid w:val="00567B1A"/>
    <w:rsid w:val="0057422C"/>
    <w:rsid w:val="005A52A2"/>
    <w:rsid w:val="005D5F2B"/>
    <w:rsid w:val="00632CD2"/>
    <w:rsid w:val="006344CC"/>
    <w:rsid w:val="00640309"/>
    <w:rsid w:val="00660075"/>
    <w:rsid w:val="006811C3"/>
    <w:rsid w:val="006907D5"/>
    <w:rsid w:val="0069557C"/>
    <w:rsid w:val="00715D7F"/>
    <w:rsid w:val="007172E4"/>
    <w:rsid w:val="00737090"/>
    <w:rsid w:val="00780795"/>
    <w:rsid w:val="00783F55"/>
    <w:rsid w:val="007916D5"/>
    <w:rsid w:val="0079406F"/>
    <w:rsid w:val="00797111"/>
    <w:rsid w:val="007A25C0"/>
    <w:rsid w:val="007A2A08"/>
    <w:rsid w:val="007B2299"/>
    <w:rsid w:val="007B2E35"/>
    <w:rsid w:val="00803D2A"/>
    <w:rsid w:val="008137A5"/>
    <w:rsid w:val="00832597"/>
    <w:rsid w:val="008371BA"/>
    <w:rsid w:val="008466F0"/>
    <w:rsid w:val="00850CC4"/>
    <w:rsid w:val="00886388"/>
    <w:rsid w:val="008B3199"/>
    <w:rsid w:val="008C4A46"/>
    <w:rsid w:val="008C706D"/>
    <w:rsid w:val="008E2484"/>
    <w:rsid w:val="008F0B52"/>
    <w:rsid w:val="008F617A"/>
    <w:rsid w:val="00914AC1"/>
    <w:rsid w:val="00965C79"/>
    <w:rsid w:val="00984B1A"/>
    <w:rsid w:val="009A089E"/>
    <w:rsid w:val="009B2E19"/>
    <w:rsid w:val="009C6D0D"/>
    <w:rsid w:val="009E2FD2"/>
    <w:rsid w:val="00A076E6"/>
    <w:rsid w:val="00A13844"/>
    <w:rsid w:val="00A24A43"/>
    <w:rsid w:val="00A6309F"/>
    <w:rsid w:val="00A678C6"/>
    <w:rsid w:val="00A730E0"/>
    <w:rsid w:val="00A8460D"/>
    <w:rsid w:val="00A92A3D"/>
    <w:rsid w:val="00AB37A4"/>
    <w:rsid w:val="00AC35CD"/>
    <w:rsid w:val="00AF1FA7"/>
    <w:rsid w:val="00B071B6"/>
    <w:rsid w:val="00B13490"/>
    <w:rsid w:val="00B70E6F"/>
    <w:rsid w:val="00B91BF0"/>
    <w:rsid w:val="00BB6985"/>
    <w:rsid w:val="00BD0783"/>
    <w:rsid w:val="00BD17EF"/>
    <w:rsid w:val="00BF4F97"/>
    <w:rsid w:val="00C02512"/>
    <w:rsid w:val="00C25C86"/>
    <w:rsid w:val="00C36D00"/>
    <w:rsid w:val="00C463C1"/>
    <w:rsid w:val="00C46931"/>
    <w:rsid w:val="00C47A89"/>
    <w:rsid w:val="00C73E6B"/>
    <w:rsid w:val="00C85D4E"/>
    <w:rsid w:val="00CA2ACF"/>
    <w:rsid w:val="00CB5C9F"/>
    <w:rsid w:val="00CB74C6"/>
    <w:rsid w:val="00CD11DB"/>
    <w:rsid w:val="00CD2037"/>
    <w:rsid w:val="00D004D1"/>
    <w:rsid w:val="00D06884"/>
    <w:rsid w:val="00D15579"/>
    <w:rsid w:val="00D45541"/>
    <w:rsid w:val="00D53BFE"/>
    <w:rsid w:val="00D747A1"/>
    <w:rsid w:val="00DB4600"/>
    <w:rsid w:val="00DC23E1"/>
    <w:rsid w:val="00DC727C"/>
    <w:rsid w:val="00DD6DB0"/>
    <w:rsid w:val="00DE7915"/>
    <w:rsid w:val="00DF4B57"/>
    <w:rsid w:val="00E22BAA"/>
    <w:rsid w:val="00E52D98"/>
    <w:rsid w:val="00E52DAA"/>
    <w:rsid w:val="00E566ED"/>
    <w:rsid w:val="00E731F0"/>
    <w:rsid w:val="00E84228"/>
    <w:rsid w:val="00ED67BE"/>
    <w:rsid w:val="00EF41BE"/>
    <w:rsid w:val="00F11065"/>
    <w:rsid w:val="00F40307"/>
    <w:rsid w:val="00F571F9"/>
    <w:rsid w:val="00FB3D7B"/>
    <w:rsid w:val="00FB6F6A"/>
    <w:rsid w:val="00FC67CB"/>
    <w:rsid w:val="00FD61EB"/>
    <w:rsid w:val="00FE33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B0AF8-165F-4525-AE2B-0838611C0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פיסקת רשימה12,פיסקת רשימה121,פיסקת רשימה2,פיסקת רשימה11"/>
    <w:basedOn w:val="a"/>
    <w:link w:val="a4"/>
    <w:uiPriority w:val="34"/>
    <w:qFormat/>
    <w:rsid w:val="00DE7915"/>
    <w:pPr>
      <w:spacing w:after="160" w:line="259" w:lineRule="auto"/>
      <w:ind w:left="720"/>
      <w:contextualSpacing/>
    </w:pPr>
  </w:style>
  <w:style w:type="character" w:customStyle="1" w:styleId="a4">
    <w:name w:val="פיסקת רשימה תו"/>
    <w:aliases w:val="פיסקת רשימה12 תו,פיסקת רשימה121 תו,פיסקת רשימה2 תו,פיסקת רשימה11 תו"/>
    <w:link w:val="a3"/>
    <w:uiPriority w:val="34"/>
    <w:locked/>
    <w:rsid w:val="00DE7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2085</Characters>
  <Application>Microsoft Office Word</Application>
  <DocSecurity>4</DocSecurity>
  <Lines>17</Lines>
  <Paragraphs>4</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לירון בן עמוס</dc:creator>
  <cp:keywords/>
  <dc:description/>
  <cp:lastModifiedBy>לירון בן עמוס</cp:lastModifiedBy>
  <cp:revision>2</cp:revision>
  <dcterms:created xsi:type="dcterms:W3CDTF">2024-01-31T09:07:00Z</dcterms:created>
  <dcterms:modified xsi:type="dcterms:W3CDTF">2024-01-31T09:07:00Z</dcterms:modified>
</cp:coreProperties>
</file>