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A0594" w14:textId="77777777" w:rsidR="00532BF4" w:rsidRPr="006C46B3" w:rsidRDefault="00532BF4" w:rsidP="00EF06D5">
      <w:pPr>
        <w:shd w:val="clear" w:color="auto" w:fill="FFFFFF"/>
        <w:spacing w:after="120" w:line="360" w:lineRule="auto"/>
        <w:jc w:val="center"/>
        <w:outlineLvl w:val="0"/>
        <w:rPr>
          <w:rFonts w:eastAsia="Times New Roman" w:cstheme="minorHAnsi"/>
          <w:b/>
          <w:bCs/>
          <w:kern w:val="36"/>
          <w:sz w:val="24"/>
          <w:szCs w:val="24"/>
          <w:rtl/>
        </w:rPr>
      </w:pPr>
    </w:p>
    <w:tbl>
      <w:tblPr>
        <w:tblpPr w:leftFromText="180" w:rightFromText="180" w:vertAnchor="text" w:horzAnchor="margin" w:tblpXSpec="center" w:tblpY="173"/>
        <w:bidiVisual/>
        <w:tblW w:w="10258" w:type="dxa"/>
        <w:tblLayout w:type="fixed"/>
        <w:tblLook w:val="0000" w:firstRow="0" w:lastRow="0" w:firstColumn="0" w:lastColumn="0" w:noHBand="0" w:noVBand="0"/>
        <w:tblCaption w:val="כותרת עליונה"/>
        <w:tblDescription w:val="כותרת עליונה"/>
      </w:tblPr>
      <w:tblGrid>
        <w:gridCol w:w="3155"/>
        <w:gridCol w:w="4156"/>
        <w:gridCol w:w="2947"/>
      </w:tblGrid>
      <w:tr w:rsidR="006C46B3" w:rsidRPr="006C46B3" w14:paraId="5C7FFF94" w14:textId="77777777" w:rsidTr="006C46B3">
        <w:trPr>
          <w:tblHeader/>
        </w:trPr>
        <w:tc>
          <w:tcPr>
            <w:tcW w:w="3155" w:type="dxa"/>
            <w:vAlign w:val="center"/>
          </w:tcPr>
          <w:p w14:paraId="5DF4E330" w14:textId="77777777" w:rsidR="006C46B3" w:rsidRPr="006C46B3" w:rsidRDefault="006C46B3" w:rsidP="006C46B3">
            <w:pPr>
              <w:spacing w:line="360" w:lineRule="auto"/>
              <w:jc w:val="center"/>
              <w:rPr>
                <w:rFonts w:cstheme="minorHAnsi"/>
                <w:b/>
                <w:bCs/>
                <w:sz w:val="24"/>
                <w:szCs w:val="24"/>
              </w:rPr>
            </w:pPr>
            <w:r w:rsidRPr="006C46B3">
              <w:rPr>
                <w:rFonts w:cstheme="minorHAnsi"/>
                <w:b/>
                <w:bCs/>
                <w:sz w:val="24"/>
                <w:szCs w:val="24"/>
                <w:rtl/>
              </w:rPr>
              <w:t>בנק ישראל</w:t>
            </w:r>
          </w:p>
          <w:p w14:paraId="16BC92EA" w14:textId="77777777" w:rsidR="006C46B3" w:rsidRPr="006C46B3" w:rsidRDefault="006C46B3" w:rsidP="006C46B3">
            <w:pPr>
              <w:spacing w:line="360" w:lineRule="auto"/>
              <w:ind w:right="-101"/>
              <w:jc w:val="center"/>
              <w:rPr>
                <w:rFonts w:cstheme="minorHAnsi"/>
                <w:sz w:val="24"/>
                <w:szCs w:val="24"/>
              </w:rPr>
            </w:pPr>
            <w:r w:rsidRPr="006C46B3">
              <w:rPr>
                <w:rFonts w:cstheme="minorHAnsi"/>
                <w:sz w:val="24"/>
                <w:szCs w:val="24"/>
                <w:rtl/>
              </w:rPr>
              <w:t>דוברות והסברה כלכלית</w:t>
            </w:r>
          </w:p>
        </w:tc>
        <w:tc>
          <w:tcPr>
            <w:tcW w:w="4156" w:type="dxa"/>
          </w:tcPr>
          <w:p w14:paraId="5B5CD2C1" w14:textId="77777777" w:rsidR="006C46B3" w:rsidRPr="006C46B3" w:rsidRDefault="006C46B3" w:rsidP="006C46B3">
            <w:pPr>
              <w:spacing w:line="360" w:lineRule="auto"/>
              <w:jc w:val="center"/>
              <w:rPr>
                <w:rFonts w:cstheme="minorHAnsi"/>
                <w:sz w:val="24"/>
                <w:szCs w:val="24"/>
              </w:rPr>
            </w:pPr>
          </w:p>
        </w:tc>
        <w:tc>
          <w:tcPr>
            <w:tcW w:w="2947" w:type="dxa"/>
            <w:vAlign w:val="center"/>
          </w:tcPr>
          <w:p w14:paraId="130E155A" w14:textId="6C43E9D8" w:rsidR="006C46B3" w:rsidRPr="006C46B3" w:rsidRDefault="006C46B3" w:rsidP="00A02740">
            <w:pPr>
              <w:spacing w:line="360" w:lineRule="auto"/>
              <w:jc w:val="right"/>
              <w:rPr>
                <w:rFonts w:cstheme="minorHAnsi"/>
                <w:sz w:val="24"/>
                <w:szCs w:val="24"/>
              </w:rPr>
            </w:pPr>
            <w:r w:rsidRPr="006C46B3">
              <w:rPr>
                <w:rFonts w:cstheme="minorHAnsi"/>
                <w:sz w:val="24"/>
                <w:szCs w:val="24"/>
                <w:rtl/>
              </w:rPr>
              <w:t xml:space="preserve">‏ירושלים, ‏ </w:t>
            </w:r>
            <w:r w:rsidR="00A02740">
              <w:rPr>
                <w:rFonts w:cstheme="minorHAnsi" w:hint="cs"/>
                <w:sz w:val="24"/>
                <w:szCs w:val="24"/>
                <w:rtl/>
              </w:rPr>
              <w:t>ט'</w:t>
            </w:r>
            <w:r w:rsidRPr="006C46B3">
              <w:rPr>
                <w:rFonts w:cstheme="minorHAnsi"/>
                <w:sz w:val="24"/>
                <w:szCs w:val="24"/>
                <w:rtl/>
              </w:rPr>
              <w:t xml:space="preserve"> </w:t>
            </w:r>
            <w:r w:rsidR="00A02740">
              <w:rPr>
                <w:rFonts w:cstheme="minorHAnsi" w:hint="cs"/>
                <w:sz w:val="24"/>
                <w:szCs w:val="24"/>
                <w:rtl/>
              </w:rPr>
              <w:t>בתמוז</w:t>
            </w:r>
            <w:r w:rsidRPr="006C46B3">
              <w:rPr>
                <w:rFonts w:cstheme="minorHAnsi"/>
                <w:sz w:val="24"/>
                <w:szCs w:val="24"/>
                <w:rtl/>
              </w:rPr>
              <w:t>, תשפ"ו</w:t>
            </w:r>
          </w:p>
          <w:p w14:paraId="1E55CC01" w14:textId="1248A8DF" w:rsidR="006C46B3" w:rsidRPr="006C46B3" w:rsidRDefault="006C46B3" w:rsidP="00A02740">
            <w:pPr>
              <w:spacing w:line="360" w:lineRule="auto"/>
              <w:jc w:val="right"/>
              <w:rPr>
                <w:rFonts w:cstheme="minorHAnsi"/>
                <w:sz w:val="24"/>
                <w:szCs w:val="24"/>
              </w:rPr>
            </w:pPr>
            <w:r w:rsidRPr="006C46B3">
              <w:rPr>
                <w:rFonts w:cstheme="minorHAnsi"/>
                <w:sz w:val="24"/>
                <w:szCs w:val="24"/>
                <w:rtl/>
              </w:rPr>
              <w:t>‏‏</w:t>
            </w:r>
            <w:r w:rsidR="00A02740">
              <w:rPr>
                <w:rFonts w:cstheme="minorHAnsi" w:hint="cs"/>
                <w:sz w:val="24"/>
                <w:szCs w:val="24"/>
                <w:rtl/>
              </w:rPr>
              <w:t>24</w:t>
            </w:r>
            <w:r w:rsidRPr="006C46B3">
              <w:rPr>
                <w:rFonts w:cstheme="minorHAnsi"/>
                <w:sz w:val="24"/>
                <w:szCs w:val="24"/>
                <w:rtl/>
              </w:rPr>
              <w:t xml:space="preserve"> </w:t>
            </w:r>
            <w:r w:rsidR="00A02740">
              <w:rPr>
                <w:rFonts w:cstheme="minorHAnsi" w:hint="cs"/>
                <w:sz w:val="24"/>
                <w:szCs w:val="24"/>
                <w:rtl/>
              </w:rPr>
              <w:t>יוני</w:t>
            </w:r>
            <w:r w:rsidRPr="006C46B3">
              <w:rPr>
                <w:rFonts w:cstheme="minorHAnsi"/>
                <w:sz w:val="24"/>
                <w:szCs w:val="24"/>
                <w:rtl/>
              </w:rPr>
              <w:t xml:space="preserve"> 2026</w:t>
            </w:r>
          </w:p>
        </w:tc>
      </w:tr>
    </w:tbl>
    <w:p w14:paraId="72BEDBDD" w14:textId="77777777" w:rsidR="006C46B3" w:rsidRPr="006C46B3" w:rsidRDefault="006C46B3" w:rsidP="00EF06D5">
      <w:pPr>
        <w:spacing w:after="120" w:line="360" w:lineRule="auto"/>
        <w:jc w:val="center"/>
        <w:rPr>
          <w:rFonts w:eastAsia="Times New Roman" w:cstheme="minorHAnsi"/>
          <w:b/>
          <w:bCs/>
          <w:kern w:val="36"/>
          <w:sz w:val="24"/>
          <w:szCs w:val="24"/>
          <w:rtl/>
        </w:rPr>
      </w:pPr>
    </w:p>
    <w:p w14:paraId="36231E45" w14:textId="72EEBC7D" w:rsidR="006C46B3" w:rsidRPr="006C46B3" w:rsidRDefault="006C46B3" w:rsidP="006C46B3">
      <w:pPr>
        <w:spacing w:after="120" w:line="360" w:lineRule="auto"/>
        <w:rPr>
          <w:rFonts w:eastAsia="Times New Roman" w:cstheme="minorHAnsi"/>
          <w:kern w:val="36"/>
          <w:sz w:val="24"/>
          <w:szCs w:val="24"/>
          <w:rtl/>
        </w:rPr>
      </w:pPr>
      <w:r w:rsidRPr="006C46B3">
        <w:rPr>
          <w:rFonts w:eastAsia="Times New Roman" w:cstheme="minorHAnsi"/>
          <w:kern w:val="36"/>
          <w:sz w:val="24"/>
          <w:szCs w:val="24"/>
          <w:rtl/>
        </w:rPr>
        <w:t>הודעה משותפת לעיתונות של בנק ישראל, משרד האוצר  והרשות לניירות ערך</w:t>
      </w:r>
      <w:r w:rsidRPr="006C46B3">
        <w:rPr>
          <w:rFonts w:eastAsia="Times New Roman" w:cstheme="minorHAnsi"/>
          <w:kern w:val="36"/>
          <w:sz w:val="24"/>
          <w:szCs w:val="24"/>
        </w:rPr>
        <w:t>:</w:t>
      </w:r>
    </w:p>
    <w:p w14:paraId="6C9ED56B" w14:textId="60E0F170" w:rsidR="00087D21" w:rsidRPr="006C46B3" w:rsidRDefault="00087D21" w:rsidP="006C46B3">
      <w:pPr>
        <w:spacing w:after="120" w:line="360" w:lineRule="auto"/>
        <w:jc w:val="center"/>
        <w:rPr>
          <w:rFonts w:eastAsia="Times New Roman" w:cstheme="minorHAnsi"/>
          <w:b/>
          <w:bCs/>
          <w:kern w:val="36"/>
          <w:sz w:val="28"/>
          <w:szCs w:val="28"/>
          <w:rtl/>
        </w:rPr>
      </w:pPr>
      <w:r w:rsidRPr="006C46B3">
        <w:rPr>
          <w:rFonts w:cstheme="minorHAnsi"/>
          <w:b/>
          <w:bCs/>
          <w:sz w:val="28"/>
          <w:szCs w:val="28"/>
          <w:rtl/>
        </w:rPr>
        <w:t>צוות עבודה משותף לפיקוח על הבנקים בבנק ישראל, למשרד האוצר ולרשות ניירות ערך, מפרסם את הדוח הסופי בנושא</w:t>
      </w:r>
      <w:r w:rsidR="00532BF4" w:rsidRPr="006C46B3">
        <w:rPr>
          <w:rFonts w:cstheme="minorHAnsi"/>
          <w:b/>
          <w:bCs/>
          <w:sz w:val="28"/>
          <w:szCs w:val="28"/>
          <w:rtl/>
        </w:rPr>
        <w:br/>
      </w:r>
      <w:r w:rsidRPr="006C46B3">
        <w:rPr>
          <w:rFonts w:cstheme="minorHAnsi"/>
          <w:b/>
          <w:bCs/>
          <w:sz w:val="28"/>
          <w:szCs w:val="28"/>
          <w:rtl/>
        </w:rPr>
        <w:t xml:space="preserve"> "מודלי תגמול בפעילות הציבור בניירות ערך"</w:t>
      </w:r>
    </w:p>
    <w:p w14:paraId="6A386B68" w14:textId="77777777" w:rsidR="006C46B3" w:rsidRDefault="006C46B3" w:rsidP="00EF06D5">
      <w:pPr>
        <w:spacing w:after="120" w:line="360" w:lineRule="auto"/>
        <w:jc w:val="both"/>
        <w:rPr>
          <w:rFonts w:cstheme="minorHAnsi"/>
          <w:b/>
          <w:bCs/>
          <w:sz w:val="24"/>
          <w:szCs w:val="24"/>
          <w:rtl/>
        </w:rPr>
      </w:pPr>
    </w:p>
    <w:p w14:paraId="2E1D0D1B" w14:textId="4BC1F09C" w:rsidR="00EF06D5" w:rsidRPr="006C46B3" w:rsidRDefault="00EF06D5" w:rsidP="00EF06D5">
      <w:pPr>
        <w:spacing w:after="120" w:line="360" w:lineRule="auto"/>
        <w:jc w:val="both"/>
        <w:rPr>
          <w:rFonts w:cstheme="minorHAnsi"/>
          <w:sz w:val="24"/>
          <w:szCs w:val="24"/>
          <w:rtl/>
        </w:rPr>
      </w:pPr>
      <w:r w:rsidRPr="006C46B3">
        <w:rPr>
          <w:rFonts w:cstheme="minorHAnsi"/>
          <w:b/>
          <w:bCs/>
          <w:sz w:val="24"/>
          <w:szCs w:val="24"/>
          <w:rtl/>
        </w:rPr>
        <w:t>המפקח על הבנקים, מר דניאל חחיאשוילי: "</w:t>
      </w:r>
      <w:r w:rsidRPr="006C46B3">
        <w:rPr>
          <w:rFonts w:cstheme="minorHAnsi"/>
          <w:sz w:val="24"/>
          <w:szCs w:val="24"/>
          <w:rtl/>
        </w:rPr>
        <w:t>מודל העמלות החדש מציג יתרונות משמעותיים עבור המשקיעים בשוק ההון, ומבוסס על עקרונות של שקיפות, פשטות ובהירות ביחס לשירותים הנצרכים. המודל נותן מענה להגברת ההלימה בין השירות הניתן לגובה העמלה בניהול תיקי ניירות ערך. המודל, אשר גובש בתום עבודת מטה מאומצת ומשותפת של חברי הצוות, מאזן נכונה בין האינטרסים של השחקנים השונים בשוק לבין היתרונות והחסרונות של רכיבי המודל. אנו סמוכים ובטוחים כי פתרון שקול זה יתרום לחיזוק מעמדו של הלקוח הפרטי וישמש מנוף להגברת התחרות בענף".</w:t>
      </w:r>
    </w:p>
    <w:p w14:paraId="72A5E0F4" w14:textId="3ACE482E" w:rsidR="00087D21" w:rsidRPr="006C46B3" w:rsidRDefault="00087D21" w:rsidP="00EF06D5">
      <w:pPr>
        <w:spacing w:after="120" w:line="360" w:lineRule="auto"/>
        <w:jc w:val="both"/>
        <w:rPr>
          <w:rFonts w:cstheme="minorHAnsi"/>
          <w:sz w:val="24"/>
          <w:szCs w:val="24"/>
          <w:rtl/>
        </w:rPr>
      </w:pPr>
      <w:r w:rsidRPr="006C46B3">
        <w:rPr>
          <w:rFonts w:cstheme="minorHAnsi"/>
          <w:b/>
          <w:bCs/>
          <w:sz w:val="24"/>
          <w:szCs w:val="24"/>
          <w:rtl/>
        </w:rPr>
        <w:t>יו"ר הרשות לניירות ערך, ספי זינגר</w:t>
      </w:r>
      <w:r w:rsidRPr="006C46B3">
        <w:rPr>
          <w:rFonts w:cstheme="minorHAnsi"/>
          <w:sz w:val="24"/>
          <w:szCs w:val="24"/>
          <w:rtl/>
        </w:rPr>
        <w:t>: "הרשות שמה לעצ</w:t>
      </w:r>
      <w:r w:rsidR="008F540A" w:rsidRPr="006C46B3">
        <w:rPr>
          <w:rFonts w:cstheme="minorHAnsi"/>
          <w:sz w:val="24"/>
          <w:szCs w:val="24"/>
          <w:rtl/>
        </w:rPr>
        <w:t>מ</w:t>
      </w:r>
      <w:r w:rsidRPr="006C46B3">
        <w:rPr>
          <w:rFonts w:cstheme="minorHAnsi"/>
          <w:sz w:val="24"/>
          <w:szCs w:val="24"/>
          <w:rtl/>
        </w:rPr>
        <w:t>ה מטרה לפעול בכל האמצעים העומדים לרשותה על מנת לשפר את התחרות עבור הצרכנים בכל הנוגע לניהול הכסף בשוק ההון. הדוח כולל רפורמה צרכנית מקיפה שנועדה לייצר שוק הון הוגן ותחרותי יותר. לא ייתכן מצב שבו לקוחות קטנים מסבסדים דה-פקטו את השירותים הניתנים ללקוחות בעלי כוח מיקוח. מודל העמלות החדש שם סוף לעמלות הנסתרות ויוצר הלימה ברורה בין השירות הניתן לבין התגמול שעליו משלם הלקוח. ברגע שהעמלה שקופה, הצרכן מקבל בחזרה את הכוח – הוא מבין בדיוק על מה הוא משלם, ויכול להתמקח או להשוות בצורה אמיתית".</w:t>
      </w:r>
    </w:p>
    <w:p w14:paraId="246E5E89" w14:textId="77777777" w:rsidR="00087D21" w:rsidRPr="006C46B3" w:rsidRDefault="00087D21" w:rsidP="00EF06D5">
      <w:pPr>
        <w:spacing w:after="120" w:line="360" w:lineRule="auto"/>
        <w:jc w:val="both"/>
        <w:rPr>
          <w:rFonts w:cstheme="minorHAnsi"/>
          <w:b/>
          <w:bCs/>
          <w:sz w:val="24"/>
          <w:szCs w:val="24"/>
          <w:rtl/>
        </w:rPr>
      </w:pPr>
    </w:p>
    <w:p w14:paraId="511D7634" w14:textId="22E4C370" w:rsidR="00087D21" w:rsidRPr="006C46B3" w:rsidRDefault="00087D21" w:rsidP="00EF06D5">
      <w:pPr>
        <w:spacing w:after="120" w:line="360" w:lineRule="auto"/>
        <w:jc w:val="both"/>
        <w:rPr>
          <w:rFonts w:cstheme="minorHAnsi"/>
          <w:sz w:val="24"/>
          <w:szCs w:val="24"/>
          <w:rtl/>
        </w:rPr>
      </w:pPr>
      <w:r w:rsidRPr="006C46B3">
        <w:rPr>
          <w:rFonts w:cstheme="minorHAnsi"/>
          <w:b/>
          <w:bCs/>
          <w:sz w:val="24"/>
          <w:szCs w:val="24"/>
          <w:rtl/>
        </w:rPr>
        <w:t xml:space="preserve">טל ישראלי, רכזת פיננסים באגף תקציבים: </w:t>
      </w:r>
      <w:r w:rsidRPr="006C46B3">
        <w:rPr>
          <w:rFonts w:cstheme="minorHAnsi"/>
          <w:sz w:val="24"/>
          <w:szCs w:val="24"/>
          <w:rtl/>
        </w:rPr>
        <w:t>"שוק תחרותי ויעיל מתחיל ביכולת של הלקוח לראות, להבין ולהשוות בעבור מה הוא משלם. הסרת חסמים והאחדת מנגנוני התגמול יפתחו את השוק לשחקנים נוספים, יחזקו את כוח המיקוח של הצרכן ויתמכו בעידוד תחרות לאורך זמן.</w:t>
      </w:r>
    </w:p>
    <w:p w14:paraId="28C8F4D7" w14:textId="57A6C8D7" w:rsidR="00EF06D5" w:rsidRDefault="00087D21" w:rsidP="008E0589">
      <w:pPr>
        <w:spacing w:after="120" w:line="360" w:lineRule="auto"/>
        <w:jc w:val="both"/>
        <w:rPr>
          <w:rFonts w:cstheme="minorHAnsi"/>
          <w:sz w:val="24"/>
          <w:szCs w:val="24"/>
          <w:rtl/>
        </w:rPr>
      </w:pPr>
      <w:r w:rsidRPr="006C46B3">
        <w:rPr>
          <w:rFonts w:cstheme="minorHAnsi"/>
          <w:sz w:val="24"/>
          <w:szCs w:val="24"/>
          <w:rtl/>
        </w:rPr>
        <w:t>מתוך הסתכלות על הלקוח הצרכן הבודד מול המתווכים השונים, הבנקים וחברי הבורסה שאינם בנקים (</w:t>
      </w:r>
      <w:proofErr w:type="spellStart"/>
      <w:r w:rsidRPr="006C46B3">
        <w:rPr>
          <w:rFonts w:cstheme="minorHAnsi"/>
          <w:sz w:val="24"/>
          <w:szCs w:val="24"/>
          <w:rtl/>
        </w:rPr>
        <w:t>חש"בים</w:t>
      </w:r>
      <w:proofErr w:type="spellEnd"/>
      <w:r w:rsidRPr="006C46B3">
        <w:rPr>
          <w:rFonts w:cstheme="minorHAnsi"/>
          <w:sz w:val="24"/>
          <w:szCs w:val="24"/>
          <w:rtl/>
        </w:rPr>
        <w:t xml:space="preserve">), גיבש צוות בין-משרדי המשותף לבנק ישראל, רשות ניירות ערך ואגף התקציבים, </w:t>
      </w:r>
      <w:r w:rsidRPr="006C46B3">
        <w:rPr>
          <w:rFonts w:cstheme="minorHAnsi"/>
          <w:sz w:val="24"/>
          <w:szCs w:val="24"/>
          <w:rtl/>
        </w:rPr>
        <w:lastRenderedPageBreak/>
        <w:t>מודל עמלות ניירות הערך כך שהלקוח יוכל להבין עבור מה וכמה הוא משלם ולהשוות בקלות בין השחקנים.  ההתאמה נשענת על בחינה תיאורטית והשוואתית, וכן על סקר שבחן את דפוסי הפעילות והעדפות הצרכנים.</w:t>
      </w:r>
      <w:r w:rsidR="008F540A" w:rsidRPr="006C46B3">
        <w:rPr>
          <w:rFonts w:cstheme="minorHAnsi"/>
          <w:sz w:val="24"/>
          <w:szCs w:val="24"/>
          <w:rtl/>
        </w:rPr>
        <w:t xml:space="preserve"> </w:t>
      </w:r>
      <w:r w:rsidRPr="006C46B3">
        <w:rPr>
          <w:rFonts w:cstheme="minorHAnsi"/>
          <w:sz w:val="24"/>
          <w:szCs w:val="24"/>
          <w:rtl/>
        </w:rPr>
        <w:t>המודל גם שומר על שוק מגוון ותחרותי שמיטיב על הלקוח: הוא מאזן בין המענה לצרכן ובין שמירה על דינמיקה תחרותי ומודל בר-קיימא למתווכים, כדי שהתחרות בשוק תלך ותתחזק לצד מגוון רחב של נותני שירות".</w:t>
      </w:r>
    </w:p>
    <w:p w14:paraId="3473CE8D" w14:textId="77777777" w:rsidR="008E0589" w:rsidRPr="006C46B3" w:rsidRDefault="008E0589" w:rsidP="008E0589">
      <w:pPr>
        <w:spacing w:after="120" w:line="360" w:lineRule="auto"/>
        <w:jc w:val="both"/>
        <w:rPr>
          <w:rFonts w:cstheme="minorHAnsi"/>
          <w:sz w:val="24"/>
          <w:szCs w:val="24"/>
          <w:rtl/>
        </w:rPr>
      </w:pPr>
      <w:bookmarkStart w:id="0" w:name="_GoBack"/>
      <w:bookmarkEnd w:id="0"/>
    </w:p>
    <w:p w14:paraId="6E947F38" w14:textId="191DD6DF" w:rsidR="00087D21" w:rsidRPr="006C46B3" w:rsidRDefault="00087D21" w:rsidP="00EF06D5">
      <w:pPr>
        <w:spacing w:after="120" w:line="360" w:lineRule="auto"/>
        <w:jc w:val="both"/>
        <w:rPr>
          <w:rFonts w:cstheme="minorHAnsi"/>
          <w:sz w:val="24"/>
          <w:szCs w:val="24"/>
          <w:rtl/>
        </w:rPr>
      </w:pPr>
      <w:r w:rsidRPr="006C46B3">
        <w:rPr>
          <w:rFonts w:cstheme="minorHAnsi"/>
          <w:sz w:val="24"/>
          <w:szCs w:val="24"/>
          <w:rtl/>
        </w:rPr>
        <w:t xml:space="preserve">צוות עבודה משותף לפיקוח על הבנקים בבנק ישראל, למשרד האוצר ולרשות ניירות ערך מפרסם היום את הדוח הסופי בנושא "מודלי תגמול בפעילות הציבור בניירות ערך". המודל, המפורט בהרחבה בדוח המצורף להודעה זו, מציג עדכון לשיטת התגמול הקיימת כיום עבור פעילות בחשבון ני"ע, ונועד </w:t>
      </w:r>
      <w:r w:rsidRPr="006C46B3">
        <w:rPr>
          <w:rFonts w:cstheme="minorHAnsi"/>
          <w:smallCaps/>
          <w:sz w:val="24"/>
          <w:szCs w:val="24"/>
          <w:rtl/>
        </w:rPr>
        <w:t>לעדכן את מודל התגמול הקיים באופן אשר יסייע בהגנה על הצרכנים ויעודד את התחרות בין השחקנים השונים</w:t>
      </w:r>
      <w:r w:rsidRPr="006C46B3">
        <w:rPr>
          <w:rFonts w:cstheme="minorHAnsi"/>
          <w:sz w:val="24"/>
          <w:szCs w:val="24"/>
          <w:rtl/>
        </w:rPr>
        <w:t>. המודל החדש טומן בחובו יתרונות רבים, וביניהם פישוט מודל הגבייה, הגברת השקיפות, וחיזוק יכולת ההשוואה וההלימה בין השירות שניתן לבין העמלה שנגבית עבורו.</w:t>
      </w:r>
    </w:p>
    <w:p w14:paraId="51E177F6" w14:textId="77777777" w:rsidR="00087D21" w:rsidRPr="006C46B3" w:rsidRDefault="00087D21" w:rsidP="00EF06D5">
      <w:pPr>
        <w:spacing w:after="120" w:line="360" w:lineRule="auto"/>
        <w:jc w:val="both"/>
        <w:rPr>
          <w:rFonts w:cstheme="minorHAnsi"/>
          <w:sz w:val="24"/>
          <w:szCs w:val="24"/>
          <w:rtl/>
        </w:rPr>
      </w:pPr>
      <w:r w:rsidRPr="006C46B3">
        <w:rPr>
          <w:rFonts w:cstheme="minorHAnsi"/>
          <w:sz w:val="24"/>
          <w:szCs w:val="24"/>
          <w:rtl/>
        </w:rPr>
        <w:t>פרסום הדוח הסופי הוא אבן הדרך האחרונה בעבודת הצוות, אשר קדמו לה פרסום קול קורא לציבור, פרסום דוח ביניים, התייעצויות רבות עם גורמים שונים, לרבות גורמים הלוקחים חלק בפעילות שוק ההון בישראל, ובחינה וניתוח של מרכיבי המודל הנוכחי. הצוות מאמין כי אימוץ מודל התגמול, כמפורט בדוח, יחזק את התחרות בין השחקנים השונים, יביא להרחבת היצע השירותים לציבור הלקוחות, לשכלול שוק ייעוץ ההשקעות והרחבתו לקהלים נוספים, ויגביר את יכולתו של המשקיע לקבל החלטה מושכלת ומודעת.</w:t>
      </w:r>
    </w:p>
    <w:p w14:paraId="51C3F281" w14:textId="77777777" w:rsidR="00087D21" w:rsidRPr="006C46B3" w:rsidRDefault="00087D21" w:rsidP="00EF06D5">
      <w:pPr>
        <w:spacing w:after="120" w:line="360" w:lineRule="auto"/>
        <w:jc w:val="both"/>
        <w:rPr>
          <w:rFonts w:cstheme="minorHAnsi"/>
          <w:sz w:val="24"/>
          <w:szCs w:val="24"/>
          <w:rtl/>
        </w:rPr>
      </w:pPr>
    </w:p>
    <w:p w14:paraId="653B2C68" w14:textId="77777777" w:rsidR="00087D21" w:rsidRPr="006C46B3" w:rsidRDefault="00087D21" w:rsidP="00EF06D5">
      <w:pPr>
        <w:spacing w:after="120" w:line="360" w:lineRule="auto"/>
        <w:jc w:val="both"/>
        <w:rPr>
          <w:rFonts w:cstheme="minorHAnsi"/>
          <w:b/>
          <w:bCs/>
          <w:sz w:val="24"/>
          <w:szCs w:val="24"/>
          <w:rtl/>
        </w:rPr>
      </w:pPr>
      <w:r w:rsidRPr="006C46B3">
        <w:rPr>
          <w:rFonts w:cstheme="minorHAnsi"/>
          <w:b/>
          <w:bCs/>
          <w:sz w:val="24"/>
          <w:szCs w:val="24"/>
          <w:rtl/>
        </w:rPr>
        <w:t xml:space="preserve">עיקרי המודל החדש: </w:t>
      </w:r>
    </w:p>
    <w:p w14:paraId="2A23810D" w14:textId="77777777" w:rsidR="00087D21" w:rsidRPr="006C46B3" w:rsidRDefault="00087D21" w:rsidP="00EF06D5">
      <w:pPr>
        <w:spacing w:after="120" w:line="360" w:lineRule="auto"/>
        <w:jc w:val="both"/>
        <w:rPr>
          <w:rFonts w:cstheme="minorHAnsi"/>
          <w:smallCaps/>
          <w:sz w:val="24"/>
          <w:szCs w:val="24"/>
          <w:rtl/>
        </w:rPr>
      </w:pPr>
      <w:r w:rsidRPr="006C46B3">
        <w:rPr>
          <w:rFonts w:cstheme="minorHAnsi"/>
          <w:sz w:val="24"/>
          <w:szCs w:val="24"/>
          <w:rtl/>
        </w:rPr>
        <w:t xml:space="preserve">מודל התגמול הינו מודל אחוד אשר חלקיו משתלבים זה בזה. כניסתן לתוקף של המלצות הצוות ייעשה באופן מדורג מבחינה כרונולוגית וזאת בעיקר משיקולים פרקטיים המפרידים בין המלצות אשר ניתן ליישמן בטווח זמן מהיר יחסית לבין אחרות אשר מצריכות הליכי אסדרה מורכבים יותר. כחלק מיישום כל שלב יבחנו </w:t>
      </w:r>
      <w:proofErr w:type="spellStart"/>
      <w:r w:rsidRPr="006C46B3">
        <w:rPr>
          <w:rFonts w:cstheme="minorHAnsi"/>
          <w:sz w:val="24"/>
          <w:szCs w:val="24"/>
          <w:rtl/>
        </w:rPr>
        <w:t>המאסדרים</w:t>
      </w:r>
      <w:proofErr w:type="spellEnd"/>
      <w:r w:rsidRPr="006C46B3">
        <w:rPr>
          <w:rFonts w:cstheme="minorHAnsi"/>
          <w:sz w:val="24"/>
          <w:szCs w:val="24"/>
          <w:rtl/>
        </w:rPr>
        <w:t xml:space="preserve"> את המצב הקיים ואת אופן הסתגלות השוק לשינויים במנגנון, על מנת להבטיח כי יישום המודל מבוצע בצורה המיטבית לשוק. </w:t>
      </w:r>
    </w:p>
    <w:p w14:paraId="2F1A9F73" w14:textId="77777777" w:rsidR="00087D21" w:rsidRPr="006C46B3" w:rsidRDefault="00087D21" w:rsidP="00EF06D5">
      <w:pPr>
        <w:spacing w:after="120" w:line="360" w:lineRule="auto"/>
        <w:jc w:val="both"/>
        <w:rPr>
          <w:rFonts w:cstheme="minorHAnsi"/>
          <w:smallCaps/>
          <w:sz w:val="24"/>
          <w:szCs w:val="24"/>
          <w:rtl/>
        </w:rPr>
      </w:pPr>
      <w:r w:rsidRPr="006C46B3">
        <w:rPr>
          <w:rFonts w:cstheme="minorHAnsi"/>
          <w:smallCaps/>
          <w:sz w:val="24"/>
          <w:szCs w:val="24"/>
          <w:rtl/>
        </w:rPr>
        <w:t xml:space="preserve">הצוות המליץ להחיל אסדרה דומה בעתיד גם על כלל השחקנים בשוק, בנקים </w:t>
      </w:r>
      <w:proofErr w:type="spellStart"/>
      <w:r w:rsidRPr="006C46B3">
        <w:rPr>
          <w:rFonts w:cstheme="minorHAnsi"/>
          <w:smallCaps/>
          <w:sz w:val="24"/>
          <w:szCs w:val="24"/>
          <w:rtl/>
        </w:rPr>
        <w:t>וחש"בים</w:t>
      </w:r>
      <w:proofErr w:type="spellEnd"/>
      <w:r w:rsidRPr="006C46B3">
        <w:rPr>
          <w:rFonts w:cstheme="minorHAnsi"/>
          <w:smallCaps/>
          <w:sz w:val="24"/>
          <w:szCs w:val="24"/>
          <w:rtl/>
        </w:rPr>
        <w:t>.</w:t>
      </w:r>
    </w:p>
    <w:p w14:paraId="2B63BC72" w14:textId="77777777" w:rsidR="00087D21" w:rsidRPr="006C46B3" w:rsidRDefault="00087D21" w:rsidP="00EF06D5">
      <w:pPr>
        <w:spacing w:after="120" w:line="360" w:lineRule="auto"/>
        <w:jc w:val="both"/>
        <w:rPr>
          <w:rStyle w:val="af8"/>
          <w:rFonts w:cstheme="minorHAnsi"/>
          <w:b/>
          <w:bCs/>
          <w:color w:val="auto"/>
          <w:sz w:val="24"/>
          <w:szCs w:val="24"/>
          <w:rtl/>
        </w:rPr>
      </w:pPr>
      <w:r w:rsidRPr="006C46B3">
        <w:rPr>
          <w:rStyle w:val="af8"/>
          <w:rFonts w:cstheme="minorHAnsi"/>
          <w:b/>
          <w:bCs/>
          <w:color w:val="auto"/>
          <w:sz w:val="24"/>
          <w:szCs w:val="24"/>
          <w:rtl/>
        </w:rPr>
        <w:t>שלב א' – ייעוץ השקעות וחבילות שירותים במערכת הבנקאית</w:t>
      </w:r>
    </w:p>
    <w:p w14:paraId="2C4127B3" w14:textId="77777777" w:rsidR="00087D21" w:rsidRPr="006C46B3" w:rsidRDefault="00087D21" w:rsidP="00EF06D5">
      <w:pPr>
        <w:pStyle w:val="a8"/>
        <w:numPr>
          <w:ilvl w:val="0"/>
          <w:numId w:val="11"/>
        </w:numPr>
        <w:spacing w:after="120" w:line="360" w:lineRule="auto"/>
        <w:jc w:val="both"/>
        <w:rPr>
          <w:rFonts w:cstheme="minorHAnsi"/>
          <w:sz w:val="24"/>
          <w:szCs w:val="24"/>
        </w:rPr>
      </w:pPr>
      <w:r w:rsidRPr="006C46B3">
        <w:rPr>
          <w:rFonts w:cstheme="minorHAnsi"/>
          <w:sz w:val="24"/>
          <w:szCs w:val="24"/>
          <w:u w:val="single"/>
          <w:rtl/>
        </w:rPr>
        <w:t>חבילות שירותים</w:t>
      </w:r>
      <w:r w:rsidRPr="006C46B3">
        <w:rPr>
          <w:rFonts w:cstheme="minorHAnsi"/>
          <w:sz w:val="24"/>
          <w:szCs w:val="24"/>
          <w:rtl/>
        </w:rPr>
        <w:t xml:space="preserve"> - יתאפשר לבנקים להציע ללקוחותיהם חבילות שירותים שבמסגרתן לקוח ישלם עמלה בסכום כולל בגין הפעילות בני"ע ובנכסים פיננסיים.  </w:t>
      </w:r>
    </w:p>
    <w:p w14:paraId="5A9CC00A" w14:textId="77777777" w:rsidR="00087D21" w:rsidRPr="006C46B3" w:rsidRDefault="00087D21" w:rsidP="00EF06D5">
      <w:pPr>
        <w:pStyle w:val="a8"/>
        <w:numPr>
          <w:ilvl w:val="0"/>
          <w:numId w:val="11"/>
        </w:numPr>
        <w:spacing w:after="120" w:line="360" w:lineRule="auto"/>
        <w:jc w:val="both"/>
        <w:rPr>
          <w:rStyle w:val="af8"/>
          <w:rFonts w:cstheme="minorHAnsi"/>
          <w:color w:val="auto"/>
          <w:sz w:val="24"/>
          <w:szCs w:val="24"/>
          <w:u w:val="single"/>
        </w:rPr>
      </w:pPr>
      <w:r w:rsidRPr="006C46B3">
        <w:rPr>
          <w:rStyle w:val="af8"/>
          <w:rFonts w:cstheme="minorHAnsi"/>
          <w:color w:val="auto"/>
          <w:sz w:val="24"/>
          <w:szCs w:val="24"/>
          <w:u w:val="single"/>
          <w:rtl/>
        </w:rPr>
        <w:lastRenderedPageBreak/>
        <w:t xml:space="preserve">עמלת ייעוץ ייעודית </w:t>
      </w:r>
      <w:r w:rsidRPr="006C46B3">
        <w:rPr>
          <w:rStyle w:val="af8"/>
          <w:rFonts w:cstheme="minorHAnsi"/>
          <w:color w:val="auto"/>
          <w:sz w:val="24"/>
          <w:szCs w:val="24"/>
          <w:rtl/>
        </w:rPr>
        <w:t>– בנקים יהיו רשאים לגבות עמלה ייעודית מהלקוח בגין שירות הייעוץ</w:t>
      </w:r>
      <w:r w:rsidRPr="006C46B3">
        <w:rPr>
          <w:rFonts w:cstheme="minorHAnsi"/>
          <w:smallCaps/>
          <w:sz w:val="24"/>
          <w:szCs w:val="24"/>
          <w:rtl/>
        </w:rPr>
        <w:t xml:space="preserve"> ולא יוכלו לגבות אותה כחלק מעמלת דמי ניהול פיקדון ני</w:t>
      </w:r>
      <w:r w:rsidRPr="006C46B3">
        <w:rPr>
          <w:rFonts w:cstheme="minorHAnsi"/>
          <w:smallCaps/>
          <w:sz w:val="24"/>
          <w:szCs w:val="24"/>
        </w:rPr>
        <w:t>"</w:t>
      </w:r>
      <w:r w:rsidRPr="006C46B3">
        <w:rPr>
          <w:rFonts w:cstheme="minorHAnsi"/>
          <w:smallCaps/>
          <w:sz w:val="24"/>
          <w:szCs w:val="24"/>
          <w:rtl/>
        </w:rPr>
        <w:t>ע</w:t>
      </w:r>
      <w:r w:rsidRPr="006C46B3">
        <w:rPr>
          <w:rStyle w:val="af8"/>
          <w:rFonts w:cstheme="minorHAnsi"/>
          <w:color w:val="auto"/>
          <w:sz w:val="24"/>
          <w:szCs w:val="24"/>
          <w:rtl/>
        </w:rPr>
        <w:t>. מאפייני העמלה יוכלו להיות מותאמים לאופי שירות הייעוץ שיינתן (מתמשך / חד פעמי, אנושי / דיגיטלי / היברידי, וכו').</w:t>
      </w:r>
    </w:p>
    <w:p w14:paraId="4A801A72" w14:textId="77777777" w:rsidR="00087D21" w:rsidRPr="006C46B3" w:rsidRDefault="00087D21" w:rsidP="00EF06D5">
      <w:pPr>
        <w:pStyle w:val="a8"/>
        <w:spacing w:after="120" w:line="360" w:lineRule="auto"/>
        <w:ind w:left="360"/>
        <w:jc w:val="both"/>
        <w:rPr>
          <w:rFonts w:eastAsia="Calibri" w:cstheme="minorHAnsi"/>
          <w:sz w:val="24"/>
          <w:szCs w:val="24"/>
          <w:rtl/>
        </w:rPr>
      </w:pPr>
      <w:r w:rsidRPr="006C46B3">
        <w:rPr>
          <w:rFonts w:eastAsia="Calibri" w:cstheme="minorHAnsi"/>
          <w:sz w:val="24"/>
          <w:szCs w:val="24"/>
          <w:rtl/>
        </w:rPr>
        <w:t xml:space="preserve">שירות ייעוץ ההשקעות יוצע על ידי הבנקים ללא </w:t>
      </w:r>
      <w:proofErr w:type="spellStart"/>
      <w:r w:rsidRPr="006C46B3">
        <w:rPr>
          <w:rFonts w:eastAsia="Calibri" w:cstheme="minorHAnsi"/>
          <w:sz w:val="24"/>
          <w:szCs w:val="24"/>
          <w:rtl/>
        </w:rPr>
        <w:t>התנייה</w:t>
      </w:r>
      <w:proofErr w:type="spellEnd"/>
      <w:r w:rsidRPr="006C46B3">
        <w:rPr>
          <w:rFonts w:eastAsia="Calibri" w:cstheme="minorHAnsi"/>
          <w:sz w:val="24"/>
          <w:szCs w:val="24"/>
          <w:rtl/>
        </w:rPr>
        <w:t xml:space="preserve"> בצריכת שירותים נוספים ולא יהווה תנאי לניהול תיק ני"ע.</w:t>
      </w:r>
    </w:p>
    <w:p w14:paraId="2F8366F3" w14:textId="77777777" w:rsidR="00087D21" w:rsidRPr="006C46B3" w:rsidRDefault="00087D21" w:rsidP="00EF06D5">
      <w:pPr>
        <w:spacing w:after="120" w:line="360" w:lineRule="auto"/>
        <w:jc w:val="both"/>
        <w:rPr>
          <w:rStyle w:val="af8"/>
          <w:rFonts w:cstheme="minorHAnsi"/>
          <w:b/>
          <w:bCs/>
          <w:color w:val="auto"/>
          <w:sz w:val="24"/>
          <w:szCs w:val="24"/>
          <w:rtl/>
        </w:rPr>
      </w:pPr>
      <w:r w:rsidRPr="006C46B3">
        <w:rPr>
          <w:rStyle w:val="af8"/>
          <w:rFonts w:cstheme="minorHAnsi"/>
          <w:b/>
          <w:bCs/>
          <w:color w:val="auto"/>
          <w:sz w:val="24"/>
          <w:szCs w:val="24"/>
          <w:rtl/>
        </w:rPr>
        <w:t xml:space="preserve">שלב ב' – שינוי מנגנון הגבייה בגין עסקאות ביחידות קרנות נאמנות </w:t>
      </w:r>
    </w:p>
    <w:p w14:paraId="5F114274" w14:textId="77777777" w:rsidR="00087D21" w:rsidRPr="006C46B3" w:rsidRDefault="00087D21" w:rsidP="00EF06D5">
      <w:pPr>
        <w:pStyle w:val="a8"/>
        <w:numPr>
          <w:ilvl w:val="0"/>
          <w:numId w:val="11"/>
        </w:numPr>
        <w:spacing w:after="120" w:line="360" w:lineRule="auto"/>
        <w:jc w:val="both"/>
        <w:rPr>
          <w:rStyle w:val="af8"/>
          <w:rFonts w:cstheme="minorHAnsi"/>
          <w:color w:val="auto"/>
          <w:sz w:val="24"/>
          <w:szCs w:val="24"/>
          <w:u w:val="single"/>
        </w:rPr>
      </w:pPr>
      <w:r w:rsidRPr="006C46B3">
        <w:rPr>
          <w:rStyle w:val="af8"/>
          <w:rFonts w:cstheme="minorHAnsi"/>
          <w:color w:val="auto"/>
          <w:sz w:val="24"/>
          <w:szCs w:val="24"/>
          <w:u w:val="single"/>
          <w:rtl/>
        </w:rPr>
        <w:t>עמלת תיווך</w:t>
      </w:r>
      <w:r w:rsidRPr="006C46B3">
        <w:rPr>
          <w:rStyle w:val="af8"/>
          <w:rFonts w:cstheme="minorHAnsi"/>
          <w:color w:val="auto"/>
          <w:sz w:val="24"/>
          <w:szCs w:val="24"/>
          <w:rtl/>
        </w:rPr>
        <w:t xml:space="preserve"> – חלף עמלת ההפצה הנהוגה כיום, תשולם עמלת תיווך אחידה בשיעור מופחת של 0.2% משווי היחידות הנרכשות, שתיגבה על פני משך ההחזקה, בכל סוגי קרנות הנאמנות, למעט קרנות כספיות אשר ביחס אליהן מוצע להשאיר את מודל עמלת ההפצה הקיים בבנקים על כנו בהיותן חלק מ"שוק הכסף" ולאמצו בכלל השוק בהמשך. עמלה זו תשולם על ידי מנהל הקרן ליועץ ההשקעות או למערך הייעוץ הבנקאי.</w:t>
      </w:r>
      <w:r w:rsidRPr="006C46B3">
        <w:rPr>
          <w:rStyle w:val="af8"/>
          <w:rFonts w:cstheme="minorHAnsi"/>
          <w:color w:val="auto"/>
          <w:sz w:val="24"/>
          <w:szCs w:val="24"/>
          <w:vertAlign w:val="superscript"/>
          <w:rtl/>
        </w:rPr>
        <w:t xml:space="preserve"> </w:t>
      </w:r>
      <w:r w:rsidRPr="006C46B3">
        <w:rPr>
          <w:rStyle w:val="af8"/>
          <w:rFonts w:cstheme="minorHAnsi"/>
          <w:color w:val="auto"/>
          <w:sz w:val="24"/>
          <w:szCs w:val="24"/>
          <w:rtl/>
        </w:rPr>
        <w:t>עמלת התיווך תיגבה רק עבור פעולות רכישה מיועצות.</w:t>
      </w:r>
    </w:p>
    <w:p w14:paraId="342F559A" w14:textId="77777777" w:rsidR="00087D21" w:rsidRPr="006C46B3" w:rsidRDefault="00087D21" w:rsidP="00EF06D5">
      <w:pPr>
        <w:pStyle w:val="a8"/>
        <w:numPr>
          <w:ilvl w:val="0"/>
          <w:numId w:val="11"/>
        </w:numPr>
        <w:spacing w:after="120" w:line="360" w:lineRule="auto"/>
        <w:jc w:val="both"/>
        <w:rPr>
          <w:rStyle w:val="af8"/>
          <w:rFonts w:cstheme="minorHAnsi"/>
          <w:color w:val="auto"/>
          <w:sz w:val="24"/>
          <w:szCs w:val="24"/>
          <w:u w:val="single"/>
        </w:rPr>
      </w:pPr>
      <w:r w:rsidRPr="006C46B3">
        <w:rPr>
          <w:rStyle w:val="af8"/>
          <w:rFonts w:cstheme="minorHAnsi"/>
          <w:color w:val="auto"/>
          <w:sz w:val="24"/>
          <w:szCs w:val="24"/>
          <w:u w:val="single"/>
          <w:rtl/>
        </w:rPr>
        <w:t>עמלות קניה ומכירה</w:t>
      </w:r>
    </w:p>
    <w:p w14:paraId="16F3B948" w14:textId="77777777" w:rsidR="00087D21" w:rsidRPr="006C46B3" w:rsidRDefault="00087D21" w:rsidP="00EF06D5">
      <w:pPr>
        <w:spacing w:after="120" w:line="360" w:lineRule="auto"/>
        <w:ind w:left="360"/>
        <w:jc w:val="both"/>
        <w:rPr>
          <w:rStyle w:val="af8"/>
          <w:rFonts w:cstheme="minorHAnsi"/>
          <w:color w:val="auto"/>
          <w:sz w:val="24"/>
          <w:szCs w:val="24"/>
          <w:rtl/>
        </w:rPr>
      </w:pPr>
      <w:r w:rsidRPr="006C46B3">
        <w:rPr>
          <w:rStyle w:val="af8"/>
          <w:rFonts w:cstheme="minorHAnsi"/>
          <w:color w:val="auto"/>
          <w:sz w:val="24"/>
          <w:szCs w:val="24"/>
          <w:rtl/>
        </w:rPr>
        <w:t xml:space="preserve">כצעד משלים לשינוי במודל עמלת ההפצה כמתואר להלן, תקבע האחדה של מנגנון גביית עמלות קניה ומכירה ביחס לפעולות קניה ומכירה של יחידות קרנות נאמנות מסוגים שונים, דהיינו קרנות נאמנות פסיביות (קרנות מחקות פתוחות וקרנות סל) וקרנות נאמנות אקטיביות, למעט קרנות כספיות. כלומר, בכל פעולה של קניה או מכירה של יחידת קרן נאמנות (מכל מסוג שהוא, למעט כספיות) ניתן יהיה לגבות מהלקוח עמלת קניה/מכירה.  </w:t>
      </w:r>
    </w:p>
    <w:p w14:paraId="1F17CBCF" w14:textId="77777777" w:rsidR="00087D21" w:rsidRPr="006C46B3" w:rsidRDefault="00087D21" w:rsidP="00EF06D5">
      <w:pPr>
        <w:spacing w:after="120" w:line="360" w:lineRule="auto"/>
        <w:ind w:left="368"/>
        <w:jc w:val="both"/>
        <w:rPr>
          <w:rStyle w:val="af8"/>
          <w:rFonts w:cstheme="minorHAnsi"/>
          <w:color w:val="auto"/>
          <w:sz w:val="24"/>
          <w:szCs w:val="24"/>
          <w:rtl/>
        </w:rPr>
      </w:pPr>
      <w:r w:rsidRPr="006C46B3">
        <w:rPr>
          <w:rStyle w:val="af8"/>
          <w:rFonts w:cstheme="minorHAnsi"/>
          <w:color w:val="auto"/>
          <w:sz w:val="24"/>
          <w:szCs w:val="24"/>
          <w:rtl/>
        </w:rPr>
        <w:t>לצורך השלמת שלב זה תחל עבודת קידום תיקוני חקיקה ותקנות.</w:t>
      </w:r>
    </w:p>
    <w:p w14:paraId="6EF29711" w14:textId="77777777" w:rsidR="00087D21" w:rsidRPr="006C46B3" w:rsidRDefault="00087D21" w:rsidP="00EF06D5">
      <w:pPr>
        <w:spacing w:after="120" w:line="360" w:lineRule="auto"/>
        <w:jc w:val="both"/>
        <w:rPr>
          <w:rStyle w:val="af8"/>
          <w:rFonts w:cstheme="minorHAnsi"/>
          <w:b/>
          <w:bCs/>
          <w:color w:val="auto"/>
          <w:sz w:val="24"/>
          <w:szCs w:val="24"/>
          <w:rtl/>
        </w:rPr>
      </w:pPr>
      <w:r w:rsidRPr="006C46B3">
        <w:rPr>
          <w:rStyle w:val="af8"/>
          <w:rFonts w:cstheme="minorHAnsi"/>
          <w:b/>
          <w:bCs/>
          <w:color w:val="auto"/>
          <w:sz w:val="24"/>
          <w:szCs w:val="24"/>
          <w:rtl/>
        </w:rPr>
        <w:t>שלב ג' - שירות דמי ניהול פקדון ני"ע</w:t>
      </w:r>
    </w:p>
    <w:p w14:paraId="6B9A6354" w14:textId="77777777" w:rsidR="00087D21" w:rsidRPr="006C46B3" w:rsidRDefault="00087D21" w:rsidP="00EF06D5">
      <w:pPr>
        <w:spacing w:after="120" w:line="360" w:lineRule="auto"/>
        <w:jc w:val="both"/>
        <w:rPr>
          <w:rStyle w:val="af8"/>
          <w:rFonts w:cstheme="minorHAnsi"/>
          <w:color w:val="auto"/>
          <w:sz w:val="24"/>
          <w:szCs w:val="24"/>
          <w:rtl/>
        </w:rPr>
      </w:pPr>
      <w:r w:rsidRPr="006C46B3">
        <w:rPr>
          <w:rStyle w:val="af8"/>
          <w:rFonts w:cstheme="minorHAnsi"/>
          <w:color w:val="auto"/>
          <w:sz w:val="24"/>
          <w:szCs w:val="24"/>
          <w:rtl/>
        </w:rPr>
        <w:t>שירות דמי ניהול פיקדון ני"ע כולל עלויות משמורת ("</w:t>
      </w:r>
      <w:proofErr w:type="spellStart"/>
      <w:r w:rsidRPr="006C46B3">
        <w:rPr>
          <w:rStyle w:val="af8"/>
          <w:rFonts w:cstheme="minorHAnsi"/>
          <w:color w:val="auto"/>
          <w:sz w:val="24"/>
          <w:szCs w:val="24"/>
          <w:rtl/>
        </w:rPr>
        <w:t>קסטודי</w:t>
      </w:r>
      <w:proofErr w:type="spellEnd"/>
      <w:r w:rsidRPr="006C46B3">
        <w:rPr>
          <w:rStyle w:val="af8"/>
          <w:rFonts w:cstheme="minorHAnsi"/>
          <w:color w:val="auto"/>
          <w:sz w:val="24"/>
          <w:szCs w:val="24"/>
          <w:rtl/>
        </w:rPr>
        <w:t xml:space="preserve">") ותפעול הנובעים ממסחר בשוק ההון. מנגנון דמי ניהול ני"ע ייקבע כסכום שקלי, שייגבה בתדירות חודשית עבור כלל החזקות ני"ע והנכסים הפיננסיים של הלקוח, הן הישראלים והן הזרים. על מנת להגן על לקוחות בעלי שווי תיק ני"ע נמוך, ולהבטיח שתעריף השירות עבורם ישקלל כראוי את העלויות בפועל, ייבחן הצורך בקביעת מדרגות בעמלה בהבחנה לפי שווי תיק. </w:t>
      </w:r>
    </w:p>
    <w:p w14:paraId="1CE18CF9" w14:textId="77777777" w:rsidR="00087D21" w:rsidRPr="006C46B3" w:rsidRDefault="00087D21" w:rsidP="00EF06D5">
      <w:pPr>
        <w:spacing w:after="120" w:line="360" w:lineRule="auto"/>
        <w:jc w:val="both"/>
        <w:rPr>
          <w:rFonts w:cstheme="minorHAnsi"/>
          <w:b/>
          <w:bCs/>
          <w:sz w:val="24"/>
          <w:szCs w:val="24"/>
          <w:rtl/>
        </w:rPr>
      </w:pPr>
    </w:p>
    <w:p w14:paraId="13E9DEE3" w14:textId="77777777" w:rsidR="00087D21" w:rsidRPr="006C46B3" w:rsidRDefault="00087D21" w:rsidP="00EF06D5">
      <w:pPr>
        <w:spacing w:after="120" w:line="360" w:lineRule="auto"/>
        <w:jc w:val="both"/>
        <w:rPr>
          <w:rFonts w:cstheme="minorHAnsi"/>
          <w:sz w:val="24"/>
          <w:szCs w:val="24"/>
          <w:rtl/>
        </w:rPr>
      </w:pPr>
      <w:r w:rsidRPr="006C46B3">
        <w:rPr>
          <w:rFonts w:cstheme="minorHAnsi"/>
          <w:sz w:val="24"/>
          <w:szCs w:val="24"/>
          <w:rtl/>
        </w:rPr>
        <w:t xml:space="preserve">*** </w:t>
      </w:r>
      <w:r w:rsidRPr="006C46B3">
        <w:rPr>
          <w:rFonts w:cstheme="minorHAnsi"/>
          <w:i/>
          <w:iCs/>
          <w:sz w:val="24"/>
          <w:szCs w:val="24"/>
          <w:rtl/>
        </w:rPr>
        <w:t xml:space="preserve">מצורף הדוח המלא </w:t>
      </w:r>
    </w:p>
    <w:p w14:paraId="0E18674F" w14:textId="77777777" w:rsidR="00087D21" w:rsidRPr="006C46B3" w:rsidRDefault="00087D21" w:rsidP="00EF06D5">
      <w:pPr>
        <w:spacing w:after="120" w:line="360" w:lineRule="auto"/>
        <w:jc w:val="both"/>
        <w:rPr>
          <w:rFonts w:cstheme="minorHAnsi"/>
          <w:sz w:val="24"/>
          <w:szCs w:val="24"/>
        </w:rPr>
      </w:pPr>
    </w:p>
    <w:p w14:paraId="0B18E7A3" w14:textId="117D73B7" w:rsidR="00087D21" w:rsidRPr="006C46B3" w:rsidRDefault="00087D21" w:rsidP="00EF06D5">
      <w:pPr>
        <w:shd w:val="clear" w:color="auto" w:fill="FFFFFF"/>
        <w:spacing w:after="120" w:line="360" w:lineRule="auto"/>
        <w:jc w:val="both"/>
        <w:outlineLvl w:val="0"/>
        <w:rPr>
          <w:rFonts w:eastAsia="Times New Roman" w:cstheme="minorHAnsi"/>
          <w:b/>
          <w:bCs/>
          <w:kern w:val="36"/>
          <w:sz w:val="24"/>
          <w:szCs w:val="24"/>
          <w:rtl/>
        </w:rPr>
      </w:pPr>
    </w:p>
    <w:sectPr w:rsidR="00087D21" w:rsidRPr="006C46B3" w:rsidSect="00DC19C9">
      <w:headerReference w:type="default" r:id="rId7"/>
      <w:pgSz w:w="11906" w:h="16838"/>
      <w:pgMar w:top="1440" w:right="1800" w:bottom="993"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A488" w14:textId="77777777" w:rsidR="000444DE" w:rsidRDefault="000444DE">
      <w:pPr>
        <w:spacing w:after="0" w:line="240" w:lineRule="auto"/>
      </w:pPr>
      <w:r>
        <w:separator/>
      </w:r>
    </w:p>
  </w:endnote>
  <w:endnote w:type="continuationSeparator" w:id="0">
    <w:p w14:paraId="5A857689" w14:textId="77777777" w:rsidR="000444DE" w:rsidRDefault="0004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5EAB" w14:textId="77777777" w:rsidR="000444DE" w:rsidRDefault="000444DE">
      <w:pPr>
        <w:spacing w:after="0" w:line="240" w:lineRule="auto"/>
      </w:pPr>
      <w:r>
        <w:separator/>
      </w:r>
    </w:p>
  </w:footnote>
  <w:footnote w:type="continuationSeparator" w:id="0">
    <w:p w14:paraId="0D45CC39" w14:textId="77777777" w:rsidR="000444DE" w:rsidRDefault="0004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92C5" w14:textId="515C4714" w:rsidR="00FD1E39" w:rsidRDefault="001E739A" w:rsidP="00FD1E39">
    <w:pPr>
      <w:pStyle w:val="af4"/>
      <w:rPr>
        <w:rtl/>
      </w:rPr>
    </w:pPr>
    <w:r>
      <w:rPr>
        <w:noProof/>
        <w:rtl/>
      </w:rPr>
      <w:drawing>
        <wp:anchor distT="0" distB="0" distL="114300" distR="114300" simplePos="0" relativeHeight="251660288" behindDoc="0" locked="0" layoutInCell="1" allowOverlap="1" wp14:anchorId="62044435" wp14:editId="2243D69B">
          <wp:simplePos x="0" y="0"/>
          <wp:positionH relativeFrom="column">
            <wp:posOffset>-589280</wp:posOffset>
          </wp:positionH>
          <wp:positionV relativeFrom="paragraph">
            <wp:posOffset>-140970</wp:posOffset>
          </wp:positionV>
          <wp:extent cx="932180" cy="681990"/>
          <wp:effectExtent l="0" t="0" r="1270" b="3810"/>
          <wp:wrapThrough wrapText="bothSides">
            <wp:wrapPolygon edited="0">
              <wp:start x="5297" y="0"/>
              <wp:lineTo x="5297" y="9654"/>
              <wp:lineTo x="0" y="19307"/>
              <wp:lineTo x="0" y="21117"/>
              <wp:lineTo x="21188" y="21117"/>
              <wp:lineTo x="21188" y="19307"/>
              <wp:lineTo x="15891" y="9654"/>
              <wp:lineTo x="15891" y="0"/>
              <wp:lineTo x="5297" y="0"/>
            </wp:wrapPolygon>
          </wp:wrapThrough>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80" cy="681990"/>
                  </a:xfrm>
                  <a:prstGeom prst="rect">
                    <a:avLst/>
                  </a:prstGeom>
                  <a:noFill/>
                </pic:spPr>
              </pic:pic>
            </a:graphicData>
          </a:graphic>
          <wp14:sizeRelH relativeFrom="page">
            <wp14:pctWidth>0</wp14:pctWidth>
          </wp14:sizeRelH>
          <wp14:sizeRelV relativeFrom="margin">
            <wp14:pctHeight>0</wp14:pctHeight>
          </wp14:sizeRelV>
        </wp:anchor>
      </w:drawing>
    </w:r>
    <w:r w:rsidR="00EF06D5">
      <w:rPr>
        <w:noProof/>
        <w:rtl/>
      </w:rPr>
      <w:drawing>
        <wp:anchor distT="0" distB="0" distL="114300" distR="114300" simplePos="0" relativeHeight="251658240" behindDoc="0" locked="0" layoutInCell="1" allowOverlap="1" wp14:anchorId="14A1EE4D" wp14:editId="704148FB">
          <wp:simplePos x="0" y="0"/>
          <wp:positionH relativeFrom="column">
            <wp:posOffset>4853305</wp:posOffset>
          </wp:positionH>
          <wp:positionV relativeFrom="paragraph">
            <wp:posOffset>-243840</wp:posOffset>
          </wp:positionV>
          <wp:extent cx="954405" cy="600075"/>
          <wp:effectExtent l="0" t="0" r="0" b="9525"/>
          <wp:wrapThrough wrapText="bothSides">
            <wp:wrapPolygon edited="0">
              <wp:start x="0" y="0"/>
              <wp:lineTo x="0" y="21257"/>
              <wp:lineTo x="21126" y="21257"/>
              <wp:lineTo x="21126" y="0"/>
              <wp:lineTo x="0" y="0"/>
            </wp:wrapPolygon>
          </wp:wrapThrough>
          <wp:docPr id="13" name="תמונה 91" descr="Title: לוגו בנק ישראל - Description: 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מונה 91" descr="Title: לוגו בנק ישראל - Description: לוגו בנק ישראל"/>
                  <pic:cNvPicPr>
                    <a:picLocks noChangeAspect="1" noChangeArrowheads="1"/>
                  </pic:cNvPicPr>
                </pic:nvPicPr>
                <pic:blipFill>
                  <a:blip r:embed="rId2">
                    <a:extLst>
                      <a:ext uri="{28A0092B-C50C-407E-A947-70E740481C1C}">
                        <a14:useLocalDpi xmlns:a14="http://schemas.microsoft.com/office/drawing/2010/main" val="0"/>
                      </a:ext>
                    </a:extLst>
                  </a:blip>
                  <a:srcRect l="85143" r="2605"/>
                  <a:stretch>
                    <a:fillRect/>
                  </a:stretch>
                </pic:blipFill>
                <pic:spPr bwMode="auto">
                  <a:xfrm>
                    <a:off x="0" y="0"/>
                    <a:ext cx="954405" cy="600075"/>
                  </a:xfrm>
                  <a:prstGeom prst="rect">
                    <a:avLst/>
                  </a:prstGeom>
                  <a:noFill/>
                </pic:spPr>
              </pic:pic>
            </a:graphicData>
          </a:graphic>
          <wp14:sizeRelH relativeFrom="page">
            <wp14:pctWidth>0</wp14:pctWidth>
          </wp14:sizeRelH>
          <wp14:sizeRelV relativeFrom="page">
            <wp14:pctHeight>0</wp14:pctHeight>
          </wp14:sizeRelV>
        </wp:anchor>
      </w:drawing>
    </w:r>
    <w:r w:rsidR="009B73D8">
      <w:rPr>
        <w:noProof/>
        <w:rtl/>
      </w:rPr>
      <w:drawing>
        <wp:anchor distT="0" distB="0" distL="114300" distR="114300" simplePos="0" relativeHeight="251659264" behindDoc="0" locked="0" layoutInCell="1" allowOverlap="1" wp14:anchorId="6497707A" wp14:editId="20C2E139">
          <wp:simplePos x="0" y="0"/>
          <wp:positionH relativeFrom="margin">
            <wp:posOffset>2078990</wp:posOffset>
          </wp:positionH>
          <wp:positionV relativeFrom="paragraph">
            <wp:posOffset>-139065</wp:posOffset>
          </wp:positionV>
          <wp:extent cx="914400" cy="491490"/>
          <wp:effectExtent l="0" t="0" r="0" b="0"/>
          <wp:wrapThrough wrapText="bothSides">
            <wp:wrapPolygon edited="0">
              <wp:start x="13050" y="0"/>
              <wp:lineTo x="3600" y="13395"/>
              <wp:lineTo x="0" y="16744"/>
              <wp:lineTo x="0" y="19256"/>
              <wp:lineTo x="1800" y="20930"/>
              <wp:lineTo x="17100" y="20930"/>
              <wp:lineTo x="17550" y="20930"/>
              <wp:lineTo x="19800" y="13395"/>
              <wp:lineTo x="21150" y="10047"/>
              <wp:lineTo x="21150" y="8372"/>
              <wp:lineTo x="15300" y="0"/>
              <wp:lineTo x="13050" y="0"/>
            </wp:wrapPolygon>
          </wp:wrapThrough>
          <wp:docPr id="15" name="Picture 2" descr="לוגו רשות ניירות ער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לוגו רשות ניירות ערך"/>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14400" cy="491490"/>
                  </a:xfrm>
                  <a:prstGeom prst="rect">
                    <a:avLst/>
                  </a:prstGeom>
                  <a:noFill/>
                </pic:spPr>
              </pic:pic>
            </a:graphicData>
          </a:graphic>
          <wp14:sizeRelH relativeFrom="margin">
            <wp14:pctWidth>0</wp14:pctWidth>
          </wp14:sizeRelH>
          <wp14:sizeRelV relativeFrom="margin">
            <wp14:pctHeight>0</wp14:pctHeight>
          </wp14:sizeRelV>
        </wp:anchor>
      </w:drawing>
    </w:r>
  </w:p>
  <w:p w14:paraId="2A4B70AD" w14:textId="77777777" w:rsidR="00FD1E39" w:rsidRDefault="00FD1E3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8CE"/>
    <w:multiLevelType w:val="hybridMultilevel"/>
    <w:tmpl w:val="FBF20BCE"/>
    <w:lvl w:ilvl="0" w:tplc="D3E23F2A">
      <w:start w:val="1"/>
      <w:numFmt w:val="bullet"/>
      <w:lvlText w:val=""/>
      <w:lvlJc w:val="left"/>
      <w:pPr>
        <w:ind w:left="720" w:hanging="360"/>
      </w:pPr>
      <w:rPr>
        <w:rFonts w:ascii="Symbol" w:hAnsi="Symbol" w:hint="default"/>
      </w:rPr>
    </w:lvl>
    <w:lvl w:ilvl="1" w:tplc="A0DA71B0" w:tentative="1">
      <w:start w:val="1"/>
      <w:numFmt w:val="bullet"/>
      <w:lvlText w:val="o"/>
      <w:lvlJc w:val="left"/>
      <w:pPr>
        <w:ind w:left="1440" w:hanging="360"/>
      </w:pPr>
      <w:rPr>
        <w:rFonts w:ascii="Courier New" w:hAnsi="Courier New" w:cs="Courier New" w:hint="default"/>
      </w:rPr>
    </w:lvl>
    <w:lvl w:ilvl="2" w:tplc="08E6DAEA" w:tentative="1">
      <w:start w:val="1"/>
      <w:numFmt w:val="bullet"/>
      <w:lvlText w:val=""/>
      <w:lvlJc w:val="left"/>
      <w:pPr>
        <w:ind w:left="2160" w:hanging="360"/>
      </w:pPr>
      <w:rPr>
        <w:rFonts w:ascii="Wingdings" w:hAnsi="Wingdings" w:hint="default"/>
      </w:rPr>
    </w:lvl>
    <w:lvl w:ilvl="3" w:tplc="BE5ECD7A" w:tentative="1">
      <w:start w:val="1"/>
      <w:numFmt w:val="bullet"/>
      <w:lvlText w:val=""/>
      <w:lvlJc w:val="left"/>
      <w:pPr>
        <w:ind w:left="2880" w:hanging="360"/>
      </w:pPr>
      <w:rPr>
        <w:rFonts w:ascii="Symbol" w:hAnsi="Symbol" w:hint="default"/>
      </w:rPr>
    </w:lvl>
    <w:lvl w:ilvl="4" w:tplc="4582FA7C" w:tentative="1">
      <w:start w:val="1"/>
      <w:numFmt w:val="bullet"/>
      <w:lvlText w:val="o"/>
      <w:lvlJc w:val="left"/>
      <w:pPr>
        <w:ind w:left="3600" w:hanging="360"/>
      </w:pPr>
      <w:rPr>
        <w:rFonts w:ascii="Courier New" w:hAnsi="Courier New" w:cs="Courier New" w:hint="default"/>
      </w:rPr>
    </w:lvl>
    <w:lvl w:ilvl="5" w:tplc="1BD41B58" w:tentative="1">
      <w:start w:val="1"/>
      <w:numFmt w:val="bullet"/>
      <w:lvlText w:val=""/>
      <w:lvlJc w:val="left"/>
      <w:pPr>
        <w:ind w:left="4320" w:hanging="360"/>
      </w:pPr>
      <w:rPr>
        <w:rFonts w:ascii="Wingdings" w:hAnsi="Wingdings" w:hint="default"/>
      </w:rPr>
    </w:lvl>
    <w:lvl w:ilvl="6" w:tplc="4050A7D6" w:tentative="1">
      <w:start w:val="1"/>
      <w:numFmt w:val="bullet"/>
      <w:lvlText w:val=""/>
      <w:lvlJc w:val="left"/>
      <w:pPr>
        <w:ind w:left="5040" w:hanging="360"/>
      </w:pPr>
      <w:rPr>
        <w:rFonts w:ascii="Symbol" w:hAnsi="Symbol" w:hint="default"/>
      </w:rPr>
    </w:lvl>
    <w:lvl w:ilvl="7" w:tplc="33B888F2" w:tentative="1">
      <w:start w:val="1"/>
      <w:numFmt w:val="bullet"/>
      <w:lvlText w:val="o"/>
      <w:lvlJc w:val="left"/>
      <w:pPr>
        <w:ind w:left="5760" w:hanging="360"/>
      </w:pPr>
      <w:rPr>
        <w:rFonts w:ascii="Courier New" w:hAnsi="Courier New" w:cs="Courier New" w:hint="default"/>
      </w:rPr>
    </w:lvl>
    <w:lvl w:ilvl="8" w:tplc="0B7ABC32" w:tentative="1">
      <w:start w:val="1"/>
      <w:numFmt w:val="bullet"/>
      <w:lvlText w:val=""/>
      <w:lvlJc w:val="left"/>
      <w:pPr>
        <w:ind w:left="6480" w:hanging="360"/>
      </w:pPr>
      <w:rPr>
        <w:rFonts w:ascii="Wingdings" w:hAnsi="Wingdings" w:hint="default"/>
      </w:rPr>
    </w:lvl>
  </w:abstractNum>
  <w:abstractNum w:abstractNumId="1" w15:restartNumberingAfterBreak="0">
    <w:nsid w:val="18390538"/>
    <w:multiLevelType w:val="hybridMultilevel"/>
    <w:tmpl w:val="83D023E6"/>
    <w:lvl w:ilvl="0" w:tplc="C5340A90">
      <w:start w:val="1"/>
      <w:numFmt w:val="decimal"/>
      <w:lvlText w:val="%1."/>
      <w:lvlJc w:val="left"/>
      <w:pPr>
        <w:ind w:left="360" w:hanging="360"/>
      </w:pPr>
      <w:rPr>
        <w:rFonts w:hint="default"/>
      </w:rPr>
    </w:lvl>
    <w:lvl w:ilvl="1" w:tplc="8C32D266" w:tentative="1">
      <w:start w:val="1"/>
      <w:numFmt w:val="lowerLetter"/>
      <w:lvlText w:val="%2."/>
      <w:lvlJc w:val="left"/>
      <w:pPr>
        <w:ind w:left="1080" w:hanging="360"/>
      </w:pPr>
    </w:lvl>
    <w:lvl w:ilvl="2" w:tplc="47D2D672" w:tentative="1">
      <w:start w:val="1"/>
      <w:numFmt w:val="lowerRoman"/>
      <w:lvlText w:val="%3."/>
      <w:lvlJc w:val="right"/>
      <w:pPr>
        <w:ind w:left="1800" w:hanging="180"/>
      </w:pPr>
    </w:lvl>
    <w:lvl w:ilvl="3" w:tplc="82E89840" w:tentative="1">
      <w:start w:val="1"/>
      <w:numFmt w:val="decimal"/>
      <w:lvlText w:val="%4."/>
      <w:lvlJc w:val="left"/>
      <w:pPr>
        <w:ind w:left="2520" w:hanging="360"/>
      </w:pPr>
    </w:lvl>
    <w:lvl w:ilvl="4" w:tplc="6368F0D2" w:tentative="1">
      <w:start w:val="1"/>
      <w:numFmt w:val="lowerLetter"/>
      <w:lvlText w:val="%5."/>
      <w:lvlJc w:val="left"/>
      <w:pPr>
        <w:ind w:left="3240" w:hanging="360"/>
      </w:pPr>
    </w:lvl>
    <w:lvl w:ilvl="5" w:tplc="4D62061A" w:tentative="1">
      <w:start w:val="1"/>
      <w:numFmt w:val="lowerRoman"/>
      <w:lvlText w:val="%6."/>
      <w:lvlJc w:val="right"/>
      <w:pPr>
        <w:ind w:left="3960" w:hanging="180"/>
      </w:pPr>
    </w:lvl>
    <w:lvl w:ilvl="6" w:tplc="672A2610" w:tentative="1">
      <w:start w:val="1"/>
      <w:numFmt w:val="decimal"/>
      <w:lvlText w:val="%7."/>
      <w:lvlJc w:val="left"/>
      <w:pPr>
        <w:ind w:left="4680" w:hanging="360"/>
      </w:pPr>
    </w:lvl>
    <w:lvl w:ilvl="7" w:tplc="9EF6CAA0" w:tentative="1">
      <w:start w:val="1"/>
      <w:numFmt w:val="lowerLetter"/>
      <w:lvlText w:val="%8."/>
      <w:lvlJc w:val="left"/>
      <w:pPr>
        <w:ind w:left="5400" w:hanging="360"/>
      </w:pPr>
    </w:lvl>
    <w:lvl w:ilvl="8" w:tplc="F4562816" w:tentative="1">
      <w:start w:val="1"/>
      <w:numFmt w:val="lowerRoman"/>
      <w:lvlText w:val="%9."/>
      <w:lvlJc w:val="right"/>
      <w:pPr>
        <w:ind w:left="6120" w:hanging="180"/>
      </w:pPr>
    </w:lvl>
  </w:abstractNum>
  <w:abstractNum w:abstractNumId="2" w15:restartNumberingAfterBreak="0">
    <w:nsid w:val="18D976EB"/>
    <w:multiLevelType w:val="hybridMultilevel"/>
    <w:tmpl w:val="EA2E7264"/>
    <w:lvl w:ilvl="0" w:tplc="E9D0751C">
      <w:start w:val="1"/>
      <w:numFmt w:val="bullet"/>
      <w:lvlText w:val=""/>
      <w:lvlJc w:val="left"/>
      <w:pPr>
        <w:ind w:left="360" w:hanging="360"/>
      </w:pPr>
      <w:rPr>
        <w:rFonts w:ascii="Symbol" w:hAnsi="Symbol" w:hint="default"/>
      </w:rPr>
    </w:lvl>
    <w:lvl w:ilvl="1" w:tplc="534C13BC" w:tentative="1">
      <w:start w:val="1"/>
      <w:numFmt w:val="bullet"/>
      <w:lvlText w:val="o"/>
      <w:lvlJc w:val="left"/>
      <w:pPr>
        <w:ind w:left="1080" w:hanging="360"/>
      </w:pPr>
      <w:rPr>
        <w:rFonts w:ascii="Courier New" w:hAnsi="Courier New" w:cs="Courier New" w:hint="default"/>
      </w:rPr>
    </w:lvl>
    <w:lvl w:ilvl="2" w:tplc="9716B08E" w:tentative="1">
      <w:start w:val="1"/>
      <w:numFmt w:val="bullet"/>
      <w:lvlText w:val=""/>
      <w:lvlJc w:val="left"/>
      <w:pPr>
        <w:ind w:left="1800" w:hanging="360"/>
      </w:pPr>
      <w:rPr>
        <w:rFonts w:ascii="Wingdings" w:hAnsi="Wingdings" w:hint="default"/>
      </w:rPr>
    </w:lvl>
    <w:lvl w:ilvl="3" w:tplc="B5A2A28E" w:tentative="1">
      <w:start w:val="1"/>
      <w:numFmt w:val="bullet"/>
      <w:lvlText w:val=""/>
      <w:lvlJc w:val="left"/>
      <w:pPr>
        <w:ind w:left="2520" w:hanging="360"/>
      </w:pPr>
      <w:rPr>
        <w:rFonts w:ascii="Symbol" w:hAnsi="Symbol" w:hint="default"/>
      </w:rPr>
    </w:lvl>
    <w:lvl w:ilvl="4" w:tplc="9D6836E8" w:tentative="1">
      <w:start w:val="1"/>
      <w:numFmt w:val="bullet"/>
      <w:lvlText w:val="o"/>
      <w:lvlJc w:val="left"/>
      <w:pPr>
        <w:ind w:left="3240" w:hanging="360"/>
      </w:pPr>
      <w:rPr>
        <w:rFonts w:ascii="Courier New" w:hAnsi="Courier New" w:cs="Courier New" w:hint="default"/>
      </w:rPr>
    </w:lvl>
    <w:lvl w:ilvl="5" w:tplc="C85E4844" w:tentative="1">
      <w:start w:val="1"/>
      <w:numFmt w:val="bullet"/>
      <w:lvlText w:val=""/>
      <w:lvlJc w:val="left"/>
      <w:pPr>
        <w:ind w:left="3960" w:hanging="360"/>
      </w:pPr>
      <w:rPr>
        <w:rFonts w:ascii="Wingdings" w:hAnsi="Wingdings" w:hint="default"/>
      </w:rPr>
    </w:lvl>
    <w:lvl w:ilvl="6" w:tplc="AE3A6450" w:tentative="1">
      <w:start w:val="1"/>
      <w:numFmt w:val="bullet"/>
      <w:lvlText w:val=""/>
      <w:lvlJc w:val="left"/>
      <w:pPr>
        <w:ind w:left="4680" w:hanging="360"/>
      </w:pPr>
      <w:rPr>
        <w:rFonts w:ascii="Symbol" w:hAnsi="Symbol" w:hint="default"/>
      </w:rPr>
    </w:lvl>
    <w:lvl w:ilvl="7" w:tplc="B212D48E" w:tentative="1">
      <w:start w:val="1"/>
      <w:numFmt w:val="bullet"/>
      <w:lvlText w:val="o"/>
      <w:lvlJc w:val="left"/>
      <w:pPr>
        <w:ind w:left="5400" w:hanging="360"/>
      </w:pPr>
      <w:rPr>
        <w:rFonts w:ascii="Courier New" w:hAnsi="Courier New" w:cs="Courier New" w:hint="default"/>
      </w:rPr>
    </w:lvl>
    <w:lvl w:ilvl="8" w:tplc="DECCC806" w:tentative="1">
      <w:start w:val="1"/>
      <w:numFmt w:val="bullet"/>
      <w:lvlText w:val=""/>
      <w:lvlJc w:val="left"/>
      <w:pPr>
        <w:ind w:left="6120" w:hanging="360"/>
      </w:pPr>
      <w:rPr>
        <w:rFonts w:ascii="Wingdings" w:hAnsi="Wingdings" w:hint="default"/>
      </w:rPr>
    </w:lvl>
  </w:abstractNum>
  <w:abstractNum w:abstractNumId="3" w15:restartNumberingAfterBreak="0">
    <w:nsid w:val="1D71282B"/>
    <w:multiLevelType w:val="hybridMultilevel"/>
    <w:tmpl w:val="7C623126"/>
    <w:lvl w:ilvl="0" w:tplc="A96AF88C">
      <w:start w:val="1"/>
      <w:numFmt w:val="bullet"/>
      <w:lvlText w:val=""/>
      <w:lvlJc w:val="left"/>
      <w:pPr>
        <w:ind w:left="360" w:hanging="360"/>
      </w:pPr>
      <w:rPr>
        <w:rFonts w:ascii="Symbol" w:hAnsi="Symbol" w:hint="default"/>
      </w:rPr>
    </w:lvl>
    <w:lvl w:ilvl="1" w:tplc="A53EC03A" w:tentative="1">
      <w:start w:val="1"/>
      <w:numFmt w:val="bullet"/>
      <w:lvlText w:val="o"/>
      <w:lvlJc w:val="left"/>
      <w:pPr>
        <w:ind w:left="1080" w:hanging="360"/>
      </w:pPr>
      <w:rPr>
        <w:rFonts w:ascii="Courier New" w:hAnsi="Courier New" w:cs="Courier New" w:hint="default"/>
      </w:rPr>
    </w:lvl>
    <w:lvl w:ilvl="2" w:tplc="E1B2173E" w:tentative="1">
      <w:start w:val="1"/>
      <w:numFmt w:val="bullet"/>
      <w:lvlText w:val=""/>
      <w:lvlJc w:val="left"/>
      <w:pPr>
        <w:ind w:left="1800" w:hanging="360"/>
      </w:pPr>
      <w:rPr>
        <w:rFonts w:ascii="Wingdings" w:hAnsi="Wingdings" w:hint="default"/>
      </w:rPr>
    </w:lvl>
    <w:lvl w:ilvl="3" w:tplc="0B2258CE" w:tentative="1">
      <w:start w:val="1"/>
      <w:numFmt w:val="bullet"/>
      <w:lvlText w:val=""/>
      <w:lvlJc w:val="left"/>
      <w:pPr>
        <w:ind w:left="2520" w:hanging="360"/>
      </w:pPr>
      <w:rPr>
        <w:rFonts w:ascii="Symbol" w:hAnsi="Symbol" w:hint="default"/>
      </w:rPr>
    </w:lvl>
    <w:lvl w:ilvl="4" w:tplc="72F6BC7E" w:tentative="1">
      <w:start w:val="1"/>
      <w:numFmt w:val="bullet"/>
      <w:lvlText w:val="o"/>
      <w:lvlJc w:val="left"/>
      <w:pPr>
        <w:ind w:left="3240" w:hanging="360"/>
      </w:pPr>
      <w:rPr>
        <w:rFonts w:ascii="Courier New" w:hAnsi="Courier New" w:cs="Courier New" w:hint="default"/>
      </w:rPr>
    </w:lvl>
    <w:lvl w:ilvl="5" w:tplc="AA9E1BD0" w:tentative="1">
      <w:start w:val="1"/>
      <w:numFmt w:val="bullet"/>
      <w:lvlText w:val=""/>
      <w:lvlJc w:val="left"/>
      <w:pPr>
        <w:ind w:left="3960" w:hanging="360"/>
      </w:pPr>
      <w:rPr>
        <w:rFonts w:ascii="Wingdings" w:hAnsi="Wingdings" w:hint="default"/>
      </w:rPr>
    </w:lvl>
    <w:lvl w:ilvl="6" w:tplc="48BCAEB4" w:tentative="1">
      <w:start w:val="1"/>
      <w:numFmt w:val="bullet"/>
      <w:lvlText w:val=""/>
      <w:lvlJc w:val="left"/>
      <w:pPr>
        <w:ind w:left="4680" w:hanging="360"/>
      </w:pPr>
      <w:rPr>
        <w:rFonts w:ascii="Symbol" w:hAnsi="Symbol" w:hint="default"/>
      </w:rPr>
    </w:lvl>
    <w:lvl w:ilvl="7" w:tplc="B28E655E" w:tentative="1">
      <w:start w:val="1"/>
      <w:numFmt w:val="bullet"/>
      <w:lvlText w:val="o"/>
      <w:lvlJc w:val="left"/>
      <w:pPr>
        <w:ind w:left="5400" w:hanging="360"/>
      </w:pPr>
      <w:rPr>
        <w:rFonts w:ascii="Courier New" w:hAnsi="Courier New" w:cs="Courier New" w:hint="default"/>
      </w:rPr>
    </w:lvl>
    <w:lvl w:ilvl="8" w:tplc="375C4338" w:tentative="1">
      <w:start w:val="1"/>
      <w:numFmt w:val="bullet"/>
      <w:lvlText w:val=""/>
      <w:lvlJc w:val="left"/>
      <w:pPr>
        <w:ind w:left="6120" w:hanging="360"/>
      </w:pPr>
      <w:rPr>
        <w:rFonts w:ascii="Wingdings" w:hAnsi="Wingdings" w:hint="default"/>
      </w:rPr>
    </w:lvl>
  </w:abstractNum>
  <w:abstractNum w:abstractNumId="4" w15:restartNumberingAfterBreak="0">
    <w:nsid w:val="35A35E36"/>
    <w:multiLevelType w:val="hybridMultilevel"/>
    <w:tmpl w:val="FAAEA578"/>
    <w:lvl w:ilvl="0" w:tplc="17264A6A">
      <w:start w:val="1"/>
      <w:numFmt w:val="bullet"/>
      <w:lvlText w:val=""/>
      <w:lvlJc w:val="left"/>
      <w:pPr>
        <w:ind w:left="360" w:hanging="360"/>
      </w:pPr>
      <w:rPr>
        <w:rFonts w:ascii="Wingdings" w:hAnsi="Wingdings" w:hint="default"/>
      </w:rPr>
    </w:lvl>
    <w:lvl w:ilvl="1" w:tplc="160415A6" w:tentative="1">
      <w:start w:val="1"/>
      <w:numFmt w:val="bullet"/>
      <w:lvlText w:val="o"/>
      <w:lvlJc w:val="left"/>
      <w:pPr>
        <w:ind w:left="1080" w:hanging="360"/>
      </w:pPr>
      <w:rPr>
        <w:rFonts w:ascii="Courier New" w:hAnsi="Courier New" w:cs="Courier New" w:hint="default"/>
      </w:rPr>
    </w:lvl>
    <w:lvl w:ilvl="2" w:tplc="003EC2F2" w:tentative="1">
      <w:start w:val="1"/>
      <w:numFmt w:val="bullet"/>
      <w:lvlText w:val=""/>
      <w:lvlJc w:val="left"/>
      <w:pPr>
        <w:ind w:left="1800" w:hanging="360"/>
      </w:pPr>
      <w:rPr>
        <w:rFonts w:ascii="Wingdings" w:hAnsi="Wingdings" w:hint="default"/>
      </w:rPr>
    </w:lvl>
    <w:lvl w:ilvl="3" w:tplc="4D82E3E4" w:tentative="1">
      <w:start w:val="1"/>
      <w:numFmt w:val="bullet"/>
      <w:lvlText w:val=""/>
      <w:lvlJc w:val="left"/>
      <w:pPr>
        <w:ind w:left="2520" w:hanging="360"/>
      </w:pPr>
      <w:rPr>
        <w:rFonts w:ascii="Symbol" w:hAnsi="Symbol" w:hint="default"/>
      </w:rPr>
    </w:lvl>
    <w:lvl w:ilvl="4" w:tplc="3F52B1CA" w:tentative="1">
      <w:start w:val="1"/>
      <w:numFmt w:val="bullet"/>
      <w:lvlText w:val="o"/>
      <w:lvlJc w:val="left"/>
      <w:pPr>
        <w:ind w:left="3240" w:hanging="360"/>
      </w:pPr>
      <w:rPr>
        <w:rFonts w:ascii="Courier New" w:hAnsi="Courier New" w:cs="Courier New" w:hint="default"/>
      </w:rPr>
    </w:lvl>
    <w:lvl w:ilvl="5" w:tplc="1672725A" w:tentative="1">
      <w:start w:val="1"/>
      <w:numFmt w:val="bullet"/>
      <w:lvlText w:val=""/>
      <w:lvlJc w:val="left"/>
      <w:pPr>
        <w:ind w:left="3960" w:hanging="360"/>
      </w:pPr>
      <w:rPr>
        <w:rFonts w:ascii="Wingdings" w:hAnsi="Wingdings" w:hint="default"/>
      </w:rPr>
    </w:lvl>
    <w:lvl w:ilvl="6" w:tplc="7218924E" w:tentative="1">
      <w:start w:val="1"/>
      <w:numFmt w:val="bullet"/>
      <w:lvlText w:val=""/>
      <w:lvlJc w:val="left"/>
      <w:pPr>
        <w:ind w:left="4680" w:hanging="360"/>
      </w:pPr>
      <w:rPr>
        <w:rFonts w:ascii="Symbol" w:hAnsi="Symbol" w:hint="default"/>
      </w:rPr>
    </w:lvl>
    <w:lvl w:ilvl="7" w:tplc="4198F932" w:tentative="1">
      <w:start w:val="1"/>
      <w:numFmt w:val="bullet"/>
      <w:lvlText w:val="o"/>
      <w:lvlJc w:val="left"/>
      <w:pPr>
        <w:ind w:left="5400" w:hanging="360"/>
      </w:pPr>
      <w:rPr>
        <w:rFonts w:ascii="Courier New" w:hAnsi="Courier New" w:cs="Courier New" w:hint="default"/>
      </w:rPr>
    </w:lvl>
    <w:lvl w:ilvl="8" w:tplc="9996AD14" w:tentative="1">
      <w:start w:val="1"/>
      <w:numFmt w:val="bullet"/>
      <w:lvlText w:val=""/>
      <w:lvlJc w:val="left"/>
      <w:pPr>
        <w:ind w:left="6120" w:hanging="360"/>
      </w:pPr>
      <w:rPr>
        <w:rFonts w:ascii="Wingdings" w:hAnsi="Wingdings" w:hint="default"/>
      </w:rPr>
    </w:lvl>
  </w:abstractNum>
  <w:abstractNum w:abstractNumId="5" w15:restartNumberingAfterBreak="0">
    <w:nsid w:val="3850065C"/>
    <w:multiLevelType w:val="hybridMultilevel"/>
    <w:tmpl w:val="C52A75DA"/>
    <w:lvl w:ilvl="0" w:tplc="A712D9AE">
      <w:start w:val="1"/>
      <w:numFmt w:val="hebrew1"/>
      <w:pStyle w:val="raz1"/>
      <w:lvlText w:val="%1."/>
      <w:lvlJc w:val="left"/>
      <w:pPr>
        <w:ind w:left="360" w:hanging="360"/>
      </w:pPr>
      <w:rPr>
        <w:rFonts w:hint="default"/>
        <w:b w:val="0"/>
        <w:bCs/>
        <w:sz w:val="28"/>
        <w:szCs w:val="28"/>
        <w:u w:val="single"/>
      </w:rPr>
    </w:lvl>
    <w:lvl w:ilvl="1" w:tplc="8D706322" w:tentative="1">
      <w:start w:val="1"/>
      <w:numFmt w:val="lowerLetter"/>
      <w:lvlText w:val="%2."/>
      <w:lvlJc w:val="left"/>
      <w:pPr>
        <w:ind w:left="1080" w:hanging="360"/>
      </w:pPr>
    </w:lvl>
    <w:lvl w:ilvl="2" w:tplc="7B9C980C" w:tentative="1">
      <w:start w:val="1"/>
      <w:numFmt w:val="lowerRoman"/>
      <w:lvlText w:val="%3."/>
      <w:lvlJc w:val="right"/>
      <w:pPr>
        <w:ind w:left="1800" w:hanging="180"/>
      </w:pPr>
    </w:lvl>
    <w:lvl w:ilvl="3" w:tplc="9D3A4B08" w:tentative="1">
      <w:start w:val="1"/>
      <w:numFmt w:val="decimal"/>
      <w:lvlText w:val="%4."/>
      <w:lvlJc w:val="left"/>
      <w:pPr>
        <w:ind w:left="2520" w:hanging="360"/>
      </w:pPr>
    </w:lvl>
    <w:lvl w:ilvl="4" w:tplc="C78AA848" w:tentative="1">
      <w:start w:val="1"/>
      <w:numFmt w:val="lowerLetter"/>
      <w:lvlText w:val="%5."/>
      <w:lvlJc w:val="left"/>
      <w:pPr>
        <w:ind w:left="3240" w:hanging="360"/>
      </w:pPr>
    </w:lvl>
    <w:lvl w:ilvl="5" w:tplc="737AAF3E" w:tentative="1">
      <w:start w:val="1"/>
      <w:numFmt w:val="lowerRoman"/>
      <w:lvlText w:val="%6."/>
      <w:lvlJc w:val="right"/>
      <w:pPr>
        <w:ind w:left="3960" w:hanging="180"/>
      </w:pPr>
    </w:lvl>
    <w:lvl w:ilvl="6" w:tplc="63FE72F2" w:tentative="1">
      <w:start w:val="1"/>
      <w:numFmt w:val="decimal"/>
      <w:lvlText w:val="%7."/>
      <w:lvlJc w:val="left"/>
      <w:pPr>
        <w:ind w:left="4680" w:hanging="360"/>
      </w:pPr>
    </w:lvl>
    <w:lvl w:ilvl="7" w:tplc="41861688" w:tentative="1">
      <w:start w:val="1"/>
      <w:numFmt w:val="lowerLetter"/>
      <w:lvlText w:val="%8."/>
      <w:lvlJc w:val="left"/>
      <w:pPr>
        <w:ind w:left="5400" w:hanging="360"/>
      </w:pPr>
    </w:lvl>
    <w:lvl w:ilvl="8" w:tplc="E214C512" w:tentative="1">
      <w:start w:val="1"/>
      <w:numFmt w:val="lowerRoman"/>
      <w:lvlText w:val="%9."/>
      <w:lvlJc w:val="right"/>
      <w:pPr>
        <w:ind w:left="6120" w:hanging="180"/>
      </w:pPr>
    </w:lvl>
  </w:abstractNum>
  <w:abstractNum w:abstractNumId="6" w15:restartNumberingAfterBreak="0">
    <w:nsid w:val="3D1056D3"/>
    <w:multiLevelType w:val="multilevel"/>
    <w:tmpl w:val="CA0CAA3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rPr>
    </w:lvl>
    <w:lvl w:ilvl="2">
      <w:start w:val="1"/>
      <w:numFmt w:val="hebrew1"/>
      <w:lvlText w:val="%3."/>
      <w:lvlJc w:val="center"/>
      <w:pPr>
        <w:ind w:left="1287"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58167EFB"/>
    <w:multiLevelType w:val="multilevel"/>
    <w:tmpl w:val="CA0CAA3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rPr>
    </w:lvl>
    <w:lvl w:ilvl="2">
      <w:start w:val="1"/>
      <w:numFmt w:val="hebrew1"/>
      <w:lvlText w:val="%3."/>
      <w:lvlJc w:val="center"/>
      <w:pPr>
        <w:ind w:left="1287"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64124ED9"/>
    <w:multiLevelType w:val="multilevel"/>
    <w:tmpl w:val="5E8A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E333C"/>
    <w:multiLevelType w:val="hybridMultilevel"/>
    <w:tmpl w:val="6A743CB4"/>
    <w:lvl w:ilvl="0" w:tplc="BABEAFDA">
      <w:start w:val="1"/>
      <w:numFmt w:val="bullet"/>
      <w:lvlText w:val=""/>
      <w:lvlJc w:val="left"/>
      <w:pPr>
        <w:ind w:left="360" w:hanging="360"/>
      </w:pPr>
      <w:rPr>
        <w:rFonts w:ascii="Wingdings" w:hAnsi="Wingdings" w:hint="default"/>
      </w:rPr>
    </w:lvl>
    <w:lvl w:ilvl="1" w:tplc="B1B4F54C" w:tentative="1">
      <w:start w:val="1"/>
      <w:numFmt w:val="bullet"/>
      <w:lvlText w:val="o"/>
      <w:lvlJc w:val="left"/>
      <w:pPr>
        <w:ind w:left="1080" w:hanging="360"/>
      </w:pPr>
      <w:rPr>
        <w:rFonts w:ascii="Courier New" w:hAnsi="Courier New" w:cs="Courier New" w:hint="default"/>
      </w:rPr>
    </w:lvl>
    <w:lvl w:ilvl="2" w:tplc="13503D66" w:tentative="1">
      <w:start w:val="1"/>
      <w:numFmt w:val="bullet"/>
      <w:lvlText w:val=""/>
      <w:lvlJc w:val="left"/>
      <w:pPr>
        <w:ind w:left="1800" w:hanging="360"/>
      </w:pPr>
      <w:rPr>
        <w:rFonts w:ascii="Wingdings" w:hAnsi="Wingdings" w:hint="default"/>
      </w:rPr>
    </w:lvl>
    <w:lvl w:ilvl="3" w:tplc="C55E276C" w:tentative="1">
      <w:start w:val="1"/>
      <w:numFmt w:val="bullet"/>
      <w:lvlText w:val=""/>
      <w:lvlJc w:val="left"/>
      <w:pPr>
        <w:ind w:left="2520" w:hanging="360"/>
      </w:pPr>
      <w:rPr>
        <w:rFonts w:ascii="Symbol" w:hAnsi="Symbol" w:hint="default"/>
      </w:rPr>
    </w:lvl>
    <w:lvl w:ilvl="4" w:tplc="A918A38A" w:tentative="1">
      <w:start w:val="1"/>
      <w:numFmt w:val="bullet"/>
      <w:lvlText w:val="o"/>
      <w:lvlJc w:val="left"/>
      <w:pPr>
        <w:ind w:left="3240" w:hanging="360"/>
      </w:pPr>
      <w:rPr>
        <w:rFonts w:ascii="Courier New" w:hAnsi="Courier New" w:cs="Courier New" w:hint="default"/>
      </w:rPr>
    </w:lvl>
    <w:lvl w:ilvl="5" w:tplc="6B701D20" w:tentative="1">
      <w:start w:val="1"/>
      <w:numFmt w:val="bullet"/>
      <w:lvlText w:val=""/>
      <w:lvlJc w:val="left"/>
      <w:pPr>
        <w:ind w:left="3960" w:hanging="360"/>
      </w:pPr>
      <w:rPr>
        <w:rFonts w:ascii="Wingdings" w:hAnsi="Wingdings" w:hint="default"/>
      </w:rPr>
    </w:lvl>
    <w:lvl w:ilvl="6" w:tplc="B0B49B58" w:tentative="1">
      <w:start w:val="1"/>
      <w:numFmt w:val="bullet"/>
      <w:lvlText w:val=""/>
      <w:lvlJc w:val="left"/>
      <w:pPr>
        <w:ind w:left="4680" w:hanging="360"/>
      </w:pPr>
      <w:rPr>
        <w:rFonts w:ascii="Symbol" w:hAnsi="Symbol" w:hint="default"/>
      </w:rPr>
    </w:lvl>
    <w:lvl w:ilvl="7" w:tplc="F93AB28A" w:tentative="1">
      <w:start w:val="1"/>
      <w:numFmt w:val="bullet"/>
      <w:lvlText w:val="o"/>
      <w:lvlJc w:val="left"/>
      <w:pPr>
        <w:ind w:left="5400" w:hanging="360"/>
      </w:pPr>
      <w:rPr>
        <w:rFonts w:ascii="Courier New" w:hAnsi="Courier New" w:cs="Courier New" w:hint="default"/>
      </w:rPr>
    </w:lvl>
    <w:lvl w:ilvl="8" w:tplc="D8049A08" w:tentative="1">
      <w:start w:val="1"/>
      <w:numFmt w:val="bullet"/>
      <w:lvlText w:val=""/>
      <w:lvlJc w:val="left"/>
      <w:pPr>
        <w:ind w:left="6120" w:hanging="360"/>
      </w:pPr>
      <w:rPr>
        <w:rFonts w:ascii="Wingdings" w:hAnsi="Wingdings" w:hint="default"/>
      </w:rPr>
    </w:lvl>
  </w:abstractNum>
  <w:abstractNum w:abstractNumId="10" w15:restartNumberingAfterBreak="0">
    <w:nsid w:val="7E986D83"/>
    <w:multiLevelType w:val="hybridMultilevel"/>
    <w:tmpl w:val="064CCD48"/>
    <w:lvl w:ilvl="0" w:tplc="A1104D74">
      <w:start w:val="1"/>
      <w:numFmt w:val="decimal"/>
      <w:lvlText w:val="%1."/>
      <w:lvlJc w:val="left"/>
      <w:pPr>
        <w:ind w:left="720" w:hanging="360"/>
      </w:pPr>
      <w:rPr>
        <w:rFonts w:hint="default"/>
      </w:rPr>
    </w:lvl>
    <w:lvl w:ilvl="1" w:tplc="D9260D98" w:tentative="1">
      <w:start w:val="1"/>
      <w:numFmt w:val="bullet"/>
      <w:lvlText w:val="o"/>
      <w:lvlJc w:val="left"/>
      <w:pPr>
        <w:ind w:left="1440" w:hanging="360"/>
      </w:pPr>
      <w:rPr>
        <w:rFonts w:ascii="Courier New" w:hAnsi="Courier New" w:cs="Courier New" w:hint="default"/>
      </w:rPr>
    </w:lvl>
    <w:lvl w:ilvl="2" w:tplc="C87CD30C" w:tentative="1">
      <w:start w:val="1"/>
      <w:numFmt w:val="bullet"/>
      <w:lvlText w:val=""/>
      <w:lvlJc w:val="left"/>
      <w:pPr>
        <w:ind w:left="2160" w:hanging="360"/>
      </w:pPr>
      <w:rPr>
        <w:rFonts w:ascii="Wingdings" w:hAnsi="Wingdings" w:hint="default"/>
      </w:rPr>
    </w:lvl>
    <w:lvl w:ilvl="3" w:tplc="1DCA5362" w:tentative="1">
      <w:start w:val="1"/>
      <w:numFmt w:val="bullet"/>
      <w:lvlText w:val=""/>
      <w:lvlJc w:val="left"/>
      <w:pPr>
        <w:ind w:left="2880" w:hanging="360"/>
      </w:pPr>
      <w:rPr>
        <w:rFonts w:ascii="Symbol" w:hAnsi="Symbol" w:hint="default"/>
      </w:rPr>
    </w:lvl>
    <w:lvl w:ilvl="4" w:tplc="346C5DDE" w:tentative="1">
      <w:start w:val="1"/>
      <w:numFmt w:val="bullet"/>
      <w:lvlText w:val="o"/>
      <w:lvlJc w:val="left"/>
      <w:pPr>
        <w:ind w:left="3600" w:hanging="360"/>
      </w:pPr>
      <w:rPr>
        <w:rFonts w:ascii="Courier New" w:hAnsi="Courier New" w:cs="Courier New" w:hint="default"/>
      </w:rPr>
    </w:lvl>
    <w:lvl w:ilvl="5" w:tplc="78BE7774" w:tentative="1">
      <w:start w:val="1"/>
      <w:numFmt w:val="bullet"/>
      <w:lvlText w:val=""/>
      <w:lvlJc w:val="left"/>
      <w:pPr>
        <w:ind w:left="4320" w:hanging="360"/>
      </w:pPr>
      <w:rPr>
        <w:rFonts w:ascii="Wingdings" w:hAnsi="Wingdings" w:hint="default"/>
      </w:rPr>
    </w:lvl>
    <w:lvl w:ilvl="6" w:tplc="3AC2B2F6" w:tentative="1">
      <w:start w:val="1"/>
      <w:numFmt w:val="bullet"/>
      <w:lvlText w:val=""/>
      <w:lvlJc w:val="left"/>
      <w:pPr>
        <w:ind w:left="5040" w:hanging="360"/>
      </w:pPr>
      <w:rPr>
        <w:rFonts w:ascii="Symbol" w:hAnsi="Symbol" w:hint="default"/>
      </w:rPr>
    </w:lvl>
    <w:lvl w:ilvl="7" w:tplc="188069B2" w:tentative="1">
      <w:start w:val="1"/>
      <w:numFmt w:val="bullet"/>
      <w:lvlText w:val="o"/>
      <w:lvlJc w:val="left"/>
      <w:pPr>
        <w:ind w:left="5760" w:hanging="360"/>
      </w:pPr>
      <w:rPr>
        <w:rFonts w:ascii="Courier New" w:hAnsi="Courier New" w:cs="Courier New" w:hint="default"/>
      </w:rPr>
    </w:lvl>
    <w:lvl w:ilvl="8" w:tplc="6DE2D8D6"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4"/>
  </w:num>
  <w:num w:numId="6">
    <w:abstractNumId w:val="5"/>
  </w:num>
  <w:num w:numId="7">
    <w:abstractNumId w:val="9"/>
  </w:num>
  <w:num w:numId="8">
    <w:abstractNumId w:val="3"/>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84"/>
    <w:rsid w:val="000444DE"/>
    <w:rsid w:val="000800C6"/>
    <w:rsid w:val="00087D21"/>
    <w:rsid w:val="000955C9"/>
    <w:rsid w:val="000B0F23"/>
    <w:rsid w:val="000C4D59"/>
    <w:rsid w:val="000D050F"/>
    <w:rsid w:val="000E5B31"/>
    <w:rsid w:val="001013B8"/>
    <w:rsid w:val="00196CD9"/>
    <w:rsid w:val="001E739A"/>
    <w:rsid w:val="00207458"/>
    <w:rsid w:val="0024545F"/>
    <w:rsid w:val="002C2B28"/>
    <w:rsid w:val="002F1A42"/>
    <w:rsid w:val="002F1F39"/>
    <w:rsid w:val="0030499D"/>
    <w:rsid w:val="0038005D"/>
    <w:rsid w:val="0038787D"/>
    <w:rsid w:val="00390F44"/>
    <w:rsid w:val="003B5B64"/>
    <w:rsid w:val="003E6B0D"/>
    <w:rsid w:val="00403A6A"/>
    <w:rsid w:val="00447E8C"/>
    <w:rsid w:val="004E0A06"/>
    <w:rsid w:val="005228F4"/>
    <w:rsid w:val="005232D0"/>
    <w:rsid w:val="00523703"/>
    <w:rsid w:val="00532BF4"/>
    <w:rsid w:val="0054480F"/>
    <w:rsid w:val="005B7AC1"/>
    <w:rsid w:val="005C738D"/>
    <w:rsid w:val="005D1508"/>
    <w:rsid w:val="005E343E"/>
    <w:rsid w:val="0060185B"/>
    <w:rsid w:val="006046A8"/>
    <w:rsid w:val="00630DE9"/>
    <w:rsid w:val="00645089"/>
    <w:rsid w:val="00661EDC"/>
    <w:rsid w:val="006962D0"/>
    <w:rsid w:val="0069715F"/>
    <w:rsid w:val="006B0279"/>
    <w:rsid w:val="006C46B3"/>
    <w:rsid w:val="006D1C01"/>
    <w:rsid w:val="007547B9"/>
    <w:rsid w:val="00873D3B"/>
    <w:rsid w:val="00891435"/>
    <w:rsid w:val="008E0589"/>
    <w:rsid w:val="008E2D97"/>
    <w:rsid w:val="008F540A"/>
    <w:rsid w:val="00914877"/>
    <w:rsid w:val="009173A2"/>
    <w:rsid w:val="009277D9"/>
    <w:rsid w:val="00935A8D"/>
    <w:rsid w:val="00966DD4"/>
    <w:rsid w:val="009936F8"/>
    <w:rsid w:val="00996B65"/>
    <w:rsid w:val="009A40B5"/>
    <w:rsid w:val="009B05C5"/>
    <w:rsid w:val="009B73D8"/>
    <w:rsid w:val="009C167A"/>
    <w:rsid w:val="009C22EE"/>
    <w:rsid w:val="00A02740"/>
    <w:rsid w:val="00A10D4A"/>
    <w:rsid w:val="00A35D48"/>
    <w:rsid w:val="00A46004"/>
    <w:rsid w:val="00AD1AD4"/>
    <w:rsid w:val="00AE6B52"/>
    <w:rsid w:val="00B13E92"/>
    <w:rsid w:val="00B30619"/>
    <w:rsid w:val="00B549A9"/>
    <w:rsid w:val="00B5732C"/>
    <w:rsid w:val="00B955C0"/>
    <w:rsid w:val="00BB0122"/>
    <w:rsid w:val="00BB40CE"/>
    <w:rsid w:val="00BB48AB"/>
    <w:rsid w:val="00C30A9E"/>
    <w:rsid w:val="00C31EB3"/>
    <w:rsid w:val="00C502F5"/>
    <w:rsid w:val="00C60C48"/>
    <w:rsid w:val="00C72A6E"/>
    <w:rsid w:val="00CA0EDE"/>
    <w:rsid w:val="00D415B0"/>
    <w:rsid w:val="00D615D2"/>
    <w:rsid w:val="00D70744"/>
    <w:rsid w:val="00D74DB8"/>
    <w:rsid w:val="00D9449B"/>
    <w:rsid w:val="00DA7973"/>
    <w:rsid w:val="00DC19C9"/>
    <w:rsid w:val="00DD0D84"/>
    <w:rsid w:val="00DD6B59"/>
    <w:rsid w:val="00DF37FE"/>
    <w:rsid w:val="00E04702"/>
    <w:rsid w:val="00E2230A"/>
    <w:rsid w:val="00E747D8"/>
    <w:rsid w:val="00E75D9B"/>
    <w:rsid w:val="00E92861"/>
    <w:rsid w:val="00EB7CF2"/>
    <w:rsid w:val="00EF06D5"/>
    <w:rsid w:val="00F0324B"/>
    <w:rsid w:val="00F3550C"/>
    <w:rsid w:val="00F9417D"/>
    <w:rsid w:val="00FA1A33"/>
    <w:rsid w:val="00FD1E39"/>
    <w:rsid w:val="00FF2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3F817"/>
  <w15:chartTrackingRefBased/>
  <w15:docId w15:val="{D2C9D270-4C34-4A4D-B3E8-0366AC35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DD0D8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D0D84"/>
    <w:rPr>
      <w:rFonts w:ascii="Times New Roman" w:eastAsia="Times New Roman" w:hAnsi="Times New Roman" w:cs="Times New Roman"/>
      <w:b/>
      <w:bCs/>
      <w:kern w:val="36"/>
      <w:sz w:val="48"/>
      <w:szCs w:val="48"/>
    </w:rPr>
  </w:style>
  <w:style w:type="paragraph" w:styleId="NormalWeb">
    <w:name w:val="Normal (Web)"/>
    <w:basedOn w:val="a"/>
    <w:uiPriority w:val="99"/>
    <w:semiHidden/>
    <w:unhideWhenUsed/>
    <w:rsid w:val="00DD0D8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4">
    <w:name w:val="mb-4"/>
    <w:basedOn w:val="a"/>
    <w:rsid w:val="00DD0D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D0D84"/>
    <w:rPr>
      <w:b/>
      <w:bCs/>
    </w:rPr>
  </w:style>
  <w:style w:type="paragraph" w:styleId="a4">
    <w:name w:val="footnote text"/>
    <w:basedOn w:val="a"/>
    <w:link w:val="a5"/>
    <w:uiPriority w:val="99"/>
    <w:unhideWhenUsed/>
    <w:rsid w:val="00DD0D8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טקסט הערת שוליים תו"/>
    <w:basedOn w:val="a0"/>
    <w:link w:val="a4"/>
    <w:uiPriority w:val="99"/>
    <w:rsid w:val="00DD0D84"/>
    <w:rPr>
      <w:rFonts w:ascii="Times New Roman" w:eastAsia="Times New Roman" w:hAnsi="Times New Roman" w:cs="Times New Roman"/>
      <w:sz w:val="24"/>
      <w:szCs w:val="24"/>
    </w:rPr>
  </w:style>
  <w:style w:type="paragraph" w:styleId="a6">
    <w:name w:val="No Spacing"/>
    <w:link w:val="a7"/>
    <w:uiPriority w:val="1"/>
    <w:qFormat/>
    <w:rsid w:val="001013B8"/>
    <w:pPr>
      <w:bidi/>
      <w:spacing w:after="0" w:line="240" w:lineRule="auto"/>
    </w:pPr>
    <w:rPr>
      <w:rFonts w:ascii="Calibri" w:eastAsia="Calibri" w:hAnsi="Calibri" w:cs="Arial"/>
    </w:rPr>
  </w:style>
  <w:style w:type="character" w:customStyle="1" w:styleId="a7">
    <w:name w:val="ללא מרווח תו"/>
    <w:basedOn w:val="a0"/>
    <w:link w:val="a6"/>
    <w:uiPriority w:val="1"/>
    <w:rsid w:val="001013B8"/>
    <w:rPr>
      <w:rFonts w:ascii="Calibri" w:eastAsia="Calibri" w:hAnsi="Calibri" w:cs="Arial"/>
    </w:rPr>
  </w:style>
  <w:style w:type="paragraph" w:styleId="a8">
    <w:name w:val="List Paragraph"/>
    <w:aliases w:val="גוף 2,פיסקת רשימה12,פיסקת רשימה121,פיסקת רשימה2,פיסקת רשימה11,LP1,LP11,LP111,LP112,LP12,LP121,LP13,LP14,List Paragraph_0,List Paragraph_01,List Paragraph_011,List Paragraph_02,List Paragraph_021,List Paragraph_03,List Paragraph_1"/>
    <w:basedOn w:val="a"/>
    <w:link w:val="a9"/>
    <w:uiPriority w:val="34"/>
    <w:qFormat/>
    <w:rsid w:val="009B05C5"/>
    <w:pPr>
      <w:ind w:left="720"/>
      <w:contextualSpacing/>
    </w:pPr>
  </w:style>
  <w:style w:type="character" w:styleId="aa">
    <w:name w:val="footnote reference"/>
    <w:aliases w:val="Footnote Reference_0,Footnote Reference_1,Footnote Reference_2,Footnote Reference_3"/>
    <w:uiPriority w:val="99"/>
    <w:unhideWhenUsed/>
    <w:rsid w:val="009B05C5"/>
    <w:rPr>
      <w:vertAlign w:val="superscript"/>
    </w:rPr>
  </w:style>
  <w:style w:type="character" w:customStyle="1" w:styleId="a9">
    <w:name w:val="פיסקת רשימה תו"/>
    <w:aliases w:val="גוף 2 תו,פיסקת רשימה12 תו,פיסקת רשימה121 תו,פיסקת רשימה2 תו,פיסקת רשימה11 תו,LP1 תו,LP11 תו,LP111 תו,LP112 תו,LP12 תו,LP121 תו,LP13 תו,LP14 תו,List Paragraph_0 תו,List Paragraph_01 תו,List Paragraph_011 תו,List Paragraph_02 תו"/>
    <w:link w:val="a8"/>
    <w:uiPriority w:val="34"/>
    <w:qFormat/>
    <w:rsid w:val="009B05C5"/>
  </w:style>
  <w:style w:type="table" w:styleId="ab">
    <w:name w:val="Table Grid"/>
    <w:basedOn w:val="a1"/>
    <w:uiPriority w:val="39"/>
    <w:rsid w:val="002F1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F1A42"/>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2F1A42"/>
    <w:rPr>
      <w:rFonts w:ascii="Tahoma" w:hAnsi="Tahoma" w:cs="Tahoma"/>
      <w:sz w:val="18"/>
      <w:szCs w:val="18"/>
    </w:rPr>
  </w:style>
  <w:style w:type="character" w:styleId="ae">
    <w:name w:val="annotation reference"/>
    <w:basedOn w:val="a0"/>
    <w:uiPriority w:val="99"/>
    <w:semiHidden/>
    <w:unhideWhenUsed/>
    <w:rsid w:val="002C2B28"/>
    <w:rPr>
      <w:sz w:val="16"/>
      <w:szCs w:val="16"/>
    </w:rPr>
  </w:style>
  <w:style w:type="paragraph" w:styleId="af">
    <w:name w:val="annotation text"/>
    <w:basedOn w:val="a"/>
    <w:link w:val="af0"/>
    <w:uiPriority w:val="99"/>
    <w:semiHidden/>
    <w:unhideWhenUsed/>
    <w:rsid w:val="002C2B28"/>
    <w:pPr>
      <w:spacing w:line="240" w:lineRule="auto"/>
    </w:pPr>
    <w:rPr>
      <w:sz w:val="20"/>
      <w:szCs w:val="20"/>
    </w:rPr>
  </w:style>
  <w:style w:type="character" w:customStyle="1" w:styleId="af0">
    <w:name w:val="טקסט הערה תו"/>
    <w:basedOn w:val="a0"/>
    <w:link w:val="af"/>
    <w:uiPriority w:val="99"/>
    <w:semiHidden/>
    <w:rsid w:val="002C2B28"/>
    <w:rPr>
      <w:sz w:val="20"/>
      <w:szCs w:val="20"/>
    </w:rPr>
  </w:style>
  <w:style w:type="paragraph" w:styleId="af1">
    <w:name w:val="annotation subject"/>
    <w:basedOn w:val="af"/>
    <w:next w:val="af"/>
    <w:link w:val="af2"/>
    <w:uiPriority w:val="99"/>
    <w:semiHidden/>
    <w:unhideWhenUsed/>
    <w:rsid w:val="002C2B28"/>
    <w:rPr>
      <w:b/>
      <w:bCs/>
    </w:rPr>
  </w:style>
  <w:style w:type="character" w:customStyle="1" w:styleId="af2">
    <w:name w:val="נושא הערה תו"/>
    <w:basedOn w:val="af0"/>
    <w:link w:val="af1"/>
    <w:uiPriority w:val="99"/>
    <w:semiHidden/>
    <w:rsid w:val="002C2B28"/>
    <w:rPr>
      <w:b/>
      <w:bCs/>
      <w:sz w:val="20"/>
      <w:szCs w:val="20"/>
    </w:rPr>
  </w:style>
  <w:style w:type="paragraph" w:styleId="af3">
    <w:name w:val="Revision"/>
    <w:hidden/>
    <w:uiPriority w:val="99"/>
    <w:semiHidden/>
    <w:rsid w:val="002C2B28"/>
    <w:pPr>
      <w:spacing w:after="0" w:line="240" w:lineRule="auto"/>
    </w:pPr>
  </w:style>
  <w:style w:type="paragraph" w:styleId="af4">
    <w:name w:val="header"/>
    <w:basedOn w:val="a"/>
    <w:link w:val="af5"/>
    <w:uiPriority w:val="99"/>
    <w:unhideWhenUsed/>
    <w:rsid w:val="00FD1E39"/>
    <w:pPr>
      <w:tabs>
        <w:tab w:val="center" w:pos="4153"/>
        <w:tab w:val="right" w:pos="8306"/>
      </w:tabs>
      <w:spacing w:after="0" w:line="240" w:lineRule="auto"/>
    </w:pPr>
  </w:style>
  <w:style w:type="character" w:customStyle="1" w:styleId="af5">
    <w:name w:val="כותרת עליונה תו"/>
    <w:basedOn w:val="a0"/>
    <w:link w:val="af4"/>
    <w:uiPriority w:val="99"/>
    <w:rsid w:val="00FD1E39"/>
  </w:style>
  <w:style w:type="paragraph" w:styleId="af6">
    <w:name w:val="footer"/>
    <w:basedOn w:val="a"/>
    <w:link w:val="af7"/>
    <w:uiPriority w:val="99"/>
    <w:unhideWhenUsed/>
    <w:rsid w:val="00FD1E39"/>
    <w:pPr>
      <w:tabs>
        <w:tab w:val="center" w:pos="4153"/>
        <w:tab w:val="right" w:pos="8306"/>
      </w:tabs>
      <w:spacing w:after="0" w:line="240" w:lineRule="auto"/>
    </w:pPr>
  </w:style>
  <w:style w:type="character" w:customStyle="1" w:styleId="af7">
    <w:name w:val="כותרת תחתונה תו"/>
    <w:basedOn w:val="a0"/>
    <w:link w:val="af6"/>
    <w:uiPriority w:val="99"/>
    <w:rsid w:val="00FD1E39"/>
  </w:style>
  <w:style w:type="paragraph" w:customStyle="1" w:styleId="raz1">
    <w:name w:val="raz1"/>
    <w:basedOn w:val="a8"/>
    <w:qFormat/>
    <w:rsid w:val="000B0F23"/>
    <w:pPr>
      <w:numPr>
        <w:numId w:val="6"/>
      </w:numPr>
      <w:jc w:val="both"/>
    </w:pPr>
    <w:rPr>
      <w:rFonts w:ascii="David" w:eastAsia="Calibri" w:hAnsi="David" w:cs="David"/>
      <w:b/>
      <w:bCs/>
      <w:sz w:val="28"/>
      <w:szCs w:val="28"/>
      <w:u w:val="single"/>
    </w:rPr>
  </w:style>
  <w:style w:type="character" w:styleId="af8">
    <w:name w:val="Subtle Reference"/>
    <w:basedOn w:val="a0"/>
    <w:uiPriority w:val="31"/>
    <w:qFormat/>
    <w:rsid w:val="00087D2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912</Words>
  <Characters>4564</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ISA</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לירון בן עמוס</dc:creator>
  <cp:lastModifiedBy>לירון בן עמוס</cp:lastModifiedBy>
  <cp:revision>5</cp:revision>
  <dcterms:created xsi:type="dcterms:W3CDTF">2026-06-24T06:05:00Z</dcterms:created>
  <dcterms:modified xsi:type="dcterms:W3CDTF">2026-06-24T06:10:00Z</dcterms:modified>
</cp:coreProperties>
</file>