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23" w:rsidRPr="003D2D35" w:rsidRDefault="00194123" w:rsidP="00194123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631"/>
        <w:bidiVisual/>
        <w:tblW w:w="9725" w:type="dxa"/>
        <w:tblLayout w:type="fixed"/>
        <w:tblLook w:val="04A0" w:firstRow="1" w:lastRow="0" w:firstColumn="1" w:lastColumn="0" w:noHBand="0" w:noVBand="1"/>
      </w:tblPr>
      <w:tblGrid>
        <w:gridCol w:w="3636"/>
        <w:gridCol w:w="2783"/>
        <w:gridCol w:w="3306"/>
      </w:tblGrid>
      <w:tr w:rsidR="00194123" w:rsidRPr="003D2D35" w:rsidTr="00422183">
        <w:trPr>
          <w:cantSplit/>
          <w:trHeight w:val="4180"/>
        </w:trPr>
        <w:tc>
          <w:tcPr>
            <w:tcW w:w="3636" w:type="dxa"/>
            <w:vAlign w:val="center"/>
            <w:hideMark/>
          </w:tcPr>
          <w:p w:rsidR="00194123" w:rsidRPr="003D2D35" w:rsidRDefault="00194123" w:rsidP="00422183">
            <w:pPr>
              <w:spacing w:after="16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3D2D35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בנק ישראל</w:t>
            </w:r>
          </w:p>
          <w:p w:rsidR="00194123" w:rsidRPr="003D2D35" w:rsidRDefault="00194123" w:rsidP="00422183">
            <w:pPr>
              <w:spacing w:after="160" w:line="360" w:lineRule="auto"/>
              <w:ind w:right="-10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D2D35">
              <w:rPr>
                <w:rFonts w:ascii="Calibri" w:eastAsia="Calibri" w:hAnsi="Calibri" w:cs="Calibri"/>
                <w:sz w:val="24"/>
                <w:szCs w:val="24"/>
                <w:rtl/>
              </w:rPr>
              <w:t>דוברות והסברה כלכלית</w:t>
            </w:r>
          </w:p>
        </w:tc>
        <w:tc>
          <w:tcPr>
            <w:tcW w:w="2783" w:type="dxa"/>
            <w:hideMark/>
          </w:tcPr>
          <w:p w:rsidR="00194123" w:rsidRPr="003D2D35" w:rsidRDefault="00194123" w:rsidP="00422183">
            <w:pPr>
              <w:spacing w:after="16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D2D35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59209A7F" wp14:editId="52D3CDFB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887095</wp:posOffset>
                  </wp:positionV>
                  <wp:extent cx="1050925" cy="1050925"/>
                  <wp:effectExtent l="0" t="0" r="0" b="0"/>
                  <wp:wrapSquare wrapText="bothSides"/>
                  <wp:docPr id="397949842" name="Picture 2" descr="A logo with a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949842" name="Picture 2" descr="A logo with a symbo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05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06" w:type="dxa"/>
            <w:vAlign w:val="center"/>
            <w:hideMark/>
          </w:tcPr>
          <w:p w:rsidR="00194123" w:rsidRPr="003D2D35" w:rsidRDefault="00194123" w:rsidP="009D7C95">
            <w:pPr>
              <w:spacing w:after="16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3D2D35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‏ ירושלים, </w:t>
            </w:r>
            <w:r w:rsidR="009D7C95">
              <w:rPr>
                <w:rFonts w:ascii="Calibri" w:eastAsia="Calibri" w:hAnsi="Calibri" w:cs="Calibri" w:hint="cs"/>
                <w:sz w:val="24"/>
                <w:szCs w:val="24"/>
                <w:rtl/>
              </w:rPr>
              <w:t>י"ד</w:t>
            </w:r>
            <w:r w:rsidRPr="003D2D35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באב</w:t>
            </w:r>
            <w:r w:rsidRPr="003D2D35">
              <w:rPr>
                <w:rFonts w:ascii="Calibri" w:eastAsia="Calibri" w:hAnsi="Calibri" w:cs="Calibri"/>
                <w:sz w:val="24"/>
                <w:szCs w:val="24"/>
                <w:rtl/>
              </w:rPr>
              <w:t>, תשפ"</w:t>
            </w:r>
            <w:r w:rsidRPr="003D2D35">
              <w:rPr>
                <w:rFonts w:ascii="Calibri" w:eastAsia="Calibri" w:hAnsi="Calibri" w:cs="Calibri" w:hint="cs"/>
                <w:sz w:val="24"/>
                <w:szCs w:val="24"/>
                <w:rtl/>
              </w:rPr>
              <w:t>ו</w:t>
            </w:r>
          </w:p>
          <w:p w:rsidR="00194123" w:rsidRPr="003D2D35" w:rsidRDefault="00194123" w:rsidP="009D7C95">
            <w:pPr>
              <w:spacing w:after="16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 w:rsidRPr="003D2D35">
              <w:rPr>
                <w:rFonts w:ascii="Calibri" w:eastAsia="Calibri" w:hAnsi="Calibri" w:cs="Calibri"/>
                <w:sz w:val="24"/>
                <w:szCs w:val="24"/>
                <w:rtl/>
              </w:rPr>
              <w:t>‏‏‏‏‏‏</w:t>
            </w:r>
            <w:r w:rsidRPr="003D2D3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9D7C95">
              <w:rPr>
                <w:rFonts w:ascii="Calibri" w:eastAsia="Calibri" w:hAnsi="Calibri" w:cs="Calibri" w:hint="cs"/>
                <w:sz w:val="24"/>
                <w:szCs w:val="24"/>
                <w:rtl/>
              </w:rPr>
              <w:t>28</w:t>
            </w:r>
            <w:r w:rsidRPr="003D2D35"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 ביולי</w:t>
            </w:r>
            <w:r w:rsidRPr="003D2D35">
              <w:rPr>
                <w:rFonts w:ascii="Calibri" w:eastAsia="Calibri" w:hAnsi="Calibri" w:cs="Calibri"/>
                <w:sz w:val="24"/>
                <w:szCs w:val="24"/>
                <w:rtl/>
              </w:rPr>
              <w:t>, 202</w:t>
            </w:r>
            <w:r w:rsidRPr="003D2D35">
              <w:rPr>
                <w:rFonts w:ascii="Calibri" w:eastAsia="Calibri" w:hAnsi="Calibri" w:cs="Calibri" w:hint="cs"/>
                <w:sz w:val="24"/>
                <w:szCs w:val="24"/>
                <w:rtl/>
              </w:rPr>
              <w:t>6</w:t>
            </w:r>
          </w:p>
        </w:tc>
      </w:tr>
    </w:tbl>
    <w:p w:rsidR="002A3011" w:rsidRDefault="002A3011" w:rsidP="002A3011">
      <w:pPr>
        <w:tabs>
          <w:tab w:val="left" w:pos="2315"/>
        </w:tabs>
        <w:jc w:val="both"/>
        <w:rPr>
          <w:rFonts w:ascii="Calibri" w:hAnsi="Calibri" w:cs="Calibri"/>
          <w:b/>
          <w:bCs/>
          <w:sz w:val="28"/>
          <w:szCs w:val="28"/>
          <w:rtl/>
        </w:rPr>
      </w:pPr>
      <w:r w:rsidRPr="009005BA">
        <w:rPr>
          <w:rFonts w:ascii="Calibri" w:hAnsi="Calibri" w:cs="Calibri"/>
          <w:sz w:val="24"/>
          <w:szCs w:val="24"/>
          <w:rtl/>
        </w:rPr>
        <w:t>הודעה לעיתונות: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2A3011" w:rsidRDefault="002A3011" w:rsidP="002A3011">
      <w:pPr>
        <w:spacing w:line="36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  <w:rtl/>
        </w:rPr>
      </w:pPr>
      <w:r w:rsidRPr="00542E3A">
        <w:rPr>
          <w:rFonts w:ascii="Calibri" w:eastAsia="Calibri" w:hAnsi="Calibri" w:cs="Calibri"/>
          <w:b/>
          <w:bCs/>
          <w:sz w:val="28"/>
          <w:szCs w:val="28"/>
          <w:rtl/>
        </w:rPr>
        <w:t xml:space="preserve">הדיווח התקופתי אודות מחירי השירותים הבנקאיים הנפוצים למשקי הבית, </w:t>
      </w:r>
      <w:r>
        <w:rPr>
          <w:rFonts w:ascii="Calibri" w:eastAsia="Calibri" w:hAnsi="Calibri" w:cs="Calibri" w:hint="cs"/>
          <w:b/>
          <w:bCs/>
          <w:sz w:val="28"/>
          <w:szCs w:val="28"/>
          <w:rtl/>
        </w:rPr>
        <w:t>ל</w:t>
      </w:r>
      <w:r w:rsidRPr="00542E3A">
        <w:rPr>
          <w:rFonts w:ascii="Calibri" w:eastAsia="Calibri" w:hAnsi="Calibri" w:cs="Calibri"/>
          <w:b/>
          <w:bCs/>
          <w:sz w:val="28"/>
          <w:szCs w:val="28"/>
          <w:rtl/>
        </w:rPr>
        <w:t>שנת</w:t>
      </w:r>
      <w:r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2025</w:t>
      </w:r>
    </w:p>
    <w:p w:rsidR="002A3011" w:rsidRDefault="002A3011" w:rsidP="00A04AC3">
      <w:pPr>
        <w:spacing w:line="360" w:lineRule="auto"/>
        <w:ind w:left="5"/>
        <w:jc w:val="both"/>
        <w:rPr>
          <w:rFonts w:cstheme="minorHAnsi"/>
          <w:sz w:val="24"/>
          <w:szCs w:val="24"/>
          <w:rtl/>
        </w:rPr>
      </w:pPr>
      <w:r w:rsidRPr="00542E3A">
        <w:rPr>
          <w:rFonts w:cs="Calibri"/>
          <w:color w:val="000000"/>
          <w:sz w:val="24"/>
          <w:szCs w:val="24"/>
          <w:shd w:val="clear" w:color="auto" w:fill="FFFFFF"/>
          <w:rtl/>
        </w:rPr>
        <w:t xml:space="preserve">הפיקוח על הבנקים </w:t>
      </w:r>
      <w:r>
        <w:rPr>
          <w:rFonts w:cs="Calibri" w:hint="cs"/>
          <w:color w:val="000000"/>
          <w:sz w:val="24"/>
          <w:szCs w:val="24"/>
          <w:shd w:val="clear" w:color="auto" w:fill="FFFFFF"/>
          <w:rtl/>
        </w:rPr>
        <w:t>ה</w:t>
      </w:r>
      <w:r w:rsidRPr="00542E3A">
        <w:rPr>
          <w:rFonts w:cs="Calibri"/>
          <w:color w:val="000000"/>
          <w:sz w:val="24"/>
          <w:szCs w:val="24"/>
          <w:shd w:val="clear" w:color="auto" w:fill="FFFFFF"/>
          <w:rtl/>
        </w:rPr>
        <w:t>גיש היום לוועדת הכלכלה של הכנסת את הדיווח התקופתי</w:t>
      </w:r>
      <w:r>
        <w:rPr>
          <w:rFonts w:cs="Calibri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10642A">
        <w:rPr>
          <w:rFonts w:cstheme="minorHAnsi"/>
          <w:sz w:val="24"/>
          <w:szCs w:val="24"/>
          <w:rtl/>
        </w:rPr>
        <w:t>לשנת 2025 אודות מחירי השירותים הבנקאיים הנפוצים למשקי הבית.</w:t>
      </w:r>
      <w:r w:rsidRPr="0010642A">
        <w:rPr>
          <w:rFonts w:cstheme="minorHAnsi"/>
          <w:b/>
          <w:bCs/>
          <w:sz w:val="24"/>
          <w:szCs w:val="24"/>
          <w:rtl/>
        </w:rPr>
        <w:t xml:space="preserve"> </w:t>
      </w:r>
      <w:r w:rsidRPr="0010642A">
        <w:rPr>
          <w:rFonts w:cstheme="minorHAnsi"/>
          <w:sz w:val="24"/>
          <w:szCs w:val="24"/>
          <w:rtl/>
        </w:rPr>
        <w:t xml:space="preserve">הדוח מבוסס על </w:t>
      </w:r>
      <w:proofErr w:type="spellStart"/>
      <w:r w:rsidRPr="0010642A">
        <w:rPr>
          <w:rFonts w:cstheme="minorHAnsi"/>
          <w:sz w:val="24"/>
          <w:szCs w:val="24"/>
          <w:rtl/>
        </w:rPr>
        <w:t>דיו</w:t>
      </w:r>
      <w:r>
        <w:rPr>
          <w:rFonts w:cstheme="minorHAnsi" w:hint="cs"/>
          <w:sz w:val="24"/>
          <w:szCs w:val="24"/>
          <w:rtl/>
        </w:rPr>
        <w:t>י</w:t>
      </w:r>
      <w:r w:rsidRPr="0010642A">
        <w:rPr>
          <w:rFonts w:cstheme="minorHAnsi"/>
          <w:sz w:val="24"/>
          <w:szCs w:val="24"/>
          <w:rtl/>
        </w:rPr>
        <w:t>וחי</w:t>
      </w:r>
      <w:proofErr w:type="spellEnd"/>
      <w:r w:rsidRPr="0010642A">
        <w:rPr>
          <w:rFonts w:cstheme="minorHAnsi"/>
          <w:sz w:val="24"/>
          <w:szCs w:val="24"/>
          <w:rtl/>
        </w:rPr>
        <w:t xml:space="preserve"> התאגידים הבנקאיים וחברות כרטיסי האשראי על עמלות שנגבו במהלך תקופה זו.</w:t>
      </w:r>
    </w:p>
    <w:p w:rsidR="002A3011" w:rsidRDefault="002A3011" w:rsidP="00D64394">
      <w:pPr>
        <w:spacing w:line="360" w:lineRule="auto"/>
        <w:ind w:left="5"/>
        <w:jc w:val="both"/>
        <w:rPr>
          <w:rFonts w:cs="Calibri"/>
          <w:sz w:val="24"/>
          <w:szCs w:val="24"/>
          <w:rtl/>
        </w:rPr>
      </w:pPr>
      <w:r w:rsidRPr="009005BA">
        <w:rPr>
          <w:rFonts w:cs="Calibri"/>
          <w:b/>
          <w:bCs/>
          <w:color w:val="000000"/>
          <w:sz w:val="24"/>
          <w:szCs w:val="24"/>
          <w:shd w:val="clear" w:color="auto" w:fill="FFFFFF"/>
          <w:rtl/>
        </w:rPr>
        <w:t xml:space="preserve">המפקח על הבנקים, מר דניאל חחיאשוילי: </w:t>
      </w:r>
      <w:r>
        <w:rPr>
          <w:rFonts w:cstheme="minorHAnsi" w:hint="cs"/>
          <w:sz w:val="24"/>
          <w:szCs w:val="24"/>
          <w:rtl/>
        </w:rPr>
        <w:t>"</w:t>
      </w:r>
      <w:r w:rsidRPr="00F020F6">
        <w:rPr>
          <w:rFonts w:cs="Calibri"/>
          <w:sz w:val="24"/>
          <w:szCs w:val="24"/>
          <w:rtl/>
        </w:rPr>
        <w:t>תחום העמלות נמצא ב</w:t>
      </w:r>
      <w:r>
        <w:rPr>
          <w:rFonts w:cs="Calibri"/>
          <w:sz w:val="24"/>
          <w:szCs w:val="24"/>
          <w:rtl/>
        </w:rPr>
        <w:t>מוקד העשייה של הפיקוח על הבנקים</w:t>
      </w:r>
      <w:r>
        <w:rPr>
          <w:rFonts w:cs="Calibri" w:hint="cs"/>
          <w:sz w:val="24"/>
          <w:szCs w:val="24"/>
          <w:rtl/>
        </w:rPr>
        <w:t xml:space="preserve"> ו</w:t>
      </w:r>
      <w:r w:rsidRPr="00816493">
        <w:rPr>
          <w:rFonts w:cs="Calibri"/>
          <w:sz w:val="24"/>
          <w:szCs w:val="24"/>
          <w:rtl/>
        </w:rPr>
        <w:t xml:space="preserve">בשנים האחרונות הפיקוח פועל </w:t>
      </w:r>
      <w:r>
        <w:rPr>
          <w:rFonts w:cs="Calibri" w:hint="cs"/>
          <w:sz w:val="24"/>
          <w:szCs w:val="24"/>
          <w:rtl/>
        </w:rPr>
        <w:t xml:space="preserve">רבות </w:t>
      </w:r>
      <w:r w:rsidRPr="00816493">
        <w:rPr>
          <w:rFonts w:cs="Calibri"/>
          <w:sz w:val="24"/>
          <w:szCs w:val="24"/>
          <w:rtl/>
        </w:rPr>
        <w:t xml:space="preserve">להגברת </w:t>
      </w:r>
      <w:r>
        <w:rPr>
          <w:rFonts w:cs="Calibri" w:hint="cs"/>
          <w:sz w:val="24"/>
          <w:szCs w:val="24"/>
          <w:rtl/>
        </w:rPr>
        <w:t xml:space="preserve">ההוגנות, </w:t>
      </w:r>
      <w:r w:rsidRPr="00816493">
        <w:rPr>
          <w:rFonts w:cs="Calibri"/>
          <w:sz w:val="24"/>
          <w:szCs w:val="24"/>
          <w:rtl/>
        </w:rPr>
        <w:t xml:space="preserve">הבהירות והשקיפות במחירי השירותים הבנקאיים. אגב כך </w:t>
      </w:r>
      <w:r w:rsidRPr="00816493">
        <w:rPr>
          <w:rFonts w:cs="Calibri" w:hint="cs"/>
          <w:sz w:val="24"/>
          <w:szCs w:val="24"/>
          <w:rtl/>
        </w:rPr>
        <w:t>מקודמים צעדים רבים בנושא</w:t>
      </w:r>
      <w:r>
        <w:rPr>
          <w:rFonts w:cs="Calibri" w:hint="cs"/>
          <w:sz w:val="24"/>
          <w:szCs w:val="24"/>
          <w:rtl/>
        </w:rPr>
        <w:t>, כדוגמת</w:t>
      </w:r>
      <w:r w:rsidRPr="00F3767D">
        <w:rPr>
          <w:rFonts w:cs="Calibri" w:hint="cs"/>
          <w:sz w:val="24"/>
          <w:szCs w:val="24"/>
          <w:rtl/>
        </w:rPr>
        <w:t xml:space="preserve"> </w:t>
      </w:r>
      <w:r w:rsidRPr="00F020F6">
        <w:rPr>
          <w:rFonts w:cs="Calibri" w:hint="cs"/>
          <w:sz w:val="24"/>
          <w:szCs w:val="24"/>
          <w:rtl/>
        </w:rPr>
        <w:t xml:space="preserve">הרפורמה בתחום העמלות הנגבות ממשקי בית ועסקים קטנים על שירותי ניהול חשבון תשלום וכרטיס חיוב </w:t>
      </w:r>
      <w:proofErr w:type="spellStart"/>
      <w:r w:rsidRPr="00F020F6">
        <w:rPr>
          <w:rFonts w:cs="Calibri" w:hint="cs"/>
          <w:sz w:val="24"/>
          <w:szCs w:val="24"/>
          <w:rtl/>
        </w:rPr>
        <w:t>מייד</w:t>
      </w:r>
      <w:r>
        <w:rPr>
          <w:rFonts w:cs="Calibri" w:hint="cs"/>
          <w:sz w:val="24"/>
          <w:szCs w:val="24"/>
          <w:rtl/>
        </w:rPr>
        <w:t>י</w:t>
      </w:r>
      <w:proofErr w:type="spellEnd"/>
      <w:r>
        <w:rPr>
          <w:rFonts w:cs="Calibri"/>
          <w:sz w:val="24"/>
          <w:szCs w:val="24"/>
          <w:rtl/>
        </w:rPr>
        <w:footnoteReference w:id="1"/>
      </w:r>
      <w:r w:rsidRPr="00F020F6">
        <w:rPr>
          <w:rFonts w:cs="Calibri" w:hint="cs"/>
          <w:sz w:val="24"/>
          <w:szCs w:val="24"/>
          <w:rtl/>
        </w:rPr>
        <w:t xml:space="preserve"> </w:t>
      </w:r>
      <w:r>
        <w:rPr>
          <w:rFonts w:cs="Calibri" w:hint="cs"/>
          <w:sz w:val="24"/>
          <w:szCs w:val="24"/>
          <w:rtl/>
        </w:rPr>
        <w:t>ופרסום מסקנות</w:t>
      </w:r>
      <w:r w:rsidRPr="00F020F6">
        <w:rPr>
          <w:rFonts w:cs="Calibri"/>
          <w:sz w:val="24"/>
          <w:szCs w:val="24"/>
          <w:rtl/>
        </w:rPr>
        <w:t xml:space="preserve"> צוות מודלי תגמול בניירות ערך</w:t>
      </w:r>
      <w:r>
        <w:rPr>
          <w:rFonts w:cs="Calibri" w:hint="cs"/>
          <w:sz w:val="24"/>
          <w:szCs w:val="24"/>
          <w:rtl/>
        </w:rPr>
        <w:t>,</w:t>
      </w:r>
      <w:r w:rsidRPr="00F020F6">
        <w:rPr>
          <w:rFonts w:cs="Calibri"/>
          <w:sz w:val="24"/>
          <w:szCs w:val="24"/>
          <w:rtl/>
        </w:rPr>
        <w:t xml:space="preserve"> אשר בו היו חברים רשות ניירות ערך, אגף תקציבים והפיקוח על הבנקים</w:t>
      </w:r>
      <w:r w:rsidRPr="00F020F6">
        <w:rPr>
          <w:rFonts w:cs="Calibri"/>
          <w:sz w:val="24"/>
          <w:szCs w:val="24"/>
          <w:vertAlign w:val="superscript"/>
          <w:rtl/>
        </w:rPr>
        <w:footnoteReference w:id="2"/>
      </w:r>
      <w:r w:rsidR="00D64394">
        <w:rPr>
          <w:rFonts w:cs="Calibri"/>
          <w:sz w:val="24"/>
          <w:szCs w:val="24"/>
          <w:rtl/>
        </w:rPr>
        <w:t>.</w:t>
      </w:r>
      <w:bookmarkStart w:id="0" w:name="_GoBack"/>
      <w:bookmarkEnd w:id="0"/>
      <w:r>
        <w:rPr>
          <w:rFonts w:cs="Calibri" w:hint="cs"/>
          <w:sz w:val="24"/>
          <w:szCs w:val="24"/>
          <w:rtl/>
        </w:rPr>
        <w:t>"</w:t>
      </w:r>
    </w:p>
    <w:p w:rsidR="002A3011" w:rsidRDefault="002A3011" w:rsidP="002A3011">
      <w:pPr>
        <w:spacing w:line="360" w:lineRule="auto"/>
        <w:ind w:left="5"/>
        <w:jc w:val="both"/>
        <w:rPr>
          <w:rFonts w:cs="Calibri"/>
          <w:sz w:val="24"/>
          <w:szCs w:val="24"/>
          <w:rtl/>
        </w:rPr>
      </w:pPr>
    </w:p>
    <w:p w:rsidR="00A04AC3" w:rsidRDefault="00A04AC3" w:rsidP="002A3011">
      <w:pPr>
        <w:spacing w:line="360" w:lineRule="auto"/>
        <w:ind w:left="5"/>
        <w:jc w:val="both"/>
        <w:rPr>
          <w:rFonts w:cs="Calibri"/>
          <w:sz w:val="24"/>
          <w:szCs w:val="24"/>
          <w:rtl/>
        </w:rPr>
      </w:pPr>
    </w:p>
    <w:p w:rsidR="002A3011" w:rsidRPr="00350E5A" w:rsidRDefault="002A3011" w:rsidP="002A3011">
      <w:pPr>
        <w:spacing w:line="360" w:lineRule="auto"/>
        <w:ind w:left="5"/>
        <w:jc w:val="both"/>
        <w:rPr>
          <w:rFonts w:cs="Calibri"/>
          <w:sz w:val="24"/>
          <w:szCs w:val="24"/>
          <w:rtl/>
        </w:rPr>
      </w:pPr>
      <w:r>
        <w:rPr>
          <w:rFonts w:cs="Calibri" w:hint="cs"/>
          <w:sz w:val="24"/>
          <w:szCs w:val="24"/>
          <w:rtl/>
        </w:rPr>
        <w:t>בשנה החולפת</w:t>
      </w:r>
      <w:r>
        <w:rPr>
          <w:rFonts w:cs="Calibri"/>
          <w:sz w:val="24"/>
          <w:szCs w:val="24"/>
          <w:rtl/>
        </w:rPr>
        <w:t xml:space="preserve"> </w:t>
      </w:r>
      <w:r w:rsidRPr="00350E5A">
        <w:rPr>
          <w:rFonts w:cs="Calibri"/>
          <w:sz w:val="24"/>
          <w:szCs w:val="24"/>
          <w:rtl/>
        </w:rPr>
        <w:t>קודמו</w:t>
      </w:r>
      <w:r>
        <w:rPr>
          <w:rFonts w:cs="Calibri" w:hint="cs"/>
          <w:sz w:val="24"/>
          <w:szCs w:val="24"/>
          <w:rtl/>
        </w:rPr>
        <w:t xml:space="preserve"> בין יתר הנושאים, גם </w:t>
      </w:r>
      <w:r w:rsidRPr="00350E5A">
        <w:rPr>
          <w:rFonts w:cs="Calibri"/>
          <w:sz w:val="24"/>
          <w:szCs w:val="24"/>
          <w:rtl/>
        </w:rPr>
        <w:t xml:space="preserve">הצעדים הבאים: </w:t>
      </w:r>
    </w:p>
    <w:p w:rsidR="002A3011" w:rsidRDefault="002A3011" w:rsidP="002A3011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350E5A">
        <w:rPr>
          <w:rFonts w:cs="Calibri"/>
          <w:sz w:val="24"/>
          <w:szCs w:val="24"/>
          <w:rtl/>
        </w:rPr>
        <w:lastRenderedPageBreak/>
        <w:t xml:space="preserve">בינואר נכנס לתוקף פרק חדש </w:t>
      </w:r>
      <w:r>
        <w:rPr>
          <w:rFonts w:cs="Calibri" w:hint="cs"/>
          <w:sz w:val="24"/>
          <w:szCs w:val="24"/>
          <w:rtl/>
        </w:rPr>
        <w:t>ב</w:t>
      </w:r>
      <w:r w:rsidRPr="00350E5A">
        <w:rPr>
          <w:rFonts w:cs="Calibri"/>
          <w:sz w:val="24"/>
          <w:szCs w:val="24"/>
          <w:rtl/>
        </w:rPr>
        <w:t xml:space="preserve">כללי העמלות </w:t>
      </w:r>
      <w:r>
        <w:rPr>
          <w:rFonts w:cs="Calibri" w:hint="cs"/>
          <w:sz w:val="24"/>
          <w:szCs w:val="24"/>
          <w:rtl/>
        </w:rPr>
        <w:t>שנועד</w:t>
      </w:r>
      <w:r w:rsidRPr="00350E5A">
        <w:rPr>
          <w:rFonts w:cs="Calibri"/>
          <w:sz w:val="24"/>
          <w:szCs w:val="24"/>
          <w:rtl/>
        </w:rPr>
        <w:t xml:space="preserve"> לאפשר שירותים חדשניים לקבלת תשלום ולביצוע הוראות תשלום. כמו כן, נקבע שירות "דמי מנוי לשירות מיוחד" המאפשר גביית עמלה על שירותים מיוחדים, ש</w:t>
      </w:r>
      <w:r>
        <w:rPr>
          <w:rFonts w:cs="Calibri" w:hint="cs"/>
          <w:sz w:val="24"/>
          <w:szCs w:val="24"/>
          <w:rtl/>
        </w:rPr>
        <w:t>י</w:t>
      </w:r>
      <w:r w:rsidRPr="00350E5A">
        <w:rPr>
          <w:rFonts w:cs="Calibri"/>
          <w:sz w:val="24"/>
          <w:szCs w:val="24"/>
          <w:rtl/>
        </w:rPr>
        <w:t xml:space="preserve">ינתנו ללקוחות של אפליקציות התשלום שיחפצו בכך, מעבר להעברת וקבלת תשלומים. </w:t>
      </w:r>
    </w:p>
    <w:p w:rsidR="002A3011" w:rsidRPr="00350E5A" w:rsidRDefault="002A3011" w:rsidP="002A3011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350E5A">
        <w:rPr>
          <w:rFonts w:cs="Calibri"/>
          <w:sz w:val="24"/>
          <w:szCs w:val="24"/>
          <w:rtl/>
        </w:rPr>
        <w:t>בפברואר נכנס לתוקף תיקון לכללי העמלות</w:t>
      </w:r>
      <w:r>
        <w:rPr>
          <w:rFonts w:cs="Calibri" w:hint="cs"/>
          <w:sz w:val="24"/>
          <w:szCs w:val="24"/>
          <w:rtl/>
        </w:rPr>
        <w:t>,</w:t>
      </w:r>
      <w:r w:rsidRPr="00350E5A">
        <w:rPr>
          <w:rFonts w:cs="Calibri"/>
          <w:sz w:val="24"/>
          <w:szCs w:val="24"/>
          <w:rtl/>
        </w:rPr>
        <w:t xml:space="preserve"> אשר נועד להוזיל את </w:t>
      </w:r>
      <w:r>
        <w:rPr>
          <w:rFonts w:cs="Calibri" w:hint="cs"/>
          <w:sz w:val="24"/>
          <w:szCs w:val="24"/>
          <w:rtl/>
        </w:rPr>
        <w:t>מחירה של</w:t>
      </w:r>
      <w:r w:rsidRPr="00350E5A">
        <w:rPr>
          <w:rFonts w:cs="Calibri"/>
          <w:sz w:val="24"/>
          <w:szCs w:val="24"/>
          <w:rtl/>
        </w:rPr>
        <w:t xml:space="preserve"> עמלת ערבות מובטחת בפ</w:t>
      </w:r>
      <w:r>
        <w:rPr>
          <w:rFonts w:cs="Calibri" w:hint="cs"/>
          <w:sz w:val="24"/>
          <w:szCs w:val="24"/>
          <w:rtl/>
        </w:rPr>
        <w:t>י</w:t>
      </w:r>
      <w:r w:rsidRPr="00350E5A">
        <w:rPr>
          <w:rFonts w:cs="Calibri"/>
          <w:sz w:val="24"/>
          <w:szCs w:val="24"/>
          <w:rtl/>
        </w:rPr>
        <w:t>קדון כספי ספציפי</w:t>
      </w:r>
      <w:r>
        <w:rPr>
          <w:rFonts w:cs="Calibri" w:hint="cs"/>
          <w:sz w:val="24"/>
          <w:szCs w:val="24"/>
          <w:rtl/>
        </w:rPr>
        <w:t xml:space="preserve"> וכן</w:t>
      </w:r>
      <w:r w:rsidRPr="00350E5A">
        <w:rPr>
          <w:rFonts w:cs="Calibri"/>
          <w:sz w:val="24"/>
          <w:szCs w:val="24"/>
          <w:rtl/>
        </w:rPr>
        <w:t xml:space="preserve"> עודכן מנגנון הגב</w:t>
      </w:r>
      <w:r>
        <w:rPr>
          <w:rFonts w:cs="Calibri" w:hint="cs"/>
          <w:sz w:val="24"/>
          <w:szCs w:val="24"/>
          <w:rtl/>
        </w:rPr>
        <w:t>י</w:t>
      </w:r>
      <w:r w:rsidRPr="00350E5A">
        <w:rPr>
          <w:rFonts w:cs="Calibri"/>
          <w:sz w:val="24"/>
          <w:szCs w:val="24"/>
          <w:rtl/>
        </w:rPr>
        <w:t>יה ממנגנון אחוזי לסכום שקלי קבוע. כמו כן, נקבע שירות שנקרא "ערבות בנקאית המובטחת בפיקדון כספי ספציפי לצורך הסכם שכירות לדירת מגורים</w:t>
      </w:r>
      <w:r>
        <w:rPr>
          <w:rFonts w:cs="Calibri" w:hint="cs"/>
          <w:sz w:val="24"/>
          <w:szCs w:val="24"/>
          <w:rtl/>
        </w:rPr>
        <w:t>"</w:t>
      </w:r>
      <w:r w:rsidRPr="00350E5A">
        <w:rPr>
          <w:rFonts w:cs="Calibri"/>
          <w:sz w:val="24"/>
          <w:szCs w:val="24"/>
          <w:rtl/>
        </w:rPr>
        <w:t xml:space="preserve"> מתוך רצון להקל על שוכרי הדירות. </w:t>
      </w:r>
    </w:p>
    <w:p w:rsidR="002A3011" w:rsidRPr="00350E5A" w:rsidRDefault="002A3011" w:rsidP="002A3011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350E5A">
        <w:rPr>
          <w:rFonts w:cs="Calibri"/>
          <w:sz w:val="24"/>
          <w:szCs w:val="24"/>
          <w:rtl/>
        </w:rPr>
        <w:t xml:space="preserve">באפריל נכנס לתוקף פרק חדש </w:t>
      </w:r>
      <w:r>
        <w:rPr>
          <w:rFonts w:cs="Calibri" w:hint="cs"/>
          <w:sz w:val="24"/>
          <w:szCs w:val="24"/>
          <w:rtl/>
        </w:rPr>
        <w:t>ב</w:t>
      </w:r>
      <w:r w:rsidRPr="00350E5A">
        <w:rPr>
          <w:rFonts w:cs="Calibri"/>
          <w:sz w:val="24"/>
          <w:szCs w:val="24"/>
          <w:rtl/>
        </w:rPr>
        <w:t xml:space="preserve">כללי </w:t>
      </w:r>
      <w:r w:rsidRPr="00335601">
        <w:rPr>
          <w:rFonts w:cs="Calibri"/>
          <w:sz w:val="24"/>
          <w:szCs w:val="24"/>
          <w:rtl/>
        </w:rPr>
        <w:t>העמלות</w:t>
      </w:r>
      <w:r w:rsidRPr="00350E5A">
        <w:rPr>
          <w:rFonts w:cs="Calibri"/>
          <w:sz w:val="24"/>
          <w:szCs w:val="24"/>
          <w:rtl/>
        </w:rPr>
        <w:t xml:space="preserve"> בנושא "שירותי ריכוז מידע", בעקבות התפתחות תשתיות מתקדמות להעברה וקבלה של מידע אודות המוצרים הפיננסיים של לקוח בגופים פיננסיים שונים</w:t>
      </w:r>
      <w:r>
        <w:rPr>
          <w:rFonts w:cs="Calibri" w:hint="cs"/>
          <w:sz w:val="24"/>
          <w:szCs w:val="24"/>
          <w:rtl/>
        </w:rPr>
        <w:t xml:space="preserve"> ש</w:t>
      </w:r>
      <w:r w:rsidRPr="00350E5A">
        <w:rPr>
          <w:rFonts w:cs="Calibri"/>
          <w:sz w:val="24"/>
          <w:szCs w:val="24"/>
          <w:rtl/>
        </w:rPr>
        <w:t>נועד לעודד התפתחות של שירותי ריכוז מידע וניתוחם לטובת הלקוח.</w:t>
      </w:r>
      <w:r>
        <w:rPr>
          <w:rFonts w:cs="Calibri" w:hint="cs"/>
          <w:sz w:val="24"/>
          <w:szCs w:val="24"/>
          <w:rtl/>
        </w:rPr>
        <w:t>"</w:t>
      </w:r>
    </w:p>
    <w:p w:rsidR="002A3011" w:rsidRDefault="002A3011" w:rsidP="002A3011">
      <w:pPr>
        <w:spacing w:line="360" w:lineRule="auto"/>
        <w:jc w:val="both"/>
        <w:rPr>
          <w:rFonts w:cstheme="minorHAnsi"/>
          <w:b/>
          <w:bCs/>
          <w:sz w:val="24"/>
          <w:szCs w:val="24"/>
          <w:rtl/>
        </w:rPr>
      </w:pPr>
    </w:p>
    <w:p w:rsidR="002A3011" w:rsidRPr="00BB4722" w:rsidRDefault="002A3011" w:rsidP="002A3011">
      <w:pPr>
        <w:spacing w:line="360" w:lineRule="auto"/>
        <w:jc w:val="both"/>
        <w:rPr>
          <w:rFonts w:cstheme="minorHAnsi"/>
          <w:b/>
          <w:bCs/>
          <w:vanish/>
          <w:sz w:val="24"/>
          <w:szCs w:val="24"/>
          <w:rtl/>
          <w:specVanish/>
        </w:rPr>
      </w:pPr>
      <w:r w:rsidRPr="006A677C">
        <w:rPr>
          <w:rFonts w:cstheme="minorHAnsi"/>
          <w:b/>
          <w:bCs/>
          <w:sz w:val="24"/>
          <w:szCs w:val="24"/>
          <w:rtl/>
        </w:rPr>
        <w:t>להלן עיקרי הדוח:</w:t>
      </w:r>
    </w:p>
    <w:p w:rsidR="002A3011" w:rsidRPr="0087357B" w:rsidRDefault="002A3011" w:rsidP="002A3011">
      <w:pPr>
        <w:spacing w:line="360" w:lineRule="auto"/>
        <w:ind w:left="5"/>
        <w:rPr>
          <w:rFonts w:cs="Calibri"/>
          <w:sz w:val="24"/>
          <w:szCs w:val="24"/>
          <w:rtl/>
        </w:rPr>
      </w:pPr>
      <w:r>
        <w:rPr>
          <w:rFonts w:cs="Calibri"/>
          <w:sz w:val="24"/>
          <w:szCs w:val="24"/>
          <w:rtl/>
        </w:rPr>
        <w:t xml:space="preserve"> </w:t>
      </w:r>
      <w:r w:rsidRPr="0087357B">
        <w:rPr>
          <w:rFonts w:cs="Calibri"/>
          <w:sz w:val="24"/>
          <w:szCs w:val="24"/>
          <w:rtl/>
        </w:rPr>
        <w:t xml:space="preserve">בתקופת הדוח נמשכה המלחמה, בעקבותיה </w:t>
      </w:r>
      <w:r>
        <w:rPr>
          <w:rFonts w:cs="Calibri" w:hint="cs"/>
          <w:sz w:val="24"/>
          <w:szCs w:val="24"/>
          <w:rtl/>
        </w:rPr>
        <w:t>נמשכו</w:t>
      </w:r>
      <w:r w:rsidRPr="0087357B">
        <w:rPr>
          <w:rFonts w:cs="Calibri"/>
          <w:sz w:val="24"/>
          <w:szCs w:val="24"/>
          <w:rtl/>
        </w:rPr>
        <w:t xml:space="preserve"> מתווי בנק ישראל לסיוע לציבור. לא נצפו השפעות נוספות של אירועים אלו על נתוני הדוח בהשוואה לדוח הקודם.</w:t>
      </w:r>
    </w:p>
    <w:p w:rsidR="002A3011" w:rsidRPr="0087357B" w:rsidRDefault="002A3011" w:rsidP="002A3011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  <w:sz w:val="24"/>
          <w:szCs w:val="24"/>
          <w:rtl/>
        </w:rPr>
      </w:pPr>
      <w:r w:rsidRPr="0087357B">
        <w:rPr>
          <w:rFonts w:ascii="Calibri" w:hAnsi="Calibri" w:cs="Calibri"/>
          <w:sz w:val="24"/>
          <w:szCs w:val="24"/>
          <w:rtl/>
        </w:rPr>
        <w:t>סך ההכנסות מעמלות לסך הנכסים</w:t>
      </w:r>
      <w:r>
        <w:rPr>
          <w:rFonts w:ascii="Calibri" w:hAnsi="Calibri" w:cs="Calibri" w:hint="cs"/>
          <w:sz w:val="24"/>
          <w:szCs w:val="24"/>
          <w:rtl/>
        </w:rPr>
        <w:t xml:space="preserve"> נותר דומה</w:t>
      </w:r>
      <w:r w:rsidRPr="0087357B">
        <w:rPr>
          <w:rFonts w:ascii="Calibri" w:hAnsi="Calibri" w:cs="Calibri"/>
          <w:sz w:val="24"/>
          <w:szCs w:val="24"/>
          <w:rtl/>
        </w:rPr>
        <w:t>.</w:t>
      </w:r>
    </w:p>
    <w:p w:rsidR="002A3011" w:rsidRPr="0087357B" w:rsidRDefault="002A3011" w:rsidP="002A3011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87357B">
        <w:rPr>
          <w:rFonts w:ascii="Calibri" w:hAnsi="Calibri" w:cs="Calibri"/>
          <w:sz w:val="24"/>
          <w:szCs w:val="24"/>
          <w:rtl/>
        </w:rPr>
        <w:t>ההכנסות מעמלות שגבו הבנקים ממשקי בית ועסקים קטנים</w:t>
      </w:r>
      <w:r>
        <w:rPr>
          <w:rFonts w:ascii="Calibri" w:hAnsi="Calibri" w:cs="Calibri" w:hint="cs"/>
          <w:sz w:val="24"/>
          <w:szCs w:val="24"/>
          <w:rtl/>
        </w:rPr>
        <w:t xml:space="preserve"> הסתכמו</w:t>
      </w:r>
      <w:r w:rsidRPr="0087357B">
        <w:rPr>
          <w:rFonts w:ascii="Calibri" w:hAnsi="Calibri" w:cs="Calibri"/>
          <w:sz w:val="24"/>
          <w:szCs w:val="24"/>
          <w:rtl/>
        </w:rPr>
        <w:t xml:space="preserve"> ב</w:t>
      </w:r>
      <w:r w:rsidRPr="0087357B">
        <w:rPr>
          <w:rFonts w:ascii="Calibri" w:hAnsi="Calibri" w:cs="Calibri" w:hint="cs"/>
          <w:sz w:val="24"/>
          <w:szCs w:val="24"/>
          <w:rtl/>
        </w:rPr>
        <w:t>-5.7</w:t>
      </w:r>
      <w:r w:rsidRPr="0087357B">
        <w:rPr>
          <w:rFonts w:ascii="Calibri" w:hAnsi="Calibri" w:cs="Calibri"/>
          <w:sz w:val="24"/>
          <w:szCs w:val="24"/>
          <w:rtl/>
        </w:rPr>
        <w:t xml:space="preserve"> מיליארד </w:t>
      </w:r>
      <w:r w:rsidRPr="0087357B">
        <w:rPr>
          <w:rFonts w:ascii="Calibri" w:hAnsi="Calibri" w:cs="Calibri" w:hint="cs"/>
          <w:sz w:val="24"/>
          <w:szCs w:val="24"/>
          <w:rtl/>
        </w:rPr>
        <w:t>ש</w:t>
      </w:r>
      <w:r w:rsidRPr="0087357B">
        <w:rPr>
          <w:rFonts w:ascii="Calibri" w:hAnsi="Calibri" w:cs="Calibri"/>
          <w:sz w:val="24"/>
          <w:szCs w:val="24"/>
          <w:rtl/>
        </w:rPr>
        <w:t>"</w:t>
      </w:r>
      <w:r w:rsidRPr="0087357B">
        <w:rPr>
          <w:rFonts w:ascii="Calibri" w:hAnsi="Calibri" w:cs="Calibri" w:hint="cs"/>
          <w:sz w:val="24"/>
          <w:szCs w:val="24"/>
          <w:rtl/>
        </w:rPr>
        <w:t>ח,</w:t>
      </w:r>
      <w:r w:rsidRPr="0087357B">
        <w:rPr>
          <w:rFonts w:ascii="Calibri" w:hAnsi="Calibri" w:cs="Calibri"/>
          <w:sz w:val="24"/>
          <w:szCs w:val="24"/>
          <w:rtl/>
        </w:rPr>
        <w:t xml:space="preserve"> </w:t>
      </w:r>
      <w:r w:rsidRPr="0087357B">
        <w:rPr>
          <w:rFonts w:ascii="Calibri" w:hAnsi="Calibri" w:cs="Calibri" w:hint="cs"/>
          <w:sz w:val="24"/>
          <w:szCs w:val="24"/>
          <w:rtl/>
        </w:rPr>
        <w:t>לעומת 5.4 מיליארד ש</w:t>
      </w:r>
      <w:r w:rsidRPr="0087357B">
        <w:rPr>
          <w:rFonts w:ascii="Calibri" w:hAnsi="Calibri" w:cs="Calibri"/>
          <w:sz w:val="24"/>
          <w:szCs w:val="24"/>
          <w:rtl/>
        </w:rPr>
        <w:t>"</w:t>
      </w:r>
      <w:r w:rsidRPr="0087357B">
        <w:rPr>
          <w:rFonts w:ascii="Calibri" w:hAnsi="Calibri" w:cs="Calibri" w:hint="cs"/>
          <w:sz w:val="24"/>
          <w:szCs w:val="24"/>
          <w:rtl/>
        </w:rPr>
        <w:t>ח ב-2024</w:t>
      </w:r>
      <w:r>
        <w:rPr>
          <w:rFonts w:ascii="Calibri" w:hAnsi="Calibri" w:cs="Calibri" w:hint="cs"/>
          <w:sz w:val="24"/>
          <w:szCs w:val="24"/>
          <w:rtl/>
        </w:rPr>
        <w:t xml:space="preserve">, </w:t>
      </w:r>
      <w:r w:rsidRPr="0087357B">
        <w:rPr>
          <w:rFonts w:ascii="Calibri" w:hAnsi="Calibri" w:cs="Calibri"/>
          <w:sz w:val="24"/>
          <w:szCs w:val="24"/>
          <w:rtl/>
        </w:rPr>
        <w:t xml:space="preserve">עיקר הכנסות הבנקים מעמלות </w:t>
      </w:r>
      <w:r>
        <w:rPr>
          <w:rFonts w:ascii="Calibri" w:hAnsi="Calibri" w:cs="Calibri" w:hint="cs"/>
          <w:sz w:val="24"/>
          <w:szCs w:val="24"/>
          <w:rtl/>
        </w:rPr>
        <w:t>מגיע</w:t>
      </w:r>
      <w:r w:rsidRPr="0087357B">
        <w:rPr>
          <w:rFonts w:ascii="Calibri" w:hAnsi="Calibri" w:cs="Calibri"/>
          <w:sz w:val="24"/>
          <w:szCs w:val="24"/>
          <w:rtl/>
        </w:rPr>
        <w:t xml:space="preserve"> מעמלות ני"ע, </w:t>
      </w:r>
      <w:r w:rsidRPr="0087357B">
        <w:rPr>
          <w:rFonts w:ascii="Calibri" w:hAnsi="Calibri" w:cs="Calibri" w:hint="cs"/>
          <w:sz w:val="24"/>
          <w:szCs w:val="24"/>
          <w:rtl/>
        </w:rPr>
        <w:t xml:space="preserve">עמלות </w:t>
      </w:r>
      <w:r w:rsidRPr="0087357B">
        <w:rPr>
          <w:rFonts w:ascii="Calibri" w:hAnsi="Calibri" w:cs="Calibri"/>
          <w:sz w:val="24"/>
          <w:szCs w:val="24"/>
          <w:rtl/>
        </w:rPr>
        <w:t>עו"ש וכרטיסי חיוב.</w:t>
      </w:r>
      <w:r>
        <w:rPr>
          <w:rFonts w:ascii="Calibri" w:hAnsi="Calibri" w:cs="Calibri" w:hint="cs"/>
          <w:sz w:val="24"/>
          <w:szCs w:val="24"/>
          <w:rtl/>
        </w:rPr>
        <w:t xml:space="preserve"> </w:t>
      </w:r>
      <w:r w:rsidRPr="0087357B">
        <w:rPr>
          <w:rFonts w:ascii="Calibri" w:hAnsi="Calibri" w:cs="Calibri" w:hint="cs"/>
          <w:sz w:val="24"/>
          <w:szCs w:val="24"/>
          <w:rtl/>
        </w:rPr>
        <w:t>העל</w:t>
      </w:r>
      <w:r>
        <w:rPr>
          <w:rFonts w:ascii="Calibri" w:hAnsi="Calibri" w:cs="Calibri" w:hint="cs"/>
          <w:sz w:val="24"/>
          <w:szCs w:val="24"/>
          <w:rtl/>
        </w:rPr>
        <w:t>י</w:t>
      </w:r>
      <w:r w:rsidRPr="0087357B">
        <w:rPr>
          <w:rFonts w:ascii="Calibri" w:hAnsi="Calibri" w:cs="Calibri" w:hint="cs"/>
          <w:sz w:val="24"/>
          <w:szCs w:val="24"/>
          <w:rtl/>
        </w:rPr>
        <w:t>יה</w:t>
      </w:r>
      <w:r>
        <w:rPr>
          <w:rFonts w:ascii="Calibri" w:hAnsi="Calibri" w:cs="Calibri" w:hint="cs"/>
          <w:sz w:val="24"/>
          <w:szCs w:val="24"/>
          <w:rtl/>
        </w:rPr>
        <w:t xml:space="preserve"> בשנה האחרונה</w:t>
      </w:r>
      <w:r w:rsidRPr="0087357B">
        <w:rPr>
          <w:rFonts w:ascii="Calibri" w:hAnsi="Calibri" w:cs="Calibri" w:hint="cs"/>
          <w:sz w:val="24"/>
          <w:szCs w:val="24"/>
          <w:rtl/>
        </w:rPr>
        <w:t xml:space="preserve"> מוסברת בעיקר בגידול בפעילות הציבור בתחום ני"ע.</w:t>
      </w:r>
      <w:r>
        <w:rPr>
          <w:rFonts w:ascii="Calibri" w:hAnsi="Calibri" w:cs="Calibri" w:hint="cs"/>
          <w:sz w:val="24"/>
          <w:szCs w:val="24"/>
          <w:rtl/>
        </w:rPr>
        <w:t xml:space="preserve"> </w:t>
      </w:r>
    </w:p>
    <w:p w:rsidR="002A3011" w:rsidRPr="0087357B" w:rsidRDefault="002A3011" w:rsidP="002A3011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  <w:sz w:val="24"/>
          <w:szCs w:val="24"/>
          <w:rtl/>
        </w:rPr>
      </w:pPr>
      <w:r w:rsidRPr="0087357B">
        <w:rPr>
          <w:rFonts w:ascii="Calibri" w:hAnsi="Calibri" w:cs="Calibri"/>
          <w:sz w:val="24"/>
          <w:szCs w:val="24"/>
          <w:rtl/>
        </w:rPr>
        <w:t>החל מהרבעון השני של 2025</w:t>
      </w:r>
      <w:r>
        <w:rPr>
          <w:rFonts w:ascii="Calibri" w:hAnsi="Calibri" w:cs="Calibri" w:hint="cs"/>
          <w:sz w:val="24"/>
          <w:szCs w:val="24"/>
          <w:rtl/>
        </w:rPr>
        <w:t xml:space="preserve"> </w:t>
      </w:r>
      <w:r w:rsidRPr="0087357B">
        <w:rPr>
          <w:rFonts w:ascii="Calibri" w:hAnsi="Calibri" w:cs="Calibri"/>
          <w:sz w:val="24"/>
          <w:szCs w:val="24"/>
          <w:rtl/>
        </w:rPr>
        <w:t>התווסף</w:t>
      </w:r>
      <w:r>
        <w:rPr>
          <w:rFonts w:ascii="Calibri" w:hAnsi="Calibri" w:cs="Calibri" w:hint="cs"/>
          <w:sz w:val="24"/>
          <w:szCs w:val="24"/>
          <w:rtl/>
        </w:rPr>
        <w:t>,</w:t>
      </w:r>
      <w:r w:rsidRPr="0087357B">
        <w:rPr>
          <w:rFonts w:ascii="Calibri" w:hAnsi="Calibri" w:cs="Calibri"/>
          <w:sz w:val="24"/>
          <w:szCs w:val="24"/>
          <w:rtl/>
        </w:rPr>
        <w:t xml:space="preserve"> במסגרת דוח זה</w:t>
      </w:r>
      <w:r>
        <w:rPr>
          <w:rFonts w:ascii="Calibri" w:hAnsi="Calibri" w:cs="Calibri" w:hint="cs"/>
          <w:sz w:val="24"/>
          <w:szCs w:val="24"/>
          <w:rtl/>
        </w:rPr>
        <w:t>,</w:t>
      </w:r>
      <w:r w:rsidRPr="0087357B">
        <w:rPr>
          <w:rFonts w:ascii="Calibri" w:hAnsi="Calibri" w:cs="Calibri"/>
          <w:sz w:val="24"/>
          <w:szCs w:val="24"/>
          <w:rtl/>
        </w:rPr>
        <w:t xml:space="preserve"> מידע חדש על אודות התפלגות ההכנסות מעמלות של חברות כרטיסי האשראי. ההכנסות מעמלות שגבו חברות כרטיסי אשראי ממשקי בית ועסקים קטנים </w:t>
      </w:r>
      <w:r w:rsidRPr="0087357B">
        <w:rPr>
          <w:rFonts w:ascii="Calibri" w:hAnsi="Calibri" w:cs="Calibri" w:hint="cs"/>
          <w:sz w:val="24"/>
          <w:szCs w:val="24"/>
          <w:rtl/>
        </w:rPr>
        <w:t xml:space="preserve">בשלושת הרבעונים הראשונים של שנת </w:t>
      </w:r>
      <w:r w:rsidRPr="0087357B">
        <w:rPr>
          <w:rFonts w:ascii="Calibri" w:hAnsi="Calibri" w:cs="Calibri"/>
          <w:sz w:val="24"/>
          <w:szCs w:val="24"/>
          <w:rtl/>
        </w:rPr>
        <w:t>2025 הסתכ</w:t>
      </w:r>
      <w:r w:rsidRPr="0087357B">
        <w:rPr>
          <w:rFonts w:ascii="Calibri" w:hAnsi="Calibri" w:cs="Calibri" w:hint="cs"/>
          <w:sz w:val="24"/>
          <w:szCs w:val="24"/>
          <w:rtl/>
        </w:rPr>
        <w:t>מו</w:t>
      </w:r>
      <w:r w:rsidRPr="0087357B">
        <w:rPr>
          <w:rFonts w:ascii="Calibri" w:hAnsi="Calibri" w:cs="Calibri"/>
          <w:sz w:val="24"/>
          <w:szCs w:val="24"/>
          <w:rtl/>
        </w:rPr>
        <w:t xml:space="preserve"> בכ-</w:t>
      </w:r>
      <w:r w:rsidRPr="0087357B">
        <w:rPr>
          <w:rFonts w:ascii="Calibri" w:hAnsi="Calibri" w:cs="Calibri" w:hint="cs"/>
          <w:sz w:val="24"/>
          <w:szCs w:val="24"/>
          <w:rtl/>
        </w:rPr>
        <w:t xml:space="preserve">1.94 </w:t>
      </w:r>
      <w:r w:rsidRPr="0087357B">
        <w:rPr>
          <w:rFonts w:ascii="Calibri" w:hAnsi="Calibri" w:cs="Calibri"/>
          <w:sz w:val="24"/>
          <w:szCs w:val="24"/>
          <w:rtl/>
        </w:rPr>
        <w:t>מיליארד</w:t>
      </w:r>
      <w:r w:rsidRPr="0087357B">
        <w:rPr>
          <w:rFonts w:ascii="Calibri" w:hAnsi="Calibri" w:cs="Calibri" w:hint="cs"/>
          <w:sz w:val="24"/>
          <w:szCs w:val="24"/>
        </w:rPr>
        <w:t xml:space="preserve"> </w:t>
      </w:r>
      <w:r w:rsidRPr="0087357B">
        <w:rPr>
          <w:rFonts w:ascii="Calibri" w:hAnsi="Calibri" w:cs="Calibri" w:hint="cs"/>
          <w:sz w:val="24"/>
          <w:szCs w:val="24"/>
          <w:rtl/>
        </w:rPr>
        <w:t>ש"ח. מקורן של הכנסות אלו הן בעיקר מכרטיסי חיוב שהונפקו לציבור ומפעילות עסקית (סליקה ונ</w:t>
      </w:r>
      <w:r>
        <w:rPr>
          <w:rFonts w:ascii="Calibri" w:hAnsi="Calibri" w:cs="Calibri" w:hint="cs"/>
          <w:sz w:val="24"/>
          <w:szCs w:val="24"/>
          <w:rtl/>
        </w:rPr>
        <w:t>י</w:t>
      </w:r>
      <w:r w:rsidRPr="0087357B">
        <w:rPr>
          <w:rFonts w:ascii="Calibri" w:hAnsi="Calibri" w:cs="Calibri" w:hint="cs"/>
          <w:sz w:val="24"/>
          <w:szCs w:val="24"/>
          <w:rtl/>
        </w:rPr>
        <w:t>כיון).</w:t>
      </w:r>
    </w:p>
    <w:p w:rsidR="002A3011" w:rsidRPr="0087357B" w:rsidRDefault="002A3011" w:rsidP="002A3011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rFonts w:ascii="Calibri" w:eastAsia="Calibri" w:hAnsi="Calibri" w:cstheme="minorHAnsi"/>
          <w:sz w:val="24"/>
          <w:szCs w:val="24"/>
          <w:rtl/>
        </w:rPr>
      </w:pPr>
      <w:r w:rsidRPr="0087357B">
        <w:rPr>
          <w:rFonts w:ascii="Calibri" w:hAnsi="Calibri" w:cs="Calibri"/>
          <w:sz w:val="24"/>
          <w:szCs w:val="24"/>
          <w:rtl/>
        </w:rPr>
        <w:t>העלות הממוצעת של ניהול עו"ש והחזקת כרטיס חיוב בחשבון משק בית, הסתכמה בתקופה הנסקרת ב-</w:t>
      </w:r>
      <w:r w:rsidRPr="0087357B">
        <w:rPr>
          <w:rFonts w:ascii="Calibri" w:hAnsi="Calibri" w:cs="Calibri" w:hint="cs"/>
          <w:sz w:val="24"/>
          <w:szCs w:val="24"/>
          <w:rtl/>
        </w:rPr>
        <w:t>31.6</w:t>
      </w:r>
      <w:r w:rsidRPr="0087357B">
        <w:rPr>
          <w:rFonts w:ascii="Calibri" w:hAnsi="Calibri" w:cs="Calibri"/>
          <w:sz w:val="24"/>
          <w:szCs w:val="24"/>
          <w:rtl/>
        </w:rPr>
        <w:t xml:space="preserve"> ש"ח בחודש בהשוואה ל-29.1 ש"ח בממוצע לחודש לחשבון בשנת 2024. </w:t>
      </w:r>
      <w:r w:rsidRPr="0087357B">
        <w:rPr>
          <w:rFonts w:ascii="Calibri" w:hAnsi="Calibri" w:cs="Calibri" w:hint="cs"/>
          <w:sz w:val="24"/>
          <w:szCs w:val="24"/>
          <w:rtl/>
        </w:rPr>
        <w:t>העלי</w:t>
      </w:r>
      <w:r>
        <w:rPr>
          <w:rFonts w:ascii="Calibri" w:hAnsi="Calibri" w:cs="Calibri" w:hint="cs"/>
          <w:sz w:val="24"/>
          <w:szCs w:val="24"/>
          <w:rtl/>
        </w:rPr>
        <w:t>י</w:t>
      </w:r>
      <w:r w:rsidRPr="0087357B">
        <w:rPr>
          <w:rFonts w:ascii="Calibri" w:hAnsi="Calibri" w:cs="Calibri" w:hint="cs"/>
          <w:sz w:val="24"/>
          <w:szCs w:val="24"/>
          <w:rtl/>
        </w:rPr>
        <w:t xml:space="preserve">ה נובעת בעיקר </w:t>
      </w:r>
      <w:r w:rsidRPr="0087357B">
        <w:rPr>
          <w:rFonts w:ascii="Calibri" w:hAnsi="Calibri" w:cs="Calibri"/>
          <w:sz w:val="24"/>
          <w:szCs w:val="24"/>
          <w:rtl/>
        </w:rPr>
        <w:t>מסיום מתוו</w:t>
      </w:r>
      <w:r w:rsidRPr="0087357B">
        <w:rPr>
          <w:rFonts w:ascii="Calibri" w:hAnsi="Calibri" w:cs="Calibri" w:hint="cs"/>
          <w:sz w:val="24"/>
          <w:szCs w:val="24"/>
          <w:rtl/>
        </w:rPr>
        <w:t>י</w:t>
      </w:r>
      <w:r w:rsidRPr="0087357B">
        <w:rPr>
          <w:rFonts w:ascii="Calibri" w:hAnsi="Calibri" w:cs="Calibri"/>
          <w:sz w:val="24"/>
          <w:szCs w:val="24"/>
          <w:rtl/>
        </w:rPr>
        <w:t xml:space="preserve"> הסיוע ללקוחות הבנקים בהתמודדות עם השלכות המלחמה</w:t>
      </w:r>
      <w:r w:rsidRPr="0087357B">
        <w:rPr>
          <w:rFonts w:ascii="Calibri" w:hAnsi="Calibri" w:cs="Calibri" w:hint="cs"/>
          <w:sz w:val="24"/>
          <w:szCs w:val="24"/>
          <w:rtl/>
        </w:rPr>
        <w:t xml:space="preserve"> ומ</w:t>
      </w:r>
      <w:r w:rsidRPr="0087357B">
        <w:rPr>
          <w:rFonts w:ascii="Calibri" w:hAnsi="Calibri" w:cs="Calibri"/>
          <w:sz w:val="24"/>
          <w:szCs w:val="24"/>
          <w:rtl/>
        </w:rPr>
        <w:t>גידול בפעילות הציבור בביצוע עסקאות ומשיכות במטבע חוץ.</w:t>
      </w:r>
    </w:p>
    <w:p w:rsidR="003E05EC" w:rsidRDefault="003E05EC"/>
    <w:sectPr w:rsidR="003E05EC" w:rsidSect="00FA276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123" w:rsidRDefault="00194123" w:rsidP="00194123">
      <w:pPr>
        <w:spacing w:after="0" w:line="240" w:lineRule="auto"/>
      </w:pPr>
      <w:r>
        <w:separator/>
      </w:r>
    </w:p>
  </w:endnote>
  <w:endnote w:type="continuationSeparator" w:id="0">
    <w:p w:rsidR="00194123" w:rsidRDefault="00194123" w:rsidP="0019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123" w:rsidRDefault="00194123" w:rsidP="00194123">
      <w:pPr>
        <w:spacing w:after="0" w:line="240" w:lineRule="auto"/>
      </w:pPr>
      <w:r>
        <w:separator/>
      </w:r>
    </w:p>
  </w:footnote>
  <w:footnote w:type="continuationSeparator" w:id="0">
    <w:p w:rsidR="00194123" w:rsidRDefault="00194123" w:rsidP="00194123">
      <w:pPr>
        <w:spacing w:after="0" w:line="240" w:lineRule="auto"/>
      </w:pPr>
      <w:r>
        <w:continuationSeparator/>
      </w:r>
    </w:p>
  </w:footnote>
  <w:footnote w:id="1">
    <w:p w:rsidR="002A3011" w:rsidRPr="00E20FFE" w:rsidRDefault="002A3011" w:rsidP="002A3011">
      <w:pPr>
        <w:rPr>
          <w:rFonts w:cstheme="minorHAnsi"/>
          <w:color w:val="2E74B5" w:themeColor="accent1" w:themeShade="BF"/>
        </w:rPr>
      </w:pPr>
      <w:r w:rsidRPr="00083297">
        <w:rPr>
          <w:rFonts w:cstheme="minorHAnsi"/>
          <w:color w:val="2E74B5" w:themeColor="accent1" w:themeShade="BF"/>
        </w:rPr>
        <w:footnoteRef/>
      </w:r>
      <w:r w:rsidRPr="00083297">
        <w:rPr>
          <w:rFonts w:cstheme="minorHAnsi"/>
          <w:color w:val="2E74B5" w:themeColor="accent1" w:themeShade="BF"/>
          <w:rtl/>
        </w:rPr>
        <w:t xml:space="preserve"> </w:t>
      </w:r>
      <w:hyperlink r:id="rId1" w:history="1">
        <w:r w:rsidRPr="00E20FFE">
          <w:rPr>
            <w:rStyle w:val="aa"/>
            <w:rFonts w:cstheme="minorHAnsi"/>
            <w:color w:val="2E74B5" w:themeColor="accent1" w:themeShade="BF"/>
            <w:u w:val="single"/>
            <w:rtl/>
          </w:rPr>
          <w:t xml:space="preserve">להודעה לעיתונות אודות הרפורמה בעמלות עו"ש ודמי כרטיס חיוב </w:t>
        </w:r>
        <w:proofErr w:type="spellStart"/>
        <w:r w:rsidRPr="00E20FFE">
          <w:rPr>
            <w:rStyle w:val="aa"/>
            <w:rFonts w:cstheme="minorHAnsi"/>
            <w:color w:val="2E74B5" w:themeColor="accent1" w:themeShade="BF"/>
            <w:u w:val="single"/>
            <w:rtl/>
          </w:rPr>
          <w:t>מיידי</w:t>
        </w:r>
        <w:proofErr w:type="spellEnd"/>
      </w:hyperlink>
      <w:r w:rsidRPr="00E20FFE">
        <w:rPr>
          <w:rFonts w:cstheme="minorHAnsi"/>
          <w:color w:val="2E74B5" w:themeColor="accent1" w:themeShade="BF"/>
          <w:u w:val="single"/>
          <w:rtl/>
        </w:rPr>
        <w:t>.</w:t>
      </w:r>
      <w:r w:rsidRPr="00E20FFE">
        <w:rPr>
          <w:rFonts w:cstheme="minorHAnsi"/>
          <w:color w:val="2E74B5" w:themeColor="accent1" w:themeShade="BF"/>
          <w:rtl/>
        </w:rPr>
        <w:t xml:space="preserve"> </w:t>
      </w:r>
    </w:p>
  </w:footnote>
  <w:footnote w:id="2">
    <w:p w:rsidR="002A3011" w:rsidRPr="00925E5F" w:rsidRDefault="002A3011" w:rsidP="002A3011">
      <w:pPr>
        <w:rPr>
          <w:rFonts w:ascii="Calibri" w:hAnsi="Calibri" w:cs="Calibri"/>
        </w:rPr>
      </w:pPr>
      <w:r w:rsidRPr="00E20FFE">
        <w:rPr>
          <w:rFonts w:ascii="Calibri" w:hAnsi="Calibri" w:cs="Calibri"/>
          <w:color w:val="2E74B5" w:themeColor="accent1" w:themeShade="BF"/>
        </w:rPr>
        <w:footnoteRef/>
      </w:r>
      <w:r w:rsidRPr="00E20FFE">
        <w:rPr>
          <w:rFonts w:ascii="Calibri" w:hAnsi="Calibri" w:cs="Calibri"/>
          <w:color w:val="2E74B5" w:themeColor="accent1" w:themeShade="BF"/>
          <w:rtl/>
        </w:rPr>
        <w:t xml:space="preserve"> </w:t>
      </w:r>
      <w:hyperlink r:id="rId2" w:history="1">
        <w:r w:rsidRPr="00E20FFE">
          <w:rPr>
            <w:rStyle w:val="aa"/>
            <w:rFonts w:ascii="Calibri" w:hAnsi="Calibri" w:cs="Calibri"/>
            <w:color w:val="2E74B5" w:themeColor="accent1" w:themeShade="BF"/>
            <w:rtl/>
          </w:rPr>
          <w:t>ל</w:t>
        </w:r>
        <w:r w:rsidRPr="00E20FFE">
          <w:rPr>
            <w:rStyle w:val="aa"/>
            <w:rFonts w:ascii="Calibri" w:hAnsi="Calibri" w:cs="Calibri"/>
            <w:color w:val="2E74B5" w:themeColor="accent1" w:themeShade="BF"/>
            <w:u w:val="single"/>
            <w:rtl/>
          </w:rPr>
          <w:t xml:space="preserve">הודעה לעיתונות אודות המלצות הצוות </w:t>
        </w:r>
        <w:proofErr w:type="spellStart"/>
        <w:r w:rsidRPr="00E20FFE">
          <w:rPr>
            <w:rStyle w:val="aa"/>
            <w:rFonts w:ascii="Calibri" w:hAnsi="Calibri" w:cs="Calibri"/>
            <w:color w:val="2E74B5" w:themeColor="accent1" w:themeShade="BF"/>
            <w:u w:val="single"/>
            <w:rtl/>
          </w:rPr>
          <w:t>הבינמשרדי</w:t>
        </w:r>
        <w:proofErr w:type="spellEnd"/>
        <w:r w:rsidRPr="00E20FFE">
          <w:rPr>
            <w:rStyle w:val="aa"/>
            <w:rFonts w:ascii="Calibri" w:hAnsi="Calibri" w:cs="Calibri"/>
            <w:color w:val="2E74B5" w:themeColor="accent1" w:themeShade="BF"/>
            <w:u w:val="single"/>
            <w:rtl/>
          </w:rPr>
          <w:t xml:space="preserve"> בנושא מודלי תגמול בני"ע</w:t>
        </w:r>
        <w:r w:rsidRPr="00E20FFE">
          <w:rPr>
            <w:rStyle w:val="aa"/>
            <w:rFonts w:ascii="Calibri" w:hAnsi="Calibri" w:cs="Calibri"/>
            <w:color w:val="2E74B5" w:themeColor="accent1" w:themeShade="BF"/>
            <w:u w:val="single"/>
          </w:rPr>
          <w:t>.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240A6"/>
    <w:multiLevelType w:val="hybridMultilevel"/>
    <w:tmpl w:val="7BC00EB2"/>
    <w:lvl w:ilvl="0" w:tplc="F886B9EE">
      <w:numFmt w:val="bullet"/>
      <w:lvlText w:val="-"/>
      <w:lvlJc w:val="left"/>
      <w:pPr>
        <w:ind w:left="3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" w15:restartNumberingAfterBreak="0">
    <w:nsid w:val="55E15FE7"/>
    <w:multiLevelType w:val="hybridMultilevel"/>
    <w:tmpl w:val="706659AC"/>
    <w:lvl w:ilvl="0" w:tplc="838E7D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89"/>
    <w:rsid w:val="00002384"/>
    <w:rsid w:val="00040E34"/>
    <w:rsid w:val="00050AA1"/>
    <w:rsid w:val="00064324"/>
    <w:rsid w:val="00066C04"/>
    <w:rsid w:val="00083297"/>
    <w:rsid w:val="000D699D"/>
    <w:rsid w:val="00125DC0"/>
    <w:rsid w:val="0013258C"/>
    <w:rsid w:val="001440B6"/>
    <w:rsid w:val="00164A95"/>
    <w:rsid w:val="001660F6"/>
    <w:rsid w:val="00194123"/>
    <w:rsid w:val="0019569B"/>
    <w:rsid w:val="001B29B9"/>
    <w:rsid w:val="001E22EB"/>
    <w:rsid w:val="001F5389"/>
    <w:rsid w:val="00211E2E"/>
    <w:rsid w:val="00247A22"/>
    <w:rsid w:val="002A3011"/>
    <w:rsid w:val="00372822"/>
    <w:rsid w:val="00384A39"/>
    <w:rsid w:val="003C2838"/>
    <w:rsid w:val="003D666F"/>
    <w:rsid w:val="003E05EC"/>
    <w:rsid w:val="00424BA9"/>
    <w:rsid w:val="00434F52"/>
    <w:rsid w:val="0043782F"/>
    <w:rsid w:val="0045158F"/>
    <w:rsid w:val="00487B73"/>
    <w:rsid w:val="004E32A7"/>
    <w:rsid w:val="00506C89"/>
    <w:rsid w:val="0051134A"/>
    <w:rsid w:val="00514D4C"/>
    <w:rsid w:val="005268F1"/>
    <w:rsid w:val="00536F7B"/>
    <w:rsid w:val="005554B8"/>
    <w:rsid w:val="00572E7D"/>
    <w:rsid w:val="00592F49"/>
    <w:rsid w:val="005943EA"/>
    <w:rsid w:val="00597CFE"/>
    <w:rsid w:val="005E261F"/>
    <w:rsid w:val="00600A1E"/>
    <w:rsid w:val="00636C65"/>
    <w:rsid w:val="006479D6"/>
    <w:rsid w:val="00660A31"/>
    <w:rsid w:val="006A7C22"/>
    <w:rsid w:val="006B65CB"/>
    <w:rsid w:val="00747860"/>
    <w:rsid w:val="007654C3"/>
    <w:rsid w:val="00775E68"/>
    <w:rsid w:val="00790A77"/>
    <w:rsid w:val="007C7049"/>
    <w:rsid w:val="00826D15"/>
    <w:rsid w:val="00846B06"/>
    <w:rsid w:val="008F1942"/>
    <w:rsid w:val="009002B2"/>
    <w:rsid w:val="00921831"/>
    <w:rsid w:val="009554E0"/>
    <w:rsid w:val="00965957"/>
    <w:rsid w:val="00970179"/>
    <w:rsid w:val="009773C1"/>
    <w:rsid w:val="00996B52"/>
    <w:rsid w:val="009D7C95"/>
    <w:rsid w:val="00A04AC3"/>
    <w:rsid w:val="00A73261"/>
    <w:rsid w:val="00AD49BB"/>
    <w:rsid w:val="00B25D00"/>
    <w:rsid w:val="00B7244E"/>
    <w:rsid w:val="00BC38D0"/>
    <w:rsid w:val="00CE4D4B"/>
    <w:rsid w:val="00D12EF8"/>
    <w:rsid w:val="00D36A9A"/>
    <w:rsid w:val="00D64394"/>
    <w:rsid w:val="00D64D2B"/>
    <w:rsid w:val="00DA55C4"/>
    <w:rsid w:val="00DC337E"/>
    <w:rsid w:val="00DE555F"/>
    <w:rsid w:val="00E20538"/>
    <w:rsid w:val="00E20FFE"/>
    <w:rsid w:val="00E9407F"/>
    <w:rsid w:val="00ED16CB"/>
    <w:rsid w:val="00ED2AC7"/>
    <w:rsid w:val="00F0496A"/>
    <w:rsid w:val="00F726A6"/>
    <w:rsid w:val="00F80107"/>
    <w:rsid w:val="00FA2761"/>
    <w:rsid w:val="00FC3B9A"/>
    <w:rsid w:val="00FE3C73"/>
    <w:rsid w:val="00FF122F"/>
    <w:rsid w:val="00FF389E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9F32"/>
  <w15:chartTrackingRefBased/>
  <w15:docId w15:val="{74810206-AF8C-41E2-9BD8-02A2F8DD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123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גוף 2,פיסקת רשימה12,פיסקת רשימה121,פיסקת רשימה2,פיסקת רשימה11"/>
    <w:basedOn w:val="a"/>
    <w:link w:val="a4"/>
    <w:uiPriority w:val="34"/>
    <w:qFormat/>
    <w:rsid w:val="00194123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94123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unhideWhenUsed/>
    <w:rsid w:val="00194123"/>
    <w:pPr>
      <w:spacing w:after="0" w:line="240" w:lineRule="auto"/>
    </w:pPr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rsid w:val="00194123"/>
    <w:rPr>
      <w:sz w:val="20"/>
      <w:szCs w:val="20"/>
    </w:rPr>
  </w:style>
  <w:style w:type="character" w:styleId="a7">
    <w:name w:val="footnote reference"/>
    <w:aliases w:val="Footnote Reference_0,Footnote Reference_1,Footnote Reference_2,Footnote Reference_3"/>
    <w:basedOn w:val="a0"/>
    <w:uiPriority w:val="99"/>
    <w:unhideWhenUsed/>
    <w:rsid w:val="00194123"/>
    <w:rPr>
      <w:vertAlign w:val="superscript"/>
    </w:rPr>
  </w:style>
  <w:style w:type="character" w:customStyle="1" w:styleId="a4">
    <w:name w:val="פיסקת רשימה תו"/>
    <w:aliases w:val="גוף 2 תו,פיסקת רשימה12 תו,פיסקת רשימה121 תו,פיסקת רשימה2 תו,פיסקת רשימה11 תו"/>
    <w:basedOn w:val="a0"/>
    <w:link w:val="a3"/>
    <w:uiPriority w:val="34"/>
    <w:locked/>
    <w:rsid w:val="00194123"/>
  </w:style>
  <w:style w:type="paragraph" w:styleId="a8">
    <w:name w:val="No Spacing"/>
    <w:link w:val="a9"/>
    <w:uiPriority w:val="1"/>
    <w:qFormat/>
    <w:rsid w:val="00194123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9">
    <w:name w:val="ללא מרווח תו"/>
    <w:basedOn w:val="a0"/>
    <w:link w:val="a8"/>
    <w:uiPriority w:val="1"/>
    <w:rsid w:val="00194123"/>
    <w:rPr>
      <w:rFonts w:ascii="Calibri" w:eastAsia="Calibri" w:hAnsi="Calibri" w:cs="Arial"/>
    </w:rPr>
  </w:style>
  <w:style w:type="character" w:styleId="aa">
    <w:name w:val="Intense Emphasis"/>
    <w:uiPriority w:val="21"/>
    <w:qFormat/>
    <w:rsid w:val="0019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oi.org.il/publications/pressreleases/24-6-2026/" TargetMode="External"/><Relationship Id="rId1" Type="http://schemas.openxmlformats.org/officeDocument/2006/relationships/hyperlink" Target="https://www.boi.org.il/publications/pressreleases/21-06-2026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453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BOI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לירון בן עמוס</dc:creator>
  <cp:keywords/>
  <dc:description/>
  <cp:lastModifiedBy>לירון בן עמוס</cp:lastModifiedBy>
  <cp:revision>18</cp:revision>
  <cp:lastPrinted>2026-07-28T08:18:00Z</cp:lastPrinted>
  <dcterms:created xsi:type="dcterms:W3CDTF">2026-07-28T06:42:00Z</dcterms:created>
  <dcterms:modified xsi:type="dcterms:W3CDTF">2026-07-28T10:38:00Z</dcterms:modified>
</cp:coreProperties>
</file>