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648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968"/>
        <w:gridCol w:w="2596"/>
        <w:gridCol w:w="3084"/>
      </w:tblGrid>
      <w:tr w:rsidR="00CA1AA7" w:rsidRPr="00132625" w:rsidTr="004F1949">
        <w:trPr>
          <w:jc w:val="center"/>
        </w:trPr>
        <w:tc>
          <w:tcPr>
            <w:tcW w:w="2968" w:type="dxa"/>
            <w:vAlign w:val="center"/>
          </w:tcPr>
          <w:p w:rsidR="00CA1AA7" w:rsidRPr="00B73AB5" w:rsidRDefault="00CA1AA7" w:rsidP="004F1949">
            <w:pPr>
              <w:spacing w:before="240" w:line="360" w:lineRule="auto"/>
              <w:rPr>
                <w:rFonts w:cs="David"/>
                <w:b/>
                <w:bCs/>
                <w:sz w:val="28"/>
                <w:szCs w:val="28"/>
              </w:rPr>
            </w:pPr>
            <w:r w:rsidRPr="00B73AB5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B73AB5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B73AB5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B73AB5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CA1AA7" w:rsidRPr="00B73AB5" w:rsidRDefault="00CA1AA7" w:rsidP="004F1949">
            <w:pPr>
              <w:spacing w:before="240" w:line="360" w:lineRule="auto"/>
              <w:ind w:right="-101"/>
              <w:jc w:val="both"/>
              <w:rPr>
                <w:rFonts w:cs="David"/>
                <w:sz w:val="24"/>
                <w:szCs w:val="24"/>
              </w:rPr>
            </w:pPr>
            <w:r w:rsidRPr="00B73AB5">
              <w:rPr>
                <w:rFonts w:cs="David"/>
                <w:sz w:val="24"/>
                <w:szCs w:val="24"/>
                <w:rtl/>
              </w:rPr>
              <w:t>דו</w:t>
            </w:r>
            <w:r w:rsidRPr="00B73AB5">
              <w:rPr>
                <w:rFonts w:cs="David" w:hint="cs"/>
                <w:sz w:val="24"/>
                <w:szCs w:val="24"/>
                <w:rtl/>
              </w:rPr>
              <w:t>בר</w:t>
            </w:r>
            <w:r w:rsidRPr="00B73AB5">
              <w:rPr>
                <w:rFonts w:cs="David"/>
                <w:sz w:val="24"/>
                <w:szCs w:val="24"/>
                <w:rtl/>
              </w:rPr>
              <w:t>ות</w:t>
            </w:r>
            <w:r w:rsidRPr="00B73AB5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CA1AA7" w:rsidRPr="00B73AB5" w:rsidRDefault="00CA1AA7" w:rsidP="004F1949">
            <w:pPr>
              <w:tabs>
                <w:tab w:val="right" w:pos="2380"/>
              </w:tabs>
              <w:spacing w:before="240"/>
              <w:jc w:val="both"/>
              <w:rPr>
                <w:rFonts w:cs="David"/>
                <w:sz w:val="24"/>
                <w:szCs w:val="24"/>
              </w:rPr>
            </w:pPr>
            <w:r w:rsidRPr="00B73AB5">
              <w:rPr>
                <w:rFonts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F97F12A" wp14:editId="730BB5FE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3AB5">
              <w:rPr>
                <w:rFonts w:cs="David"/>
                <w:sz w:val="24"/>
                <w:szCs w:val="24"/>
              </w:rPr>
              <w:tab/>
            </w:r>
          </w:p>
        </w:tc>
        <w:tc>
          <w:tcPr>
            <w:tcW w:w="3084" w:type="dxa"/>
            <w:vAlign w:val="center"/>
          </w:tcPr>
          <w:p w:rsidR="00CA1AA7" w:rsidRPr="00132625" w:rsidRDefault="00CA1AA7" w:rsidP="00BF3FC3">
            <w:pPr>
              <w:spacing w:before="240"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32625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32625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BF3FC3">
              <w:rPr>
                <w:rFonts w:cs="David" w:hint="cs"/>
                <w:sz w:val="24"/>
                <w:szCs w:val="24"/>
                <w:rtl/>
              </w:rPr>
              <w:t>כ"ח</w:t>
            </w:r>
            <w:r w:rsidRPr="00132625">
              <w:rPr>
                <w:rFonts w:cs="David" w:hint="cs"/>
                <w:sz w:val="24"/>
                <w:szCs w:val="24"/>
                <w:rtl/>
              </w:rPr>
              <w:t xml:space="preserve"> בניסן </w:t>
            </w:r>
            <w:r w:rsidRPr="00132625">
              <w:rPr>
                <w:rFonts w:cs="David"/>
                <w:sz w:val="24"/>
                <w:szCs w:val="24"/>
                <w:rtl/>
              </w:rPr>
              <w:t>תש"</w:t>
            </w:r>
            <w:r w:rsidRPr="00132625">
              <w:rPr>
                <w:rFonts w:cs="David" w:hint="cs"/>
                <w:sz w:val="24"/>
                <w:szCs w:val="24"/>
                <w:rtl/>
              </w:rPr>
              <w:t>ף</w:t>
            </w:r>
          </w:p>
          <w:p w:rsidR="00CA1AA7" w:rsidRPr="00132625" w:rsidRDefault="00BF3FC3" w:rsidP="005939D7">
            <w:pPr>
              <w:spacing w:before="240"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="00CA1AA7" w:rsidRPr="00132625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5939D7" w:rsidRPr="00132625">
              <w:rPr>
                <w:rFonts w:cs="David" w:hint="cs"/>
                <w:sz w:val="24"/>
                <w:szCs w:val="24"/>
                <w:rtl/>
              </w:rPr>
              <w:t>אפריל</w:t>
            </w:r>
            <w:r w:rsidR="00CA1AA7" w:rsidRPr="00132625">
              <w:rPr>
                <w:rFonts w:cs="David" w:hint="cs"/>
                <w:sz w:val="24"/>
                <w:szCs w:val="24"/>
                <w:rtl/>
              </w:rPr>
              <w:t xml:space="preserve"> 2020</w:t>
            </w:r>
          </w:p>
        </w:tc>
      </w:tr>
    </w:tbl>
    <w:p w:rsidR="00CA1AA7" w:rsidRDefault="00CA1AA7" w:rsidP="00CA1AA7">
      <w:pPr>
        <w:spacing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</w:p>
    <w:p w:rsidR="00CA1AA7" w:rsidRPr="00B73AB5" w:rsidRDefault="00CA1AA7" w:rsidP="00CA1AA7">
      <w:pPr>
        <w:spacing w:line="360" w:lineRule="auto"/>
        <w:ind w:right="-101"/>
        <w:rPr>
          <w:rFonts w:ascii="Calibri" w:eastAsia="Calibri" w:hAnsi="Calibri" w:cs="David"/>
          <w:sz w:val="24"/>
          <w:szCs w:val="24"/>
        </w:rPr>
      </w:pPr>
      <w:r>
        <w:rPr>
          <w:rFonts w:ascii="Calibri" w:eastAsia="Calibri" w:hAnsi="Calibri" w:cs="David" w:hint="cs"/>
          <w:sz w:val="24"/>
          <w:szCs w:val="24"/>
          <w:rtl/>
        </w:rPr>
        <w:t>הודעה לעיתונות:</w:t>
      </w:r>
    </w:p>
    <w:tbl>
      <w:tblPr>
        <w:bidiVisual/>
        <w:tblW w:w="9647" w:type="dxa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3968"/>
        <w:gridCol w:w="2839"/>
      </w:tblGrid>
      <w:tr w:rsidR="00CA1AA7" w:rsidRPr="00CA1AA7" w:rsidTr="004F1949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AA7" w:rsidRPr="00CA1AA7" w:rsidRDefault="00CA1AA7" w:rsidP="00CA1AA7">
            <w:pPr>
              <w:spacing w:line="360" w:lineRule="auto"/>
              <w:ind w:right="-101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A1AA7" w:rsidRPr="00CA1AA7" w:rsidRDefault="00CA1AA7" w:rsidP="00CA1AA7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AA7" w:rsidRPr="00CA1AA7" w:rsidRDefault="00CA1AA7" w:rsidP="00CA1AA7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:rsidR="00F97279" w:rsidRPr="003949D9" w:rsidRDefault="004642A2" w:rsidP="00BF3FC3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  <w:rtl/>
        </w:rPr>
      </w:pPr>
      <w:bookmarkStart w:id="0" w:name="_GoBack"/>
      <w:r w:rsidRPr="003949D9">
        <w:rPr>
          <w:rFonts w:ascii="David" w:hAnsi="David" w:cs="David"/>
          <w:b/>
          <w:bCs/>
          <w:sz w:val="28"/>
          <w:szCs w:val="28"/>
          <w:rtl/>
        </w:rPr>
        <w:t>הפיקוח על הבנקים</w:t>
      </w:r>
      <w:r w:rsidR="00D6674F" w:rsidRPr="003949D9">
        <w:rPr>
          <w:rFonts w:ascii="David" w:hAnsi="David" w:cs="David"/>
          <w:b/>
          <w:bCs/>
          <w:sz w:val="28"/>
          <w:szCs w:val="28"/>
          <w:rtl/>
        </w:rPr>
        <w:t xml:space="preserve"> מ</w:t>
      </w:r>
      <w:r w:rsidR="00C72A11" w:rsidRPr="003949D9">
        <w:rPr>
          <w:rFonts w:ascii="David" w:hAnsi="David" w:cs="David"/>
          <w:b/>
          <w:bCs/>
          <w:sz w:val="28"/>
          <w:szCs w:val="28"/>
          <w:rtl/>
        </w:rPr>
        <w:t>ודיע</w:t>
      </w:r>
      <w:r w:rsidR="00F503A9" w:rsidRPr="003949D9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C72A11" w:rsidRPr="003949D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FC3" w:rsidRPr="003949D9">
        <w:rPr>
          <w:rFonts w:ascii="David" w:hAnsi="David" w:cs="David" w:hint="cs"/>
          <w:b/>
          <w:bCs/>
          <w:sz w:val="28"/>
          <w:szCs w:val="28"/>
          <w:rtl/>
        </w:rPr>
        <w:t xml:space="preserve">הרחבת </w:t>
      </w:r>
      <w:r w:rsidR="004B1636" w:rsidRPr="003949D9">
        <w:rPr>
          <w:rFonts w:ascii="David" w:hAnsi="David" w:cs="David" w:hint="cs"/>
          <w:b/>
          <w:bCs/>
          <w:sz w:val="28"/>
          <w:szCs w:val="28"/>
          <w:rtl/>
        </w:rPr>
        <w:t xml:space="preserve">קבלת הקהל בסניפי המערכת הבנקאית </w:t>
      </w:r>
    </w:p>
    <w:bookmarkEnd w:id="0"/>
    <w:p w:rsidR="00132625" w:rsidRDefault="00132625" w:rsidP="00B5440B">
      <w:pPr>
        <w:pStyle w:val="a6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F97279" w:rsidRPr="00F97279" w:rsidRDefault="00F97279" w:rsidP="00BF3FC3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על רקע </w:t>
      </w:r>
      <w:r w:rsidR="00BF3FC3" w:rsidRPr="00BF3FC3">
        <w:rPr>
          <w:rFonts w:ascii="David" w:hAnsi="David" w:cs="David"/>
          <w:b/>
          <w:bCs/>
          <w:sz w:val="24"/>
          <w:szCs w:val="24"/>
          <w:rtl/>
        </w:rPr>
        <w:t>החלטות הממשלה על הקלה במגבלות הפעילות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, החל מה- </w:t>
      </w:r>
      <w:r w:rsidR="00BF3FC3">
        <w:rPr>
          <w:rFonts w:ascii="David" w:hAnsi="David" w:cs="David" w:hint="cs"/>
          <w:b/>
          <w:bCs/>
          <w:sz w:val="24"/>
          <w:szCs w:val="24"/>
          <w:rtl/>
        </w:rPr>
        <w:t>23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.4.20 </w:t>
      </w:r>
      <w:r w:rsidR="00BF3FC3">
        <w:rPr>
          <w:rFonts w:ascii="David" w:hAnsi="David" w:cs="David" w:hint="cs"/>
          <w:b/>
          <w:bCs/>
          <w:sz w:val="24"/>
          <w:szCs w:val="24"/>
          <w:rtl/>
        </w:rPr>
        <w:t>תורחב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503A9">
        <w:rPr>
          <w:rFonts w:ascii="David" w:hAnsi="David" w:cs="David" w:hint="cs"/>
          <w:b/>
          <w:bCs/>
          <w:sz w:val="24"/>
          <w:szCs w:val="24"/>
          <w:rtl/>
        </w:rPr>
        <w:t xml:space="preserve">קבלת הקהל בסניפי המערכת הבנקאית 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ושיעור הסניפים </w:t>
      </w:r>
      <w:r w:rsidR="00F503A9">
        <w:rPr>
          <w:rFonts w:ascii="David" w:hAnsi="David" w:cs="David" w:hint="cs"/>
          <w:b/>
          <w:bCs/>
          <w:sz w:val="24"/>
          <w:szCs w:val="24"/>
          <w:rtl/>
        </w:rPr>
        <w:t xml:space="preserve">הפתוחים לקבלת קהל </w:t>
      </w:r>
      <w:r w:rsidR="00BF3FC3">
        <w:rPr>
          <w:rFonts w:ascii="David" w:hAnsi="David" w:cs="David" w:hint="cs"/>
          <w:b/>
          <w:bCs/>
          <w:sz w:val="24"/>
          <w:szCs w:val="24"/>
          <w:rtl/>
        </w:rPr>
        <w:t>יעלה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 מ-</w:t>
      </w:r>
      <w:r w:rsidR="00BF3FC3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>5% ל-</w:t>
      </w:r>
      <w:r w:rsidR="00BF3FC3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% מכלל הסניפים. </w:t>
      </w:r>
    </w:p>
    <w:p w:rsidR="00F97279" w:rsidRPr="00F97279" w:rsidRDefault="00F503A9" w:rsidP="00B5440B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קבלת הקהל</w:t>
      </w:r>
      <w:r w:rsidR="00F97279" w:rsidRPr="00F9727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="00F97279" w:rsidRPr="00F97279">
        <w:rPr>
          <w:rFonts w:ascii="David" w:hAnsi="David" w:cs="David"/>
          <w:b/>
          <w:bCs/>
          <w:sz w:val="24"/>
          <w:szCs w:val="24"/>
          <w:rtl/>
        </w:rPr>
        <w:t>רוכז בסניפים ייעודיים בפריסה ארצית, בהם יינתנו שירותי משיכה והפקדת מזומנים ו</w:t>
      </w:r>
      <w:r w:rsidR="006F6D87">
        <w:rPr>
          <w:rFonts w:ascii="David" w:hAnsi="David" w:cs="David" w:hint="cs"/>
          <w:b/>
          <w:bCs/>
          <w:sz w:val="24"/>
          <w:szCs w:val="24"/>
          <w:rtl/>
        </w:rPr>
        <w:t xml:space="preserve">שירותי </w:t>
      </w:r>
      <w:r w:rsidR="00F97279" w:rsidRPr="00F97279">
        <w:rPr>
          <w:rFonts w:ascii="David" w:hAnsi="David" w:cs="David"/>
          <w:b/>
          <w:bCs/>
          <w:sz w:val="24"/>
          <w:szCs w:val="24"/>
          <w:rtl/>
        </w:rPr>
        <w:t>משיכה והפקדת שיקים בלבד. שירותים אחרים יינתנו בכפוף לתיאום מראש ולזמינות השירות בסניף</w:t>
      </w:r>
      <w:r w:rsidR="00E27AE5">
        <w:rPr>
          <w:rFonts w:ascii="David" w:hAnsi="David" w:cs="David" w:hint="cs"/>
          <w:b/>
          <w:bCs/>
          <w:sz w:val="24"/>
          <w:szCs w:val="24"/>
          <w:rtl/>
        </w:rPr>
        <w:t xml:space="preserve"> או</w:t>
      </w:r>
      <w:r w:rsidR="006F6D87" w:rsidRPr="00F9727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97279" w:rsidRPr="00F97279">
        <w:rPr>
          <w:rFonts w:ascii="David" w:hAnsi="David" w:cs="David"/>
          <w:b/>
          <w:bCs/>
          <w:sz w:val="24"/>
          <w:szCs w:val="24"/>
          <w:rtl/>
        </w:rPr>
        <w:t xml:space="preserve">באמצעים הדיגיטליים ובמוקדי השירות הטלפוני. </w:t>
      </w:r>
    </w:p>
    <w:p w:rsidR="00F97279" w:rsidRPr="00F97279" w:rsidRDefault="00E27AE5" w:rsidP="00B5440B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צעד זה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97279" w:rsidRPr="00F97279">
        <w:rPr>
          <w:rFonts w:ascii="David" w:hAnsi="David" w:cs="David"/>
          <w:b/>
          <w:bCs/>
          <w:sz w:val="24"/>
          <w:szCs w:val="24"/>
          <w:rtl/>
        </w:rPr>
        <w:t>יאפשר המשכיות במתן השירותים הבנקאיים לציבור הרחב, תוך שמירה על בריאות</w:t>
      </w:r>
      <w:r w:rsidR="00F503A9">
        <w:rPr>
          <w:rFonts w:ascii="David" w:hAnsi="David" w:cs="David" w:hint="cs"/>
          <w:b/>
          <w:bCs/>
          <w:sz w:val="24"/>
          <w:szCs w:val="24"/>
          <w:rtl/>
        </w:rPr>
        <w:t xml:space="preserve"> הציבור</w:t>
      </w:r>
      <w:r w:rsidR="00F97279" w:rsidRPr="00F97279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F97279" w:rsidRPr="00F97279" w:rsidRDefault="00F97279" w:rsidP="00522C22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הפיקוח על הבנקים קורא לציבור לבצע </w:t>
      </w:r>
      <w:r w:rsidR="0038049C">
        <w:rPr>
          <w:rFonts w:ascii="David" w:hAnsi="David" w:cs="David"/>
          <w:b/>
          <w:bCs/>
          <w:sz w:val="24"/>
          <w:szCs w:val="24"/>
          <w:rtl/>
        </w:rPr>
        <w:t>מגוון רחב של פעולות</w:t>
      </w:r>
      <w:r w:rsidR="0038049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בנקאיות באמצעים הישירים: בטלפון, במכשירים האוטומטיים, </w:t>
      </w:r>
      <w:r w:rsidR="00F503A9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>אפליקציה</w:t>
      </w:r>
      <w:r w:rsidR="00F503A9">
        <w:rPr>
          <w:rFonts w:ascii="David" w:hAnsi="David" w:cs="David" w:hint="cs"/>
          <w:b/>
          <w:bCs/>
          <w:sz w:val="24"/>
          <w:szCs w:val="24"/>
          <w:rtl/>
        </w:rPr>
        <w:t xml:space="preserve"> (יישומן) הבנקאית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 ו</w:t>
      </w:r>
      <w:r w:rsidR="00F503A9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>אתר הבנק</w:t>
      </w:r>
      <w:r w:rsidR="00F503A9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Pr="00F9727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F6D87" w:rsidRDefault="006F6D87" w:rsidP="00E27AE5">
      <w:pPr>
        <w:spacing w:line="360" w:lineRule="auto"/>
        <w:jc w:val="both"/>
        <w:rPr>
          <w:rFonts w:ascii="David" w:hAnsi="David" w:cs="David"/>
          <w:color w:val="FF0000"/>
          <w:rtl/>
        </w:rPr>
      </w:pPr>
    </w:p>
    <w:p w:rsidR="00F503A9" w:rsidRDefault="00F503A9" w:rsidP="00BF3FC3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בעקבות הנחיות משרד הבריאות על </w:t>
      </w:r>
      <w:r w:rsidR="00BF3FC3" w:rsidRPr="00BF3FC3">
        <w:rPr>
          <w:rFonts w:ascii="David" w:hAnsi="David" w:cs="David"/>
          <w:sz w:val="24"/>
          <w:szCs w:val="24"/>
          <w:rtl/>
        </w:rPr>
        <w:t>החלטות הממשלה על הקלה במגבלות הפעילות</w:t>
      </w:r>
      <w:r>
        <w:rPr>
          <w:rFonts w:ascii="David" w:hAnsi="David" w:cs="David"/>
          <w:sz w:val="24"/>
          <w:szCs w:val="24"/>
          <w:rtl/>
        </w:rPr>
        <w:t>, ומתוך רצון לאפשר המשכיות במתן השירותים הבנקאיים לציבור הרחב, תוך שמירה על בריאות הציבור, להלן הנחיות הפיקוח:</w:t>
      </w:r>
    </w:p>
    <w:p w:rsidR="00F97279" w:rsidRPr="00F97279" w:rsidRDefault="00F97279" w:rsidP="00BF3FC3">
      <w:pPr>
        <w:pStyle w:val="a6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</w:rPr>
      </w:pPr>
      <w:r w:rsidRPr="00F97279">
        <w:rPr>
          <w:rFonts w:ascii="David" w:hAnsi="David" w:cs="David"/>
          <w:sz w:val="24"/>
          <w:szCs w:val="24"/>
          <w:rtl/>
        </w:rPr>
        <w:t xml:space="preserve">שיעור הסניפים שיהיו פתוחים לקהל לא יפחת מ- </w:t>
      </w:r>
      <w:r w:rsidR="00BF3FC3">
        <w:rPr>
          <w:rFonts w:ascii="David" w:hAnsi="David" w:cs="David" w:hint="cs"/>
          <w:sz w:val="24"/>
          <w:szCs w:val="24"/>
          <w:rtl/>
        </w:rPr>
        <w:t>30</w:t>
      </w:r>
      <w:r w:rsidRPr="00F97279">
        <w:rPr>
          <w:rFonts w:ascii="David" w:hAnsi="David" w:cs="David"/>
          <w:sz w:val="24"/>
          <w:szCs w:val="24"/>
          <w:rtl/>
        </w:rPr>
        <w:t>% מהמספר הכולל של סניפי התאגיד הבנקאי</w:t>
      </w:r>
      <w:r w:rsidRPr="00F97279">
        <w:rPr>
          <w:sz w:val="24"/>
          <w:szCs w:val="24"/>
        </w:rPr>
        <w:t>;</w:t>
      </w:r>
      <w:r w:rsidRPr="00F97279">
        <w:rPr>
          <w:rFonts w:ascii="David" w:hAnsi="David" w:cs="David"/>
          <w:sz w:val="24"/>
          <w:szCs w:val="24"/>
          <w:rtl/>
        </w:rPr>
        <w:t xml:space="preserve"> </w:t>
      </w:r>
    </w:p>
    <w:p w:rsidR="00BF3FC3" w:rsidRPr="00BF3FC3" w:rsidRDefault="00BF3FC3" w:rsidP="00BF3FC3">
      <w:pPr>
        <w:pStyle w:val="a6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</w:rPr>
      </w:pPr>
      <w:r w:rsidRPr="00723B7E">
        <w:rPr>
          <w:rFonts w:eastAsia="Segoe UI" w:cs="David" w:hint="cs"/>
          <w:color w:val="231F20"/>
          <w:sz w:val="24"/>
          <w:szCs w:val="24"/>
          <w:rtl/>
        </w:rPr>
        <w:t xml:space="preserve">סניפי הקהל </w:t>
      </w:r>
      <w:r>
        <w:rPr>
          <w:rFonts w:eastAsia="Segoe UI" w:cs="David" w:hint="cs"/>
          <w:color w:val="231F20"/>
          <w:sz w:val="24"/>
          <w:szCs w:val="24"/>
          <w:rtl/>
        </w:rPr>
        <w:t>ייקבעו</w:t>
      </w:r>
      <w:r w:rsidRPr="00723B7E">
        <w:rPr>
          <w:rFonts w:eastAsia="Segoe UI" w:cs="David" w:hint="cs"/>
          <w:color w:val="231F20"/>
          <w:sz w:val="24"/>
          <w:szCs w:val="24"/>
          <w:rtl/>
        </w:rPr>
        <w:t xml:space="preserve"> בהתחשב בפיזור גיאוגרפי נאות של הסניפים וביכולת לספק שירותים בנקאיים לציבור רחב של לקוחות</w:t>
      </w:r>
      <w:r>
        <w:rPr>
          <w:rFonts w:ascii="Times New Roman" w:hAnsi="Times New Roman" w:hint="cs"/>
          <w:rtl/>
        </w:rPr>
        <w:t>;</w:t>
      </w:r>
    </w:p>
    <w:p w:rsidR="00F97279" w:rsidRPr="00F97279" w:rsidRDefault="00F97279" w:rsidP="00E27AE5">
      <w:pPr>
        <w:pStyle w:val="a6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  <w:rtl/>
        </w:rPr>
      </w:pPr>
      <w:r w:rsidRPr="00F97279">
        <w:rPr>
          <w:rFonts w:ascii="David" w:hAnsi="David" w:cs="David"/>
          <w:sz w:val="24"/>
          <w:szCs w:val="24"/>
          <w:rtl/>
        </w:rPr>
        <w:lastRenderedPageBreak/>
        <w:t>סניפי</w:t>
      </w:r>
      <w:r w:rsidR="00F503A9">
        <w:rPr>
          <w:rFonts w:ascii="David" w:hAnsi="David" w:cs="David" w:hint="cs"/>
          <w:sz w:val="24"/>
          <w:szCs w:val="24"/>
          <w:rtl/>
        </w:rPr>
        <w:t>ם אלו</w:t>
      </w:r>
      <w:r w:rsidR="00E27AE5">
        <w:rPr>
          <w:rFonts w:ascii="David" w:hAnsi="David" w:cs="David" w:hint="cs"/>
          <w:sz w:val="24"/>
          <w:szCs w:val="24"/>
          <w:rtl/>
        </w:rPr>
        <w:t xml:space="preserve"> </w:t>
      </w:r>
      <w:r w:rsidRPr="00F97279">
        <w:rPr>
          <w:rFonts w:ascii="David" w:hAnsi="David" w:cs="David"/>
          <w:sz w:val="24"/>
          <w:szCs w:val="24"/>
          <w:rtl/>
        </w:rPr>
        <w:t>יתנו שירותי משיכה והפקדת מזומנים ו</w:t>
      </w:r>
      <w:r w:rsidR="00F503A9">
        <w:rPr>
          <w:rFonts w:ascii="David" w:hAnsi="David" w:cs="David" w:hint="cs"/>
          <w:sz w:val="24"/>
          <w:szCs w:val="24"/>
          <w:rtl/>
        </w:rPr>
        <w:t xml:space="preserve">שירותי </w:t>
      </w:r>
      <w:r w:rsidRPr="00F97279">
        <w:rPr>
          <w:rFonts w:ascii="David" w:hAnsi="David" w:cs="David"/>
          <w:sz w:val="24"/>
          <w:szCs w:val="24"/>
          <w:rtl/>
        </w:rPr>
        <w:t>משיכה והפקדת שיקים בלבד. שירותים אחרים יינתנו בכפוף לתיאום מראש ולזמינות השירות בסניף</w:t>
      </w:r>
      <w:r w:rsidR="00F503A9">
        <w:rPr>
          <w:rFonts w:ascii="David" w:hAnsi="David" w:cs="David" w:hint="cs"/>
          <w:sz w:val="24"/>
          <w:szCs w:val="24"/>
          <w:rtl/>
        </w:rPr>
        <w:t xml:space="preserve"> ובמוקדי השירות הטלפוני ובאמצעים הדיגיטליים</w:t>
      </w:r>
      <w:r w:rsidR="00D54400">
        <w:rPr>
          <w:rFonts w:ascii="David" w:hAnsi="David" w:cs="David" w:hint="cs"/>
          <w:sz w:val="24"/>
          <w:szCs w:val="24"/>
          <w:rtl/>
        </w:rPr>
        <w:t>;</w:t>
      </w:r>
      <w:r w:rsidRPr="00F97279">
        <w:rPr>
          <w:rFonts w:ascii="David" w:hAnsi="David" w:cs="David"/>
          <w:sz w:val="24"/>
          <w:szCs w:val="24"/>
          <w:rtl/>
        </w:rPr>
        <w:t xml:space="preserve"> </w:t>
      </w:r>
    </w:p>
    <w:p w:rsidR="00F97279" w:rsidRPr="00F97279" w:rsidRDefault="00F97279" w:rsidP="00D54400">
      <w:pPr>
        <w:pStyle w:val="a6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</w:rPr>
      </w:pPr>
      <w:r w:rsidRPr="00F97279">
        <w:rPr>
          <w:rFonts w:ascii="David" w:hAnsi="David" w:cs="David"/>
          <w:sz w:val="24"/>
          <w:szCs w:val="24"/>
          <w:rtl/>
        </w:rPr>
        <w:t>על התאגידים הבנקאיים להמשיך ולפעול לעידוד הלקוחות לעבור לקבלת שירותים בערוצים הדיגיטליים והטלפוניים</w:t>
      </w:r>
      <w:r w:rsidR="00D54400">
        <w:rPr>
          <w:rFonts w:ascii="David" w:hAnsi="David" w:cs="David" w:hint="cs"/>
          <w:sz w:val="24"/>
          <w:szCs w:val="24"/>
          <w:rtl/>
        </w:rPr>
        <w:t>;</w:t>
      </w:r>
      <w:r w:rsidRPr="00F97279">
        <w:rPr>
          <w:rFonts w:ascii="David" w:hAnsi="David" w:cs="David"/>
          <w:sz w:val="24"/>
          <w:szCs w:val="24"/>
          <w:rtl/>
        </w:rPr>
        <w:t xml:space="preserve"> </w:t>
      </w:r>
    </w:p>
    <w:p w:rsidR="005939D7" w:rsidRPr="005939D7" w:rsidRDefault="005939D7" w:rsidP="00B5440B">
      <w:pPr>
        <w:pStyle w:val="a6"/>
        <w:numPr>
          <w:ilvl w:val="0"/>
          <w:numId w:val="5"/>
        </w:num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939D7">
        <w:rPr>
          <w:rFonts w:ascii="David" w:hAnsi="David" w:cs="David"/>
          <w:sz w:val="24"/>
          <w:szCs w:val="24"/>
          <w:rtl/>
        </w:rPr>
        <w:t>המפקח</w:t>
      </w:r>
      <w:r w:rsidR="006F6D87">
        <w:rPr>
          <w:rFonts w:ascii="David" w:hAnsi="David" w:cs="David" w:hint="cs"/>
          <w:sz w:val="24"/>
          <w:szCs w:val="24"/>
          <w:rtl/>
        </w:rPr>
        <w:t>ת</w:t>
      </w:r>
      <w:r w:rsidRPr="005939D7">
        <w:rPr>
          <w:rFonts w:ascii="David" w:hAnsi="David" w:cs="David"/>
          <w:sz w:val="24"/>
          <w:szCs w:val="24"/>
          <w:rtl/>
        </w:rPr>
        <w:t xml:space="preserve"> על הבנקים רשאי</w:t>
      </w:r>
      <w:r w:rsidR="006F6D87">
        <w:rPr>
          <w:rFonts w:ascii="David" w:hAnsi="David" w:cs="David" w:hint="cs"/>
          <w:sz w:val="24"/>
          <w:szCs w:val="24"/>
          <w:rtl/>
        </w:rPr>
        <w:t>ת</w:t>
      </w:r>
      <w:r w:rsidRPr="005939D7">
        <w:rPr>
          <w:rFonts w:ascii="David" w:hAnsi="David" w:cs="David"/>
          <w:sz w:val="24"/>
          <w:szCs w:val="24"/>
          <w:rtl/>
        </w:rPr>
        <w:t xml:space="preserve"> לקבוע הוראות שונות לעניין פתיחת סניפים לקהל בימים מסוימים ולעניין השירותים שיינתנו בהם</w:t>
      </w:r>
      <w:r w:rsidR="006F6D87">
        <w:rPr>
          <w:rFonts w:ascii="David" w:hAnsi="David" w:cs="David" w:hint="cs"/>
          <w:sz w:val="24"/>
          <w:szCs w:val="24"/>
          <w:rtl/>
        </w:rPr>
        <w:t>.</w:t>
      </w:r>
    </w:p>
    <w:p w:rsidR="00F97279" w:rsidRPr="00F97279" w:rsidRDefault="00F97279" w:rsidP="00E27AE5">
      <w:pPr>
        <w:pStyle w:val="a6"/>
        <w:spacing w:after="120" w:line="360" w:lineRule="auto"/>
        <w:ind w:hanging="360"/>
        <w:jc w:val="both"/>
        <w:rPr>
          <w:rFonts w:ascii="Times New Roman" w:hAnsi="Times New Roman"/>
          <w:rtl/>
        </w:rPr>
      </w:pPr>
    </w:p>
    <w:p w:rsidR="00DB3E43" w:rsidRDefault="006F6D87" w:rsidP="00B5440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להלן קישור לרשימת הסניפים הפועלים במתכונת חירום לאור אירוע נגיף הקורונה:</w:t>
      </w:r>
    </w:p>
    <w:p w:rsidR="006F6D87" w:rsidRPr="006F6D87" w:rsidRDefault="00BF25C9" w:rsidP="00B5440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hyperlink r:id="rId12" w:history="1">
        <w:r w:rsidR="006F6D87" w:rsidRPr="006F6D87">
          <w:rPr>
            <w:rStyle w:val="Hyperlink"/>
            <w:rFonts w:ascii="David" w:hAnsi="David" w:cs="David"/>
            <w:sz w:val="24"/>
            <w:szCs w:val="24"/>
          </w:rPr>
          <w:t>https://www.boi.org.il/he/BankingSupervision/Pages/COVID19VIRUSQANDA.aspx</w:t>
        </w:r>
      </w:hyperlink>
    </w:p>
    <w:p w:rsidR="0029667B" w:rsidRPr="00CA1AA7" w:rsidRDefault="0029667B" w:rsidP="00B5440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6674F" w:rsidRPr="00CA1AA7" w:rsidRDefault="00D6674F" w:rsidP="00B5440B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D6674F" w:rsidRPr="00CA1AA7" w:rsidSect="00955B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C9" w:rsidRDefault="00BF25C9" w:rsidP="003C5F89">
      <w:pPr>
        <w:spacing w:after="0" w:line="240" w:lineRule="auto"/>
      </w:pPr>
      <w:r>
        <w:separator/>
      </w:r>
    </w:p>
  </w:endnote>
  <w:endnote w:type="continuationSeparator" w:id="0">
    <w:p w:rsidR="00BF25C9" w:rsidRDefault="00BF25C9" w:rsidP="003C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C9" w:rsidRDefault="00BF25C9" w:rsidP="003C5F89">
      <w:pPr>
        <w:spacing w:after="0" w:line="240" w:lineRule="auto"/>
      </w:pPr>
      <w:r>
        <w:separator/>
      </w:r>
    </w:p>
  </w:footnote>
  <w:footnote w:type="continuationSeparator" w:id="0">
    <w:p w:rsidR="00BF25C9" w:rsidRDefault="00BF25C9" w:rsidP="003C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4DE0"/>
    <w:multiLevelType w:val="hybridMultilevel"/>
    <w:tmpl w:val="A2368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2B16"/>
    <w:multiLevelType w:val="hybridMultilevel"/>
    <w:tmpl w:val="2E1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07CC"/>
    <w:multiLevelType w:val="hybridMultilevel"/>
    <w:tmpl w:val="57A4BA3E"/>
    <w:lvl w:ilvl="0" w:tplc="BAD40692">
      <w:start w:val="1"/>
      <w:numFmt w:val="decimal"/>
      <w:lvlText w:val="%1."/>
      <w:lvlJc w:val="left"/>
      <w:pPr>
        <w:ind w:left="915" w:hanging="55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347E"/>
    <w:multiLevelType w:val="hybridMultilevel"/>
    <w:tmpl w:val="19CCE8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5E669B"/>
    <w:multiLevelType w:val="hybridMultilevel"/>
    <w:tmpl w:val="1C74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4F"/>
    <w:rsid w:val="00035D5E"/>
    <w:rsid w:val="00132625"/>
    <w:rsid w:val="00197B71"/>
    <w:rsid w:val="002177C6"/>
    <w:rsid w:val="00292389"/>
    <w:rsid w:val="0029667B"/>
    <w:rsid w:val="00297AA0"/>
    <w:rsid w:val="002A33F4"/>
    <w:rsid w:val="002E1BE0"/>
    <w:rsid w:val="00344F1D"/>
    <w:rsid w:val="00372F3C"/>
    <w:rsid w:val="0038049C"/>
    <w:rsid w:val="003949D9"/>
    <w:rsid w:val="003C5F89"/>
    <w:rsid w:val="003E5868"/>
    <w:rsid w:val="004642A2"/>
    <w:rsid w:val="00495A78"/>
    <w:rsid w:val="004B1636"/>
    <w:rsid w:val="004F169B"/>
    <w:rsid w:val="005053DD"/>
    <w:rsid w:val="00522C22"/>
    <w:rsid w:val="005939D7"/>
    <w:rsid w:val="0065099E"/>
    <w:rsid w:val="006F6D87"/>
    <w:rsid w:val="00705390"/>
    <w:rsid w:val="0077767E"/>
    <w:rsid w:val="00825BDA"/>
    <w:rsid w:val="008266E5"/>
    <w:rsid w:val="008334D8"/>
    <w:rsid w:val="008912B2"/>
    <w:rsid w:val="008D4579"/>
    <w:rsid w:val="008E09FE"/>
    <w:rsid w:val="00955BFD"/>
    <w:rsid w:val="00A23419"/>
    <w:rsid w:val="00AF095F"/>
    <w:rsid w:val="00B03EA7"/>
    <w:rsid w:val="00B10770"/>
    <w:rsid w:val="00B5440B"/>
    <w:rsid w:val="00B93AB4"/>
    <w:rsid w:val="00BA2E24"/>
    <w:rsid w:val="00BF25C9"/>
    <w:rsid w:val="00BF3FC3"/>
    <w:rsid w:val="00C63115"/>
    <w:rsid w:val="00C72A11"/>
    <w:rsid w:val="00C90394"/>
    <w:rsid w:val="00CA1AA7"/>
    <w:rsid w:val="00D54400"/>
    <w:rsid w:val="00D62ECE"/>
    <w:rsid w:val="00D6674F"/>
    <w:rsid w:val="00DB3E43"/>
    <w:rsid w:val="00DD099E"/>
    <w:rsid w:val="00E27AE5"/>
    <w:rsid w:val="00E4007E"/>
    <w:rsid w:val="00E60F1D"/>
    <w:rsid w:val="00F17860"/>
    <w:rsid w:val="00F503A9"/>
    <w:rsid w:val="00F93099"/>
    <w:rsid w:val="00F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7BD47-5312-487F-BB95-9EB916C1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5F8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3C5F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5F89"/>
    <w:rPr>
      <w:vertAlign w:val="superscript"/>
    </w:rPr>
  </w:style>
  <w:style w:type="paragraph" w:styleId="a6">
    <w:name w:val="List Paragraph"/>
    <w:basedOn w:val="a"/>
    <w:uiPriority w:val="34"/>
    <w:qFormat/>
    <w:rsid w:val="008334D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33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34D8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833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34D8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8334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4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8334D8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F6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he/BankingSupervision/Pages/COVID19VIRUSQANDA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E663-6720-4137-A1A4-FC0E8D161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FC6E2-BFDC-4AE7-A4BD-D21CEB758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3DAE5-87C4-43DD-B781-54B37F4708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FA7F7E-1EA0-4BFB-86CC-DD5C4444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Soffer</dc:creator>
  <cp:keywords/>
  <dc:description/>
  <cp:lastModifiedBy>boiuser</cp:lastModifiedBy>
  <cp:revision>3</cp:revision>
  <dcterms:created xsi:type="dcterms:W3CDTF">2020-04-22T10:49:00Z</dcterms:created>
  <dcterms:modified xsi:type="dcterms:W3CDTF">2020-04-22T10:50:00Z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