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D" w:rsidRPr="00861C96" w:rsidRDefault="0009048D" w:rsidP="0009048D">
      <w:pPr>
        <w:pStyle w:val="regpar"/>
        <w:spacing w:line="300" w:lineRule="atLeast"/>
        <w:ind w:firstLine="0"/>
        <w:jc w:val="center"/>
        <w:rPr>
          <w:rFonts w:asciiTheme="minorHAnsi" w:hAnsiTheme="minorHAnsi" w:cstheme="minorHAnsi"/>
          <w:bCs/>
          <w:sz w:val="22"/>
          <w:szCs w:val="22"/>
        </w:rPr>
      </w:pPr>
    </w:p>
    <w:p w:rsidR="00861C96" w:rsidRPr="00861C96" w:rsidRDefault="00861C96" w:rsidP="0009048D">
      <w:pPr>
        <w:pStyle w:val="regpar"/>
        <w:spacing w:line="300" w:lineRule="atLeast"/>
        <w:ind w:firstLine="0"/>
        <w:jc w:val="center"/>
        <w:rPr>
          <w:rFonts w:asciiTheme="minorHAnsi" w:hAnsiTheme="minorHAnsi" w:cstheme="minorHAnsi"/>
          <w:bCs/>
          <w:sz w:val="22"/>
          <w:szCs w:val="22"/>
        </w:rPr>
      </w:pPr>
    </w:p>
    <w:p w:rsidR="00861C96" w:rsidRPr="00861C96" w:rsidRDefault="00861C96" w:rsidP="0009048D">
      <w:pPr>
        <w:pStyle w:val="regpar"/>
        <w:spacing w:line="300" w:lineRule="atLeast"/>
        <w:ind w:firstLine="0"/>
        <w:jc w:val="center"/>
        <w:rPr>
          <w:rFonts w:asciiTheme="minorHAnsi" w:hAnsiTheme="minorHAnsi" w:cstheme="minorHAnsi"/>
          <w:bCs/>
          <w:sz w:val="22"/>
          <w:szCs w:val="22"/>
        </w:rPr>
      </w:pPr>
    </w:p>
    <w:p w:rsidR="00861C96" w:rsidRPr="00861C96" w:rsidRDefault="00861C96" w:rsidP="00861C96">
      <w:pPr>
        <w:pStyle w:val="regpar"/>
        <w:spacing w:line="300" w:lineRule="atLeast"/>
        <w:ind w:firstLine="0"/>
        <w:rPr>
          <w:rFonts w:asciiTheme="minorHAnsi" w:hAnsiTheme="minorHAnsi" w:cstheme="minorHAnsi"/>
          <w:bCs/>
        </w:rPr>
      </w:pPr>
      <w:r w:rsidRPr="00861C96">
        <w:rPr>
          <w:rFonts w:asciiTheme="minorHAnsi" w:hAnsiTheme="minorHAnsi" w:cstheme="minorHAnsi"/>
          <w:bCs/>
          <w:noProof/>
        </w:rPr>
        <w:drawing>
          <wp:anchor distT="0" distB="0" distL="114300" distR="114300" simplePos="0" relativeHeight="251659264" behindDoc="1" locked="0" layoutInCell="1" allowOverlap="1" wp14:anchorId="355E86DD" wp14:editId="0668A12F">
            <wp:simplePos x="0" y="0"/>
            <wp:positionH relativeFrom="column">
              <wp:posOffset>2454910</wp:posOffset>
            </wp:positionH>
            <wp:positionV relativeFrom="paragraph">
              <wp:posOffset>104775</wp:posOffset>
            </wp:positionV>
            <wp:extent cx="891540" cy="891540"/>
            <wp:effectExtent l="0" t="0" r="0" b="0"/>
            <wp:wrapTight wrapText="bothSides">
              <wp:wrapPolygon edited="0">
                <wp:start x="7385" y="923"/>
                <wp:lineTo x="5077" y="2769"/>
                <wp:lineTo x="923" y="7846"/>
                <wp:lineTo x="923" y="10615"/>
                <wp:lineTo x="2308" y="16615"/>
                <wp:lineTo x="6923" y="19846"/>
                <wp:lineTo x="8769" y="20769"/>
                <wp:lineTo x="11077" y="20769"/>
                <wp:lineTo x="18000" y="17538"/>
                <wp:lineTo x="18462" y="16615"/>
                <wp:lineTo x="20769" y="8308"/>
                <wp:lineTo x="15692" y="2769"/>
                <wp:lineTo x="13385" y="923"/>
                <wp:lineTo x="7385" y="923"/>
              </wp:wrapPolygon>
            </wp:wrapTight>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anchor>
        </w:drawing>
      </w:r>
    </w:p>
    <w:p w:rsidR="00861C96" w:rsidRPr="00861C96" w:rsidRDefault="00861C96" w:rsidP="00861C96">
      <w:pPr>
        <w:pStyle w:val="regpar"/>
        <w:spacing w:line="300" w:lineRule="atLeast"/>
        <w:ind w:firstLine="0"/>
        <w:jc w:val="center"/>
        <w:rPr>
          <w:rFonts w:asciiTheme="minorHAnsi" w:hAnsiTheme="minorHAnsi" w:cstheme="minorHAnsi"/>
          <w:bCs/>
        </w:rPr>
      </w:pPr>
    </w:p>
    <w:p w:rsidR="00861C96" w:rsidRPr="00861C96" w:rsidRDefault="00861C96" w:rsidP="00861C96">
      <w:pPr>
        <w:pStyle w:val="regpar"/>
        <w:spacing w:line="300" w:lineRule="atLeast"/>
        <w:ind w:firstLine="0"/>
        <w:jc w:val="center"/>
        <w:rPr>
          <w:rFonts w:asciiTheme="minorHAnsi" w:hAnsiTheme="minorHAnsi" w:cstheme="minorHAnsi"/>
          <w:bCs/>
        </w:rPr>
      </w:pPr>
    </w:p>
    <w:p w:rsidR="00861C96" w:rsidRPr="00861C96" w:rsidRDefault="00861C96" w:rsidP="00861C96">
      <w:pPr>
        <w:pStyle w:val="regpar"/>
        <w:spacing w:line="300" w:lineRule="atLeast"/>
        <w:ind w:firstLine="0"/>
        <w:jc w:val="center"/>
        <w:rPr>
          <w:rFonts w:asciiTheme="minorHAnsi" w:hAnsiTheme="minorHAnsi" w:cstheme="minorHAnsi"/>
          <w:bCs/>
        </w:rPr>
      </w:pPr>
    </w:p>
    <w:p w:rsidR="00861C96" w:rsidRPr="00861C96" w:rsidRDefault="00861C96" w:rsidP="00861C96">
      <w:pPr>
        <w:pStyle w:val="regpar"/>
        <w:spacing w:line="300" w:lineRule="atLeast"/>
        <w:ind w:firstLine="0"/>
        <w:jc w:val="center"/>
        <w:rPr>
          <w:rFonts w:asciiTheme="minorHAnsi" w:hAnsiTheme="minorHAnsi" w:cstheme="minorHAnsi"/>
          <w:bCs/>
        </w:rPr>
      </w:pPr>
    </w:p>
    <w:p w:rsidR="00861C96" w:rsidRPr="00861C96" w:rsidRDefault="00861C96" w:rsidP="00861C96">
      <w:pPr>
        <w:pStyle w:val="regpar"/>
        <w:spacing w:line="300" w:lineRule="atLeast"/>
        <w:ind w:firstLine="0"/>
        <w:jc w:val="center"/>
        <w:rPr>
          <w:rFonts w:asciiTheme="minorHAnsi" w:hAnsiTheme="minorHAnsi" w:cstheme="minorHAnsi"/>
          <w:bCs/>
        </w:rPr>
      </w:pPr>
    </w:p>
    <w:p w:rsidR="00861C96" w:rsidRPr="00861C96" w:rsidRDefault="00861C96" w:rsidP="00861C96">
      <w:pPr>
        <w:pStyle w:val="regpar"/>
        <w:spacing w:line="300" w:lineRule="atLeast"/>
        <w:ind w:firstLine="0"/>
        <w:jc w:val="center"/>
        <w:rPr>
          <w:rFonts w:asciiTheme="minorHAnsi" w:hAnsiTheme="minorHAnsi" w:cstheme="minorHAnsi"/>
          <w:bCs/>
        </w:rPr>
      </w:pPr>
      <w:r w:rsidRPr="00861C96">
        <w:rPr>
          <w:rFonts w:asciiTheme="minorHAnsi" w:hAnsiTheme="minorHAnsi" w:cstheme="minorHAnsi"/>
          <w:bCs/>
        </w:rPr>
        <w:t>BANK OF ISRAEL</w:t>
      </w:r>
    </w:p>
    <w:p w:rsidR="00861C96" w:rsidRPr="00861C96" w:rsidRDefault="00861C96" w:rsidP="00861C96">
      <w:pPr>
        <w:pStyle w:val="regpar"/>
        <w:spacing w:line="300" w:lineRule="atLeast"/>
        <w:ind w:firstLine="0"/>
        <w:jc w:val="center"/>
        <w:rPr>
          <w:rFonts w:asciiTheme="minorHAnsi" w:hAnsiTheme="minorHAnsi" w:cstheme="minorHAnsi"/>
          <w:b/>
        </w:rPr>
      </w:pPr>
      <w:r w:rsidRPr="00861C96">
        <w:rPr>
          <w:rFonts w:asciiTheme="minorHAnsi" w:hAnsiTheme="minorHAnsi" w:cstheme="minorHAnsi"/>
        </w:rPr>
        <w:t>Office of the Spokesperson and Economic Information</w:t>
      </w:r>
    </w:p>
    <w:p w:rsidR="00861C96" w:rsidRPr="00861C96" w:rsidRDefault="00861C96" w:rsidP="0009048D">
      <w:pPr>
        <w:pStyle w:val="regpar"/>
        <w:spacing w:line="300" w:lineRule="atLeast"/>
        <w:ind w:firstLine="0"/>
        <w:jc w:val="center"/>
        <w:rPr>
          <w:rFonts w:asciiTheme="minorHAnsi" w:hAnsiTheme="minorHAnsi" w:cstheme="minorHAnsi"/>
          <w:bCs/>
          <w:sz w:val="22"/>
          <w:szCs w:val="22"/>
        </w:rPr>
      </w:pPr>
    </w:p>
    <w:p w:rsidR="00861C96" w:rsidRPr="00861C96" w:rsidRDefault="00861C96" w:rsidP="0009048D">
      <w:pPr>
        <w:pStyle w:val="regpar"/>
        <w:spacing w:line="300" w:lineRule="atLeast"/>
        <w:ind w:firstLine="0"/>
        <w:jc w:val="center"/>
        <w:rPr>
          <w:rFonts w:asciiTheme="minorHAnsi" w:hAnsiTheme="minorHAnsi" w:cstheme="minorHAnsi"/>
          <w:bCs/>
          <w:sz w:val="22"/>
          <w:szCs w:val="22"/>
        </w:rPr>
      </w:pPr>
    </w:p>
    <w:p w:rsidR="00861C96" w:rsidRPr="00861C96" w:rsidRDefault="00861C96" w:rsidP="0009048D">
      <w:pPr>
        <w:pStyle w:val="regpar"/>
        <w:spacing w:line="300" w:lineRule="atLeast"/>
        <w:ind w:firstLine="0"/>
        <w:jc w:val="center"/>
        <w:rPr>
          <w:rFonts w:asciiTheme="minorHAnsi" w:hAnsiTheme="minorHAnsi" w:cstheme="minorHAnsi"/>
          <w:sz w:val="22"/>
          <w:szCs w:val="22"/>
        </w:rPr>
      </w:pPr>
    </w:p>
    <w:p w:rsidR="0009048D" w:rsidRPr="00861C96" w:rsidRDefault="0009048D" w:rsidP="00861C96">
      <w:pPr>
        <w:pStyle w:val="regpar"/>
        <w:spacing w:line="300" w:lineRule="atLeast"/>
        <w:ind w:firstLine="0"/>
        <w:rPr>
          <w:rFonts w:asciiTheme="minorHAnsi" w:hAnsiTheme="minorHAnsi" w:cstheme="minorHAnsi"/>
          <w:sz w:val="22"/>
          <w:szCs w:val="22"/>
        </w:rPr>
      </w:pPr>
      <w:r w:rsidRPr="00861C96">
        <w:rPr>
          <w:rFonts w:asciiTheme="minorHAnsi" w:hAnsiTheme="minorHAnsi" w:cstheme="minorHAnsi"/>
          <w:sz w:val="22"/>
          <w:szCs w:val="22"/>
        </w:rPr>
        <w:t>Press release</w:t>
      </w:r>
    </w:p>
    <w:p w:rsidR="00DD0AB5" w:rsidRPr="00861C96" w:rsidRDefault="00DD0AB5" w:rsidP="00A60E0E">
      <w:pPr>
        <w:pStyle w:val="regpar"/>
        <w:spacing w:line="300" w:lineRule="atLeast"/>
        <w:ind w:firstLine="0"/>
        <w:jc w:val="center"/>
        <w:rPr>
          <w:rFonts w:asciiTheme="minorHAnsi" w:hAnsiTheme="minorHAnsi" w:cstheme="minorHAnsi"/>
          <w:b/>
          <w:sz w:val="22"/>
          <w:szCs w:val="22"/>
        </w:rPr>
      </w:pPr>
    </w:p>
    <w:p w:rsidR="000E0FCD" w:rsidRPr="00861C96" w:rsidRDefault="00600EFA" w:rsidP="003E202F">
      <w:pPr>
        <w:pStyle w:val="regpar"/>
        <w:rPr>
          <w:rFonts w:asciiTheme="minorHAnsi" w:hAnsiTheme="minorHAnsi" w:cstheme="minorHAnsi"/>
          <w:sz w:val="22"/>
          <w:szCs w:val="22"/>
        </w:rPr>
      </w:pPr>
      <w:r w:rsidRPr="00861C96">
        <w:rPr>
          <w:rFonts w:asciiTheme="minorHAnsi" w:hAnsiTheme="minorHAnsi" w:cstheme="minorHAnsi"/>
          <w:sz w:val="22"/>
          <w:szCs w:val="22"/>
        </w:rPr>
        <w:t>Ju</w:t>
      </w:r>
      <w:r w:rsidR="003E202F" w:rsidRPr="00861C96">
        <w:rPr>
          <w:rFonts w:asciiTheme="minorHAnsi" w:hAnsiTheme="minorHAnsi" w:cstheme="minorHAnsi"/>
          <w:sz w:val="22"/>
          <w:szCs w:val="22"/>
        </w:rPr>
        <w:t>ly</w:t>
      </w:r>
      <w:r w:rsidR="000E0FCD" w:rsidRPr="00861C96">
        <w:rPr>
          <w:rFonts w:asciiTheme="minorHAnsi" w:hAnsiTheme="minorHAnsi" w:cstheme="minorHAnsi"/>
          <w:sz w:val="22"/>
          <w:szCs w:val="22"/>
        </w:rPr>
        <w:t xml:space="preserve"> </w:t>
      </w:r>
      <w:r w:rsidRPr="00861C96">
        <w:rPr>
          <w:rFonts w:asciiTheme="minorHAnsi" w:hAnsiTheme="minorHAnsi" w:cstheme="minorHAnsi"/>
          <w:sz w:val="22"/>
          <w:szCs w:val="22"/>
        </w:rPr>
        <w:t>1</w:t>
      </w:r>
      <w:r w:rsidR="003E202F" w:rsidRPr="00861C96">
        <w:rPr>
          <w:rFonts w:asciiTheme="minorHAnsi" w:hAnsiTheme="minorHAnsi" w:cstheme="minorHAnsi"/>
          <w:sz w:val="22"/>
          <w:szCs w:val="22"/>
        </w:rPr>
        <w:t>5</w:t>
      </w:r>
      <w:r w:rsidR="000E0FCD" w:rsidRPr="00861C96">
        <w:rPr>
          <w:rFonts w:asciiTheme="minorHAnsi" w:hAnsiTheme="minorHAnsi" w:cstheme="minorHAnsi"/>
          <w:sz w:val="22"/>
          <w:szCs w:val="22"/>
        </w:rPr>
        <w:t>, 2026</w:t>
      </w:r>
    </w:p>
    <w:p w:rsidR="00F23C43" w:rsidRPr="00861C96" w:rsidRDefault="00F23C43" w:rsidP="00F23C43">
      <w:pPr>
        <w:pStyle w:val="regpar"/>
        <w:rPr>
          <w:rFonts w:asciiTheme="minorHAnsi" w:hAnsiTheme="minorHAnsi" w:cstheme="minorHAnsi"/>
          <w:sz w:val="22"/>
          <w:szCs w:val="22"/>
        </w:rPr>
      </w:pPr>
    </w:p>
    <w:p w:rsidR="00D00CF7" w:rsidRPr="00861C96" w:rsidRDefault="00D00CF7" w:rsidP="00D00CF7">
      <w:pPr>
        <w:pStyle w:val="regpar"/>
        <w:jc w:val="center"/>
        <w:rPr>
          <w:rFonts w:asciiTheme="minorHAnsi" w:hAnsiTheme="minorHAnsi" w:cstheme="minorHAnsi"/>
          <w:b/>
          <w:bCs/>
          <w:sz w:val="22"/>
          <w:szCs w:val="22"/>
        </w:rPr>
      </w:pPr>
    </w:p>
    <w:p w:rsidR="00B713DD" w:rsidRPr="00861C96" w:rsidRDefault="00B713DD" w:rsidP="00B713DD">
      <w:pPr>
        <w:pStyle w:val="regpar"/>
        <w:ind w:firstLine="0"/>
        <w:jc w:val="center"/>
        <w:rPr>
          <w:rFonts w:asciiTheme="minorHAnsi" w:hAnsiTheme="minorHAnsi" w:cstheme="minorHAnsi"/>
          <w:b/>
          <w:bCs/>
          <w:rtl/>
        </w:rPr>
      </w:pPr>
      <w:r w:rsidRPr="00861C96">
        <w:rPr>
          <w:rFonts w:asciiTheme="minorHAnsi" w:hAnsiTheme="minorHAnsi" w:cstheme="minorHAnsi"/>
          <w:b/>
          <w:bCs/>
          <w:sz w:val="22"/>
          <w:szCs w:val="22"/>
        </w:rPr>
        <w:t>The monthly Index of Economic Activity increased by 2.5 percent in June</w:t>
      </w:r>
    </w:p>
    <w:p w:rsidR="00B713DD" w:rsidRPr="00861C96" w:rsidRDefault="00B713DD" w:rsidP="00B713DD">
      <w:pPr>
        <w:pStyle w:val="regpar"/>
        <w:ind w:firstLine="0"/>
        <w:jc w:val="center"/>
        <w:rPr>
          <w:rFonts w:asciiTheme="minorHAnsi" w:hAnsiTheme="minorHAnsi" w:cstheme="minorHAnsi"/>
        </w:rPr>
      </w:pPr>
    </w:p>
    <w:p w:rsidR="00B713DD" w:rsidRPr="00861C96" w:rsidRDefault="00B713DD" w:rsidP="00D073A6">
      <w:pPr>
        <w:spacing w:before="100" w:beforeAutospacing="1" w:after="100" w:afterAutospacing="1" w:line="360" w:lineRule="auto"/>
        <w:jc w:val="both"/>
        <w:rPr>
          <w:rFonts w:asciiTheme="minorHAnsi" w:hAnsiTheme="minorHAnsi" w:cstheme="minorHAnsi"/>
          <w:sz w:val="22"/>
          <w:szCs w:val="22"/>
        </w:rPr>
      </w:pPr>
      <w:r w:rsidRPr="00861C96">
        <w:rPr>
          <w:rFonts w:asciiTheme="minorHAnsi" w:hAnsiTheme="minorHAnsi" w:cstheme="minorHAnsi"/>
          <w:sz w:val="22"/>
          <w:szCs w:val="22"/>
        </w:rPr>
        <w:t>The monthly Index of Economic Activity</w:t>
      </w:r>
      <w:r w:rsidRPr="00861C96">
        <w:rPr>
          <w:rStyle w:val="a6"/>
          <w:rFonts w:asciiTheme="minorHAnsi" w:hAnsiTheme="minorHAnsi" w:cstheme="minorHAnsi"/>
        </w:rPr>
        <w:footnoteReference w:id="1"/>
      </w:r>
      <w:r w:rsidRPr="00861C96">
        <w:rPr>
          <w:rFonts w:asciiTheme="minorHAnsi" w:hAnsiTheme="minorHAnsi" w:cstheme="minorHAnsi"/>
          <w:sz w:val="22"/>
          <w:szCs w:val="22"/>
        </w:rPr>
        <w:t xml:space="preserve"> increased by 2.5 percent in </w:t>
      </w:r>
      <w:r w:rsidR="00D85D91" w:rsidRPr="00861C96">
        <w:rPr>
          <w:rFonts w:asciiTheme="minorHAnsi" w:hAnsiTheme="minorHAnsi" w:cstheme="minorHAnsi"/>
          <w:sz w:val="22"/>
          <w:szCs w:val="22"/>
        </w:rPr>
        <w:t>June</w:t>
      </w:r>
      <w:r w:rsidRPr="00861C96">
        <w:rPr>
          <w:rFonts w:asciiTheme="minorHAnsi" w:hAnsiTheme="minorHAnsi" w:cstheme="minorHAnsi"/>
          <w:sz w:val="22"/>
          <w:szCs w:val="22"/>
        </w:rPr>
        <w:t xml:space="preserve">. The Index this month reflects the average monthly growth estimate for the three months from April to June. As such, the rapid growth is due to the exit from the Index of the low level of activity that </w:t>
      </w:r>
      <w:proofErr w:type="gramStart"/>
      <w:r w:rsidRPr="00861C96">
        <w:rPr>
          <w:rFonts w:asciiTheme="minorHAnsi" w:hAnsiTheme="minorHAnsi" w:cstheme="minorHAnsi"/>
          <w:sz w:val="22"/>
          <w:szCs w:val="22"/>
        </w:rPr>
        <w:t>was experienced</w:t>
      </w:r>
      <w:proofErr w:type="gramEnd"/>
      <w:r w:rsidRPr="00861C96">
        <w:rPr>
          <w:rFonts w:asciiTheme="minorHAnsi" w:hAnsiTheme="minorHAnsi" w:cstheme="minorHAnsi"/>
          <w:sz w:val="22"/>
          <w:szCs w:val="22"/>
        </w:rPr>
        <w:t xml:space="preserve"> in March due to Operation Roaring Lion. </w:t>
      </w:r>
      <w:proofErr w:type="gramStart"/>
      <w:r w:rsidRPr="00861C96">
        <w:rPr>
          <w:rFonts w:asciiTheme="minorHAnsi" w:hAnsiTheme="minorHAnsi" w:cstheme="minorHAnsi"/>
          <w:sz w:val="22"/>
          <w:szCs w:val="22"/>
        </w:rPr>
        <w:t>The Index was positively impacted data on credit card purchases, goods exports, and the import of consumption goods and of manufacturing inputs in April and May, trade and services revenue data and industrial production data in April, labor market data and the retail trade index in May, and the Tel Aviv Stock Exchange General Shares Index and the Nasdaq Index in May.</w:t>
      </w:r>
      <w:proofErr w:type="gramEnd"/>
      <w:r w:rsidRPr="00861C96">
        <w:rPr>
          <w:rFonts w:asciiTheme="minorHAnsi" w:hAnsiTheme="minorHAnsi" w:cstheme="minorHAnsi"/>
          <w:sz w:val="22"/>
          <w:szCs w:val="22"/>
        </w:rPr>
        <w:t xml:space="preserve"> The local indicators available for June also show stability or some increase (Tables 1 and 2).</w:t>
      </w:r>
    </w:p>
    <w:p w:rsidR="00B713DD" w:rsidRPr="00861C96" w:rsidRDefault="00B713DD" w:rsidP="00D073A6">
      <w:pPr>
        <w:spacing w:before="100" w:beforeAutospacing="1" w:after="100" w:afterAutospacing="1" w:line="360" w:lineRule="auto"/>
        <w:jc w:val="both"/>
        <w:rPr>
          <w:rFonts w:asciiTheme="minorHAnsi" w:hAnsiTheme="minorHAnsi" w:cstheme="minorHAnsi"/>
          <w:sz w:val="22"/>
          <w:szCs w:val="22"/>
        </w:rPr>
      </w:pPr>
      <w:r w:rsidRPr="00861C96">
        <w:rPr>
          <w:rFonts w:asciiTheme="minorHAnsi" w:hAnsiTheme="minorHAnsi" w:cstheme="minorHAnsi"/>
          <w:sz w:val="22"/>
          <w:szCs w:val="22"/>
        </w:rPr>
        <w:t>The pace of increase of the index is above the long-term growth trend (about 0.3 percent).</w:t>
      </w:r>
    </w:p>
    <w:p w:rsidR="00B713DD" w:rsidRPr="00861C96" w:rsidRDefault="00B713DD" w:rsidP="00D073A6">
      <w:pPr>
        <w:spacing w:before="100" w:beforeAutospacing="1" w:after="100" w:afterAutospacing="1" w:line="360" w:lineRule="auto"/>
        <w:jc w:val="both"/>
        <w:rPr>
          <w:rFonts w:asciiTheme="minorHAnsi" w:hAnsiTheme="minorHAnsi" w:cstheme="minorHAnsi"/>
          <w:sz w:val="22"/>
          <w:szCs w:val="22"/>
          <w:rtl/>
        </w:rPr>
      </w:pPr>
      <w:r w:rsidRPr="00861C96">
        <w:rPr>
          <w:rFonts w:asciiTheme="minorHAnsi" w:hAnsiTheme="minorHAnsi" w:cstheme="minorHAnsi"/>
          <w:sz w:val="22"/>
          <w:szCs w:val="22"/>
        </w:rPr>
        <w:t xml:space="preserve">The Index for the past two months </w:t>
      </w:r>
      <w:proofErr w:type="gramStart"/>
      <w:r w:rsidRPr="00861C96">
        <w:rPr>
          <w:rFonts w:asciiTheme="minorHAnsi" w:hAnsiTheme="minorHAnsi" w:cstheme="minorHAnsi"/>
          <w:sz w:val="22"/>
          <w:szCs w:val="22"/>
        </w:rPr>
        <w:t>was revised</w:t>
      </w:r>
      <w:proofErr w:type="gramEnd"/>
      <w:r w:rsidRPr="00861C96">
        <w:rPr>
          <w:rFonts w:asciiTheme="minorHAnsi" w:hAnsiTheme="minorHAnsi" w:cstheme="minorHAnsi"/>
          <w:sz w:val="22"/>
          <w:szCs w:val="22"/>
        </w:rPr>
        <w:t xml:space="preserve"> upward with the completion of data that were previously missing and with the additional downward revision in growth data for the first quarter of 2026.</w:t>
      </w:r>
    </w:p>
    <w:p w:rsidR="00B713DD" w:rsidRPr="00861C96" w:rsidRDefault="00B713DD" w:rsidP="00D073A6">
      <w:pPr>
        <w:spacing w:before="100" w:beforeAutospacing="1" w:after="100" w:afterAutospacing="1" w:line="360" w:lineRule="auto"/>
        <w:jc w:val="both"/>
        <w:rPr>
          <w:rFonts w:asciiTheme="minorHAnsi" w:hAnsiTheme="minorHAnsi" w:cstheme="minorHAnsi"/>
          <w:sz w:val="22"/>
          <w:szCs w:val="22"/>
        </w:rPr>
      </w:pPr>
      <w:r w:rsidRPr="00861C96">
        <w:rPr>
          <w:rFonts w:asciiTheme="minorHAnsi" w:hAnsiTheme="minorHAnsi" w:cstheme="minorHAnsi"/>
          <w:sz w:val="22"/>
          <w:szCs w:val="22"/>
        </w:rPr>
        <w:t>Figure 1 presents the Index data over the past two years.  Table 1 presents the contributions of the Index’s components to the overall estimate and the revisions to the Index, and Table 2 presents the monthly rate of change in the Index’s components.</w:t>
      </w:r>
    </w:p>
    <w:p w:rsidR="00483E2F" w:rsidRPr="00861C96" w:rsidRDefault="00483E2F" w:rsidP="00483E2F">
      <w:pPr>
        <w:spacing w:before="100" w:beforeAutospacing="1" w:after="100" w:afterAutospacing="1"/>
        <w:jc w:val="both"/>
        <w:rPr>
          <w:rFonts w:asciiTheme="minorHAnsi" w:hAnsiTheme="minorHAnsi" w:cstheme="minorHAnsi"/>
          <w:sz w:val="22"/>
          <w:szCs w:val="22"/>
          <w:rtl/>
        </w:rPr>
      </w:pPr>
    </w:p>
    <w:p w:rsidR="00483E2F" w:rsidRPr="00861C96" w:rsidRDefault="00483E2F" w:rsidP="00D25960">
      <w:pPr>
        <w:pStyle w:val="regpar"/>
        <w:rPr>
          <w:rFonts w:asciiTheme="minorHAnsi" w:hAnsiTheme="minorHAnsi" w:cstheme="minorHAnsi"/>
        </w:rPr>
      </w:pPr>
    </w:p>
    <w:p w:rsidR="00483E2F" w:rsidRPr="00861C96" w:rsidRDefault="00483E2F" w:rsidP="00D25960">
      <w:pPr>
        <w:pStyle w:val="regpar"/>
        <w:rPr>
          <w:rFonts w:asciiTheme="minorHAnsi" w:hAnsiTheme="minorHAnsi" w:cstheme="minorHAnsi"/>
        </w:rPr>
      </w:pPr>
    </w:p>
    <w:p w:rsidR="00483E2F" w:rsidRPr="00861C96" w:rsidRDefault="00483E2F" w:rsidP="00D25960">
      <w:pPr>
        <w:pStyle w:val="regpar"/>
        <w:rPr>
          <w:rFonts w:asciiTheme="minorHAnsi" w:hAnsiTheme="minorHAnsi" w:cstheme="minorHAnsi"/>
        </w:rPr>
      </w:pPr>
    </w:p>
    <w:p w:rsidR="00483E2F" w:rsidRPr="00861C96" w:rsidRDefault="00483E2F" w:rsidP="00D25960">
      <w:pPr>
        <w:pStyle w:val="regpar"/>
        <w:rPr>
          <w:rFonts w:asciiTheme="minorHAnsi" w:hAnsiTheme="minorHAnsi" w:cstheme="minorHAnsi"/>
        </w:rPr>
      </w:pPr>
    </w:p>
    <w:p w:rsidR="00483E2F" w:rsidRPr="00861C96" w:rsidRDefault="00483E2F" w:rsidP="00D25960">
      <w:pPr>
        <w:pStyle w:val="regpar"/>
        <w:rPr>
          <w:rFonts w:asciiTheme="minorHAnsi" w:hAnsiTheme="minorHAnsi" w:cstheme="minorHAnsi"/>
        </w:rPr>
      </w:pPr>
    </w:p>
    <w:p w:rsidR="00D25960" w:rsidRPr="00861C96" w:rsidRDefault="00D25960" w:rsidP="00D25960">
      <w:pPr>
        <w:pStyle w:val="regpar"/>
        <w:rPr>
          <w:rFonts w:asciiTheme="minorHAnsi" w:hAnsiTheme="minorHAnsi" w:cstheme="minorHAnsi"/>
        </w:rPr>
      </w:pPr>
    </w:p>
    <w:p w:rsidR="00D25960" w:rsidRPr="00861C96" w:rsidRDefault="00D25960" w:rsidP="00D25960">
      <w:pPr>
        <w:pStyle w:val="regpar"/>
        <w:rPr>
          <w:rFonts w:asciiTheme="minorHAnsi" w:hAnsiTheme="minorHAnsi" w:cstheme="minorHAnsi"/>
        </w:rPr>
      </w:pPr>
    </w:p>
    <w:p w:rsidR="00D25960" w:rsidRPr="00861C96" w:rsidRDefault="00D25960" w:rsidP="00D25960">
      <w:pPr>
        <w:pStyle w:val="regpar"/>
        <w:rPr>
          <w:rFonts w:asciiTheme="minorHAnsi" w:hAnsiTheme="minorHAnsi" w:cstheme="minorHAnsi"/>
        </w:rPr>
      </w:pPr>
    </w:p>
    <w:p w:rsidR="00D25960" w:rsidRPr="00861C96" w:rsidRDefault="00D25960" w:rsidP="00D25960">
      <w:pPr>
        <w:pStyle w:val="regpar"/>
        <w:rPr>
          <w:rFonts w:asciiTheme="minorHAnsi" w:hAnsiTheme="minorHAnsi" w:cstheme="minorHAnsi"/>
        </w:rPr>
      </w:pPr>
    </w:p>
    <w:p w:rsidR="00D25960" w:rsidRPr="00861C96" w:rsidRDefault="00D25960" w:rsidP="00D25960">
      <w:pPr>
        <w:pStyle w:val="regpar"/>
        <w:rPr>
          <w:rFonts w:asciiTheme="minorHAnsi" w:hAnsiTheme="minorHAnsi" w:cstheme="minorHAnsi"/>
        </w:rPr>
      </w:pPr>
    </w:p>
    <w:p w:rsidR="00B235B1" w:rsidRPr="00861C96" w:rsidRDefault="00B235B1" w:rsidP="00B227DE">
      <w:pPr>
        <w:spacing w:before="100" w:beforeAutospacing="1" w:after="100" w:afterAutospacing="1"/>
        <w:jc w:val="both"/>
        <w:rPr>
          <w:rFonts w:asciiTheme="minorHAnsi" w:hAnsiTheme="minorHAnsi" w:cstheme="minorHAnsi"/>
          <w:b/>
          <w:bCs/>
          <w:sz w:val="22"/>
          <w:szCs w:val="22"/>
        </w:rPr>
      </w:pPr>
    </w:p>
    <w:p w:rsidR="00B227DE" w:rsidRPr="00861C96" w:rsidRDefault="00FF32C5" w:rsidP="00B227DE">
      <w:pPr>
        <w:spacing w:before="100" w:beforeAutospacing="1" w:after="100" w:afterAutospacing="1"/>
        <w:jc w:val="both"/>
        <w:rPr>
          <w:rFonts w:asciiTheme="minorHAnsi" w:hAnsiTheme="minorHAnsi" w:cstheme="minorHAnsi"/>
          <w:b/>
          <w:bCs/>
          <w:sz w:val="22"/>
          <w:szCs w:val="22"/>
        </w:rPr>
      </w:pPr>
      <w:r w:rsidRPr="00861C96">
        <w:rPr>
          <w:rFonts w:asciiTheme="minorHAnsi" w:hAnsiTheme="minorHAnsi" w:cstheme="minorHAnsi"/>
          <w:b/>
          <w:bCs/>
          <w:sz w:val="22"/>
          <w:szCs w:val="22"/>
        </w:rPr>
        <w:t>FIGURE 1</w:t>
      </w:r>
      <w:r w:rsidR="000A560F" w:rsidRPr="00861C96">
        <w:rPr>
          <w:rFonts w:asciiTheme="minorHAnsi" w:hAnsiTheme="minorHAnsi" w:cstheme="minorHAnsi"/>
          <w:b/>
          <w:bCs/>
          <w:sz w:val="22"/>
          <w:szCs w:val="22"/>
        </w:rPr>
        <w:t>: The Monthly Index of Economic Activity</w:t>
      </w:r>
    </w:p>
    <w:p w:rsidR="00D25960" w:rsidRPr="00861C96" w:rsidRDefault="00500503" w:rsidP="00B71608">
      <w:pPr>
        <w:pStyle w:val="regpar"/>
        <w:rPr>
          <w:rFonts w:asciiTheme="minorHAnsi" w:hAnsiTheme="minorHAnsi" w:cstheme="minorHAnsi"/>
        </w:rPr>
      </w:pPr>
      <w:r w:rsidRPr="00861C96">
        <w:rPr>
          <w:rFonts w:asciiTheme="minorHAnsi" w:hAnsiTheme="minorHAnsi" w:cstheme="minorHAnsi"/>
          <w:noProof/>
        </w:rPr>
        <w:drawing>
          <wp:inline distT="0" distB="0" distL="0" distR="0" wp14:anchorId="5190CADD" wp14:editId="58268114">
            <wp:extent cx="5741848" cy="3426264"/>
            <wp:effectExtent l="0" t="0" r="0" b="317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00" cy="3434828"/>
                    </a:xfrm>
                    <a:prstGeom prst="rect">
                      <a:avLst/>
                    </a:prstGeom>
                    <a:noFill/>
                  </pic:spPr>
                </pic:pic>
              </a:graphicData>
            </a:graphic>
          </wp:inline>
        </w:drawing>
      </w:r>
    </w:p>
    <w:p w:rsidR="00D25960" w:rsidRPr="00861C96" w:rsidRDefault="00D25960">
      <w:pPr>
        <w:rPr>
          <w:rFonts w:asciiTheme="minorHAnsi" w:hAnsiTheme="minorHAnsi" w:cstheme="minorHAnsi"/>
          <w:noProof/>
        </w:rPr>
      </w:pPr>
    </w:p>
    <w:p w:rsidR="00D25960" w:rsidRPr="00861C96" w:rsidRDefault="00D25960">
      <w:pPr>
        <w:rPr>
          <w:rFonts w:asciiTheme="minorHAnsi" w:hAnsiTheme="minorHAnsi" w:cstheme="minorHAnsi"/>
        </w:rPr>
      </w:pPr>
    </w:p>
    <w:p w:rsidR="00D25960" w:rsidRPr="00861C96" w:rsidRDefault="00D25960">
      <w:pPr>
        <w:rPr>
          <w:rFonts w:asciiTheme="minorHAnsi" w:hAnsiTheme="minorHAnsi" w:cstheme="minorHAnsi"/>
        </w:rPr>
      </w:pPr>
    </w:p>
    <w:p w:rsidR="003D7349" w:rsidRPr="00861C96" w:rsidRDefault="00500503" w:rsidP="003D7349">
      <w:pPr>
        <w:pStyle w:val="regpar"/>
        <w:rPr>
          <w:rFonts w:asciiTheme="minorHAnsi" w:hAnsiTheme="minorHAnsi" w:cstheme="minorHAnsi"/>
        </w:rPr>
      </w:pPr>
      <w:r w:rsidRPr="00861C96">
        <w:rPr>
          <w:rFonts w:asciiTheme="minorHAnsi" w:hAnsiTheme="minorHAnsi" w:cstheme="minorHAnsi"/>
          <w:noProof/>
        </w:rPr>
        <w:lastRenderedPageBreak/>
        <w:drawing>
          <wp:inline distT="0" distB="0" distL="0" distR="0" wp14:anchorId="64C2836B" wp14:editId="7AEE9147">
            <wp:extent cx="5361940" cy="3679825"/>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1940" cy="3679825"/>
                    </a:xfrm>
                    <a:prstGeom prst="rect">
                      <a:avLst/>
                    </a:prstGeom>
                    <a:noFill/>
                    <a:ln>
                      <a:noFill/>
                    </a:ln>
                  </pic:spPr>
                </pic:pic>
              </a:graphicData>
            </a:graphic>
          </wp:inline>
        </w:drawing>
      </w:r>
    </w:p>
    <w:p w:rsidR="00D25960" w:rsidRPr="00861C96" w:rsidRDefault="00D25960">
      <w:pPr>
        <w:rPr>
          <w:rFonts w:asciiTheme="minorHAnsi" w:hAnsiTheme="minorHAnsi" w:cstheme="minorHAnsi"/>
        </w:rPr>
      </w:pPr>
    </w:p>
    <w:p w:rsidR="00CC3F41" w:rsidRPr="00861C96" w:rsidRDefault="00CC3F41" w:rsidP="00CC3F41">
      <w:pPr>
        <w:rPr>
          <w:rFonts w:asciiTheme="minorHAnsi" w:hAnsiTheme="minorHAnsi" w:cstheme="minorHAnsi"/>
          <w:sz w:val="18"/>
          <w:szCs w:val="18"/>
        </w:rPr>
      </w:pPr>
      <w:r w:rsidRPr="00861C96">
        <w:rPr>
          <w:rFonts w:asciiTheme="minorHAnsi" w:hAnsiTheme="minorHAnsi" w:cstheme="minorHAnsi"/>
          <w:sz w:val="18"/>
          <w:szCs w:val="18"/>
        </w:rPr>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rsidR="00D25960" w:rsidRPr="00861C96" w:rsidRDefault="00D25960">
      <w:pPr>
        <w:rPr>
          <w:rFonts w:asciiTheme="minorHAnsi" w:hAnsiTheme="minorHAnsi" w:cstheme="minorHAnsi"/>
        </w:rPr>
      </w:pPr>
    </w:p>
    <w:p w:rsidR="00D25960" w:rsidRPr="00861C96" w:rsidRDefault="00D25960">
      <w:pPr>
        <w:rPr>
          <w:rFonts w:asciiTheme="minorHAnsi" w:hAnsiTheme="minorHAnsi" w:cstheme="minorHAnsi"/>
        </w:rPr>
      </w:pPr>
    </w:p>
    <w:p w:rsidR="00CC3F41" w:rsidRPr="00861C96" w:rsidRDefault="00500503" w:rsidP="003A1D71">
      <w:pPr>
        <w:rPr>
          <w:rFonts w:asciiTheme="minorHAnsi" w:hAnsiTheme="minorHAnsi" w:cstheme="minorHAnsi"/>
        </w:rPr>
      </w:pPr>
      <w:bookmarkStart w:id="0" w:name="_GoBack"/>
      <w:r w:rsidRPr="00861C96">
        <w:rPr>
          <w:rFonts w:asciiTheme="minorHAnsi" w:hAnsiTheme="minorHAnsi" w:cstheme="minorHAnsi"/>
          <w:noProof/>
        </w:rPr>
        <w:drawing>
          <wp:inline distT="0" distB="0" distL="0" distR="0" wp14:anchorId="3EC29B47" wp14:editId="4C96AF3A">
            <wp:extent cx="5760678" cy="4242816"/>
            <wp:effectExtent l="0" t="0" r="0" b="571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3734" cy="4245067"/>
                    </a:xfrm>
                    <a:prstGeom prst="rect">
                      <a:avLst/>
                    </a:prstGeom>
                    <a:noFill/>
                    <a:ln>
                      <a:noFill/>
                    </a:ln>
                  </pic:spPr>
                </pic:pic>
              </a:graphicData>
            </a:graphic>
          </wp:inline>
        </w:drawing>
      </w:r>
      <w:bookmarkEnd w:id="0"/>
    </w:p>
    <w:sectPr w:rsidR="00CC3F41" w:rsidRPr="00861C96"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46D" w:rsidRDefault="0061446D">
      <w:r>
        <w:separator/>
      </w:r>
    </w:p>
  </w:endnote>
  <w:endnote w:type="continuationSeparator" w:id="0">
    <w:p w:rsidR="0061446D" w:rsidRDefault="0061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46D" w:rsidRDefault="0061446D">
      <w:pPr>
        <w:spacing w:line="160" w:lineRule="exact"/>
      </w:pPr>
    </w:p>
  </w:footnote>
  <w:footnote w:type="continuationSeparator" w:id="0">
    <w:p w:rsidR="0061446D" w:rsidRDefault="0061446D">
      <w:pPr>
        <w:pStyle w:val="rule"/>
      </w:pPr>
      <w:r>
        <w:t>–––––––––––––––––––––––––––</w:t>
      </w:r>
    </w:p>
    <w:p w:rsidR="0061446D" w:rsidRDefault="0061446D">
      <w:pPr>
        <w:pStyle w:val="noteseparator"/>
      </w:pPr>
    </w:p>
  </w:footnote>
  <w:footnote w:id="1">
    <w:p w:rsidR="00B713DD" w:rsidRPr="00B227DE" w:rsidRDefault="00B713DD" w:rsidP="00B713DD">
      <w:pPr>
        <w:pStyle w:val="a7"/>
        <w:rPr>
          <w:rFonts w:ascii="Segoe UI" w:hAnsi="Segoe UI" w:cs="Segoe UI"/>
          <w:rtl/>
        </w:rPr>
      </w:pPr>
      <w:r>
        <w:rPr>
          <w:rStyle w:val="a6"/>
        </w:rPr>
        <w:footnoteRef/>
      </w:r>
      <w:r>
        <w:t xml:space="preserve"> </w:t>
      </w:r>
      <w:r>
        <w:rPr>
          <w:rFonts w:ascii="Segoe UI" w:hAnsi="Segoe UI" w:cs="Segoe UI"/>
        </w:rPr>
        <w:t xml:space="preserve">The monthly Index of Economic Activity reflects the three-month average of the estimated monthly growth of GDP.  The estimate </w:t>
      </w:r>
      <w:proofErr w:type="gramStart"/>
      <w:r>
        <w:rPr>
          <w:rFonts w:ascii="Segoe UI" w:hAnsi="Segoe UI" w:cs="Segoe UI"/>
        </w:rPr>
        <w:t>is based</w:t>
      </w:r>
      <w:proofErr w:type="gramEnd"/>
      <w:r>
        <w:rPr>
          <w:rFonts w:ascii="Segoe UI" w:hAnsi="Segoe UI" w:cs="Segoe UI"/>
        </w:rPr>
        <w:t xml:space="preserve">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D4D7B"/>
    <w:rsid w:val="000E08B9"/>
    <w:rsid w:val="000E0FCD"/>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50A7"/>
    <w:rsid w:val="00160123"/>
    <w:rsid w:val="00161467"/>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5DC4"/>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27F0C"/>
    <w:rsid w:val="00333620"/>
    <w:rsid w:val="00333F56"/>
    <w:rsid w:val="003370E3"/>
    <w:rsid w:val="003445F3"/>
    <w:rsid w:val="00347069"/>
    <w:rsid w:val="00347EEC"/>
    <w:rsid w:val="00350413"/>
    <w:rsid w:val="003514AB"/>
    <w:rsid w:val="00352502"/>
    <w:rsid w:val="00354C47"/>
    <w:rsid w:val="00357E66"/>
    <w:rsid w:val="003605C6"/>
    <w:rsid w:val="00366DB8"/>
    <w:rsid w:val="00367A32"/>
    <w:rsid w:val="00376023"/>
    <w:rsid w:val="00376976"/>
    <w:rsid w:val="00380012"/>
    <w:rsid w:val="00381046"/>
    <w:rsid w:val="003814C4"/>
    <w:rsid w:val="0038232A"/>
    <w:rsid w:val="003938F8"/>
    <w:rsid w:val="00395D70"/>
    <w:rsid w:val="003A1107"/>
    <w:rsid w:val="003A1D71"/>
    <w:rsid w:val="003A3467"/>
    <w:rsid w:val="003A3B39"/>
    <w:rsid w:val="003A6723"/>
    <w:rsid w:val="003B0942"/>
    <w:rsid w:val="003B2C70"/>
    <w:rsid w:val="003B4074"/>
    <w:rsid w:val="003B4DF1"/>
    <w:rsid w:val="003C3B6F"/>
    <w:rsid w:val="003C522E"/>
    <w:rsid w:val="003C6E15"/>
    <w:rsid w:val="003D0E36"/>
    <w:rsid w:val="003D71F7"/>
    <w:rsid w:val="003D7349"/>
    <w:rsid w:val="003E0432"/>
    <w:rsid w:val="003E107B"/>
    <w:rsid w:val="003E202F"/>
    <w:rsid w:val="003F360E"/>
    <w:rsid w:val="003F4CF0"/>
    <w:rsid w:val="00403AF2"/>
    <w:rsid w:val="00406562"/>
    <w:rsid w:val="00406709"/>
    <w:rsid w:val="00406809"/>
    <w:rsid w:val="00407252"/>
    <w:rsid w:val="00417390"/>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3E2F"/>
    <w:rsid w:val="00484A86"/>
    <w:rsid w:val="00492029"/>
    <w:rsid w:val="00493688"/>
    <w:rsid w:val="004A0A80"/>
    <w:rsid w:val="004A179B"/>
    <w:rsid w:val="004A2970"/>
    <w:rsid w:val="004A7DDC"/>
    <w:rsid w:val="004C5B3B"/>
    <w:rsid w:val="004C7155"/>
    <w:rsid w:val="004D0449"/>
    <w:rsid w:val="004D55DA"/>
    <w:rsid w:val="004E7032"/>
    <w:rsid w:val="004F5A85"/>
    <w:rsid w:val="00500503"/>
    <w:rsid w:val="00500F8B"/>
    <w:rsid w:val="0050193B"/>
    <w:rsid w:val="00503622"/>
    <w:rsid w:val="0050638A"/>
    <w:rsid w:val="00515681"/>
    <w:rsid w:val="00517461"/>
    <w:rsid w:val="005273A2"/>
    <w:rsid w:val="005317F2"/>
    <w:rsid w:val="00531AD1"/>
    <w:rsid w:val="00536575"/>
    <w:rsid w:val="0054053A"/>
    <w:rsid w:val="0054075A"/>
    <w:rsid w:val="005417D3"/>
    <w:rsid w:val="00543038"/>
    <w:rsid w:val="005430E5"/>
    <w:rsid w:val="005504CF"/>
    <w:rsid w:val="00554AC0"/>
    <w:rsid w:val="0055658B"/>
    <w:rsid w:val="0056099E"/>
    <w:rsid w:val="00562B0B"/>
    <w:rsid w:val="005676E1"/>
    <w:rsid w:val="00572DF5"/>
    <w:rsid w:val="00572E97"/>
    <w:rsid w:val="00581AE6"/>
    <w:rsid w:val="00590949"/>
    <w:rsid w:val="00591171"/>
    <w:rsid w:val="00592585"/>
    <w:rsid w:val="00594895"/>
    <w:rsid w:val="005955AF"/>
    <w:rsid w:val="005A5253"/>
    <w:rsid w:val="005B0C33"/>
    <w:rsid w:val="005B5BFC"/>
    <w:rsid w:val="005B6892"/>
    <w:rsid w:val="005B6B00"/>
    <w:rsid w:val="005C1FAF"/>
    <w:rsid w:val="005C274D"/>
    <w:rsid w:val="005C5CA6"/>
    <w:rsid w:val="005C635F"/>
    <w:rsid w:val="005C76FF"/>
    <w:rsid w:val="005D175A"/>
    <w:rsid w:val="005D225E"/>
    <w:rsid w:val="005E1AD6"/>
    <w:rsid w:val="005E23D5"/>
    <w:rsid w:val="00600EFA"/>
    <w:rsid w:val="006031D8"/>
    <w:rsid w:val="006052CD"/>
    <w:rsid w:val="00605EBE"/>
    <w:rsid w:val="00606634"/>
    <w:rsid w:val="0061268B"/>
    <w:rsid w:val="00612A07"/>
    <w:rsid w:val="00612A3A"/>
    <w:rsid w:val="00613B3E"/>
    <w:rsid w:val="0061446D"/>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48"/>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96C4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1415F"/>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0AF0"/>
    <w:rsid w:val="00814968"/>
    <w:rsid w:val="008157BA"/>
    <w:rsid w:val="00817D8A"/>
    <w:rsid w:val="00820704"/>
    <w:rsid w:val="00826845"/>
    <w:rsid w:val="00836D7A"/>
    <w:rsid w:val="00840047"/>
    <w:rsid w:val="00841E41"/>
    <w:rsid w:val="0084331E"/>
    <w:rsid w:val="00843E13"/>
    <w:rsid w:val="00843F4B"/>
    <w:rsid w:val="0084597D"/>
    <w:rsid w:val="00850D4E"/>
    <w:rsid w:val="0085482F"/>
    <w:rsid w:val="00857394"/>
    <w:rsid w:val="008600E4"/>
    <w:rsid w:val="00861C96"/>
    <w:rsid w:val="0086296B"/>
    <w:rsid w:val="008676DF"/>
    <w:rsid w:val="00867ECF"/>
    <w:rsid w:val="0087075D"/>
    <w:rsid w:val="00872CF4"/>
    <w:rsid w:val="00873E53"/>
    <w:rsid w:val="0087598A"/>
    <w:rsid w:val="00877C88"/>
    <w:rsid w:val="00883558"/>
    <w:rsid w:val="0088365D"/>
    <w:rsid w:val="008907C3"/>
    <w:rsid w:val="008920C9"/>
    <w:rsid w:val="008924D8"/>
    <w:rsid w:val="00892705"/>
    <w:rsid w:val="008965FF"/>
    <w:rsid w:val="00897D7D"/>
    <w:rsid w:val="008A0D61"/>
    <w:rsid w:val="008A117A"/>
    <w:rsid w:val="008A298D"/>
    <w:rsid w:val="008A4E71"/>
    <w:rsid w:val="008A540A"/>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6059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0157"/>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338D"/>
    <w:rsid w:val="00B14655"/>
    <w:rsid w:val="00B158CF"/>
    <w:rsid w:val="00B227DE"/>
    <w:rsid w:val="00B235B1"/>
    <w:rsid w:val="00B23E71"/>
    <w:rsid w:val="00B269CD"/>
    <w:rsid w:val="00B3068E"/>
    <w:rsid w:val="00B3103B"/>
    <w:rsid w:val="00B37BBE"/>
    <w:rsid w:val="00B46F7B"/>
    <w:rsid w:val="00B476CC"/>
    <w:rsid w:val="00B52957"/>
    <w:rsid w:val="00B552D1"/>
    <w:rsid w:val="00B5736D"/>
    <w:rsid w:val="00B57F69"/>
    <w:rsid w:val="00B6764F"/>
    <w:rsid w:val="00B713DD"/>
    <w:rsid w:val="00B71608"/>
    <w:rsid w:val="00B76579"/>
    <w:rsid w:val="00B81305"/>
    <w:rsid w:val="00B9723D"/>
    <w:rsid w:val="00BA3A63"/>
    <w:rsid w:val="00BA589A"/>
    <w:rsid w:val="00BA78B9"/>
    <w:rsid w:val="00BC05E1"/>
    <w:rsid w:val="00BC46DE"/>
    <w:rsid w:val="00BC6BBA"/>
    <w:rsid w:val="00BD069E"/>
    <w:rsid w:val="00BD570C"/>
    <w:rsid w:val="00BE50DA"/>
    <w:rsid w:val="00BF0276"/>
    <w:rsid w:val="00BF78A3"/>
    <w:rsid w:val="00C00CE9"/>
    <w:rsid w:val="00C042B1"/>
    <w:rsid w:val="00C117FD"/>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474B"/>
    <w:rsid w:val="00CC0F35"/>
    <w:rsid w:val="00CC3F41"/>
    <w:rsid w:val="00CC493C"/>
    <w:rsid w:val="00CC598E"/>
    <w:rsid w:val="00CC59FC"/>
    <w:rsid w:val="00CC65CD"/>
    <w:rsid w:val="00CD51D2"/>
    <w:rsid w:val="00CD56BF"/>
    <w:rsid w:val="00CE1CDD"/>
    <w:rsid w:val="00CE65D4"/>
    <w:rsid w:val="00CE7A79"/>
    <w:rsid w:val="00CF4492"/>
    <w:rsid w:val="00D00CF7"/>
    <w:rsid w:val="00D038A8"/>
    <w:rsid w:val="00D0407A"/>
    <w:rsid w:val="00D043CC"/>
    <w:rsid w:val="00D073A6"/>
    <w:rsid w:val="00D14E29"/>
    <w:rsid w:val="00D25960"/>
    <w:rsid w:val="00D25B51"/>
    <w:rsid w:val="00D33F84"/>
    <w:rsid w:val="00D340ED"/>
    <w:rsid w:val="00D3751C"/>
    <w:rsid w:val="00D424D1"/>
    <w:rsid w:val="00D44CFE"/>
    <w:rsid w:val="00D463F8"/>
    <w:rsid w:val="00D54F0D"/>
    <w:rsid w:val="00D56394"/>
    <w:rsid w:val="00D56CA9"/>
    <w:rsid w:val="00D56FEA"/>
    <w:rsid w:val="00D61443"/>
    <w:rsid w:val="00D621C1"/>
    <w:rsid w:val="00D6747A"/>
    <w:rsid w:val="00D776C6"/>
    <w:rsid w:val="00D77FC6"/>
    <w:rsid w:val="00D83094"/>
    <w:rsid w:val="00D85592"/>
    <w:rsid w:val="00D85B51"/>
    <w:rsid w:val="00D85D91"/>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1F14"/>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3B92"/>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1C8F"/>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5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link w:val="regparChar"/>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a0"/>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285083252">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956986563">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385253635">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5D76FF04-9A0A-41BA-9336-54754E12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1593</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2026-07-15T08:38:00Z</dcterms:created>
  <dcterms:modified xsi:type="dcterms:W3CDTF">2026-07-15T08:41:00Z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