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BB4D0D" w:rsidRPr="00ED6F32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ED6F32" w:rsidRDefault="00BB4D0D" w:rsidP="00AE40E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ED6F3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בנק ישראל</w:t>
            </w:r>
          </w:p>
          <w:p w:rsidR="00BB4D0D" w:rsidRPr="00ED6F32" w:rsidRDefault="00BB4D0D" w:rsidP="00AE40EC">
            <w:pPr>
              <w:bidi/>
              <w:spacing w:line="360" w:lineRule="auto"/>
              <w:ind w:right="-101"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ED6F32">
              <w:rPr>
                <w:rFonts w:ascii="David" w:hAnsi="David" w:cs="David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BB4D0D" w:rsidRPr="00ED6F32" w:rsidRDefault="00BB4D0D" w:rsidP="00AE40EC">
            <w:pPr>
              <w:bidi/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ED6F32">
              <w:rPr>
                <w:rFonts w:ascii="David" w:hAnsi="David" w:cs="David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1DE0D9B" wp14:editId="1EBCDC5C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37120D" w:rsidRDefault="00BB4D0D" w:rsidP="00991696">
            <w:pPr>
              <w:bidi/>
              <w:spacing w:line="48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ED6F32">
              <w:rPr>
                <w:rFonts w:ascii="David" w:hAnsi="David" w:cs="David"/>
                <w:sz w:val="24"/>
                <w:szCs w:val="24"/>
                <w:rtl/>
              </w:rPr>
              <w:t>‏</w:t>
            </w:r>
            <w:r w:rsidRPr="0037120D">
              <w:rPr>
                <w:rFonts w:ascii="David" w:hAnsi="David" w:cs="David"/>
                <w:sz w:val="24"/>
                <w:szCs w:val="24"/>
                <w:rtl/>
              </w:rPr>
              <w:t xml:space="preserve">ירושלים, </w:t>
            </w:r>
            <w:r w:rsidR="00991696"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  <w:r w:rsidR="00B93E21" w:rsidRPr="0037120D">
              <w:rPr>
                <w:rFonts w:ascii="David" w:hAnsi="David" w:cs="David" w:hint="cs"/>
                <w:sz w:val="24"/>
                <w:szCs w:val="24"/>
                <w:rtl/>
              </w:rPr>
              <w:t>'</w:t>
            </w:r>
            <w:r w:rsidR="00F55A2F" w:rsidRPr="003712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91696">
              <w:rPr>
                <w:rFonts w:ascii="David" w:hAnsi="David" w:cs="David" w:hint="cs"/>
                <w:sz w:val="24"/>
                <w:szCs w:val="24"/>
                <w:rtl/>
              </w:rPr>
              <w:t>ניסן</w:t>
            </w:r>
            <w:r w:rsidRPr="0037120D">
              <w:rPr>
                <w:rFonts w:ascii="David" w:hAnsi="David" w:cs="David"/>
                <w:sz w:val="24"/>
                <w:szCs w:val="24"/>
                <w:rtl/>
              </w:rPr>
              <w:t>, התשפ"</w:t>
            </w:r>
            <w:r w:rsidR="00D53A40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  <w:p w:rsidR="00BB4D0D" w:rsidRPr="00ED6F32" w:rsidRDefault="00BB4D0D" w:rsidP="00991696">
            <w:pPr>
              <w:bidi/>
              <w:spacing w:line="48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37120D">
              <w:rPr>
                <w:rFonts w:ascii="David" w:hAnsi="David" w:cs="David"/>
                <w:sz w:val="24"/>
                <w:szCs w:val="24"/>
                <w:rtl/>
              </w:rPr>
              <w:t>‏‏</w:t>
            </w:r>
            <w:r w:rsidR="00991696">
              <w:rPr>
                <w:rFonts w:ascii="David" w:hAnsi="David" w:cs="David" w:hint="cs"/>
                <w:sz w:val="24"/>
                <w:szCs w:val="24"/>
                <w:rtl/>
              </w:rPr>
              <w:t>22</w:t>
            </w:r>
            <w:r w:rsidR="00F55A2F" w:rsidRPr="003712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991696">
              <w:rPr>
                <w:rFonts w:ascii="David" w:hAnsi="David" w:cs="David" w:hint="cs"/>
                <w:sz w:val="24"/>
                <w:szCs w:val="24"/>
                <w:rtl/>
              </w:rPr>
              <w:t>במרץ</w:t>
            </w:r>
            <w:r w:rsidRPr="003712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991696">
              <w:rPr>
                <w:rFonts w:ascii="David" w:hAnsi="David" w:cs="David" w:hint="cs"/>
                <w:sz w:val="24"/>
                <w:szCs w:val="24"/>
                <w:rtl/>
              </w:rPr>
              <w:t>2026</w:t>
            </w:r>
          </w:p>
        </w:tc>
      </w:tr>
      <w:tr w:rsidR="000C1956" w:rsidRPr="00ED6F32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ED6F32" w:rsidRDefault="000C1956" w:rsidP="00AE40EC">
            <w:pPr>
              <w:bidi/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0C1956" w:rsidRPr="00ED6F32" w:rsidRDefault="000C1956" w:rsidP="00AE40EC">
            <w:pPr>
              <w:bidi/>
              <w:jc w:val="center"/>
              <w:rPr>
                <w:rFonts w:ascii="David" w:hAnsi="David" w:cs="David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ED6F32" w:rsidRDefault="000C1956" w:rsidP="00B93E21">
            <w:pPr>
              <w:bidi/>
              <w:spacing w:line="48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BB4D0D" w:rsidRPr="007504E1" w:rsidRDefault="00BB4D0D" w:rsidP="00BB4D0D">
      <w:pPr>
        <w:bidi/>
        <w:spacing w:before="240" w:line="360" w:lineRule="auto"/>
        <w:ind w:right="-102"/>
        <w:rPr>
          <w:rFonts w:asciiTheme="minorHAnsi" w:hAnsiTheme="minorHAnsi" w:cstheme="minorHAnsi"/>
          <w:sz w:val="24"/>
          <w:szCs w:val="24"/>
          <w:rtl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הודעה לעיתונות:</w:t>
      </w:r>
    </w:p>
    <w:p w:rsidR="009E07BE" w:rsidRPr="007504E1" w:rsidRDefault="009E07BE" w:rsidP="009E07BE">
      <w:pPr>
        <w:bidi/>
        <w:spacing w:line="360" w:lineRule="auto"/>
        <w:ind w:right="-101"/>
        <w:rPr>
          <w:rFonts w:asciiTheme="minorHAnsi" w:hAnsiTheme="minorHAnsi" w:cstheme="minorHAnsi"/>
          <w:sz w:val="24"/>
          <w:szCs w:val="24"/>
          <w:rtl/>
        </w:rPr>
      </w:pPr>
    </w:p>
    <w:p w:rsidR="00C9322A" w:rsidRPr="007504E1" w:rsidRDefault="00C9322A" w:rsidP="00991696">
      <w:pPr>
        <w:pStyle w:val="Title"/>
        <w:rPr>
          <w:rFonts w:asciiTheme="minorHAnsi" w:hAnsiTheme="minorHAnsi" w:cstheme="minorHAnsi"/>
          <w:rtl/>
        </w:rPr>
      </w:pPr>
      <w:r w:rsidRPr="007504E1">
        <w:rPr>
          <w:rFonts w:asciiTheme="minorHAnsi" w:hAnsiTheme="minorHAnsi" w:cstheme="minorHAnsi"/>
          <w:rtl/>
        </w:rPr>
        <w:t xml:space="preserve">התפתחות החוב </w:t>
      </w:r>
      <w:r w:rsidR="00802DF3" w:rsidRPr="007504E1">
        <w:rPr>
          <w:rFonts w:asciiTheme="minorHAnsi" w:hAnsiTheme="minorHAnsi" w:cstheme="minorHAnsi"/>
          <w:rtl/>
        </w:rPr>
        <w:t xml:space="preserve">של המגזר הפרטי </w:t>
      </w:r>
      <w:r w:rsidR="0077544B" w:rsidRPr="007504E1">
        <w:rPr>
          <w:rFonts w:asciiTheme="minorHAnsi" w:hAnsiTheme="minorHAnsi" w:cstheme="minorHAnsi"/>
          <w:rtl/>
        </w:rPr>
        <w:t>הלא</w:t>
      </w:r>
      <w:r w:rsidR="00E44E3D" w:rsidRPr="007504E1">
        <w:rPr>
          <w:rFonts w:asciiTheme="minorHAnsi" w:hAnsiTheme="minorHAnsi" w:cstheme="minorHAnsi"/>
          <w:rtl/>
        </w:rPr>
        <w:t>-</w:t>
      </w:r>
      <w:r w:rsidR="0077544B" w:rsidRPr="007504E1">
        <w:rPr>
          <w:rFonts w:asciiTheme="minorHAnsi" w:hAnsiTheme="minorHAnsi" w:cstheme="minorHAnsi"/>
          <w:rtl/>
        </w:rPr>
        <w:t xml:space="preserve">פיננסי </w:t>
      </w:r>
      <w:r w:rsidR="00FC2095" w:rsidRPr="007504E1">
        <w:rPr>
          <w:rFonts w:asciiTheme="minorHAnsi" w:hAnsiTheme="minorHAnsi" w:cstheme="minorHAnsi"/>
          <w:rtl/>
        </w:rPr>
        <w:t xml:space="preserve">ברביע </w:t>
      </w:r>
      <w:r w:rsidR="00991696" w:rsidRPr="007504E1">
        <w:rPr>
          <w:rFonts w:asciiTheme="minorHAnsi" w:hAnsiTheme="minorHAnsi" w:cstheme="minorHAnsi"/>
          <w:rtl/>
        </w:rPr>
        <w:t>הרביעי</w:t>
      </w:r>
      <w:r w:rsidR="00153E55" w:rsidRPr="007504E1">
        <w:rPr>
          <w:rFonts w:asciiTheme="minorHAnsi" w:hAnsiTheme="minorHAnsi" w:cstheme="minorHAnsi"/>
          <w:rtl/>
        </w:rPr>
        <w:t xml:space="preserve"> </w:t>
      </w:r>
      <w:r w:rsidR="00802DF3" w:rsidRPr="007504E1">
        <w:rPr>
          <w:rFonts w:asciiTheme="minorHAnsi" w:hAnsiTheme="minorHAnsi" w:cstheme="minorHAnsi"/>
          <w:rtl/>
        </w:rPr>
        <w:t>של</w:t>
      </w:r>
      <w:r w:rsidR="001C5C40" w:rsidRPr="007504E1">
        <w:rPr>
          <w:rFonts w:asciiTheme="minorHAnsi" w:hAnsiTheme="minorHAnsi" w:cstheme="minorHAnsi"/>
          <w:rtl/>
        </w:rPr>
        <w:t xml:space="preserve"> </w:t>
      </w:r>
      <w:r w:rsidR="0093461F" w:rsidRPr="007504E1">
        <w:rPr>
          <w:rFonts w:asciiTheme="minorHAnsi" w:hAnsiTheme="minorHAnsi" w:cstheme="minorHAnsi"/>
          <w:rtl/>
        </w:rPr>
        <w:t>2025</w:t>
      </w:r>
    </w:p>
    <w:p w:rsidR="00A92E0A" w:rsidRPr="007504E1" w:rsidRDefault="00A92E0A" w:rsidP="001F0A9C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  <w:rtl/>
        </w:rPr>
      </w:pPr>
    </w:p>
    <w:p w:rsidR="00024495" w:rsidRPr="007504E1" w:rsidRDefault="004276E7" w:rsidP="00024495">
      <w:pPr>
        <w:bidi/>
        <w:spacing w:line="360" w:lineRule="auto"/>
        <w:ind w:right="-10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504E1">
        <w:rPr>
          <w:rFonts w:asciiTheme="minorHAnsi" w:hAnsiTheme="minorHAnsi" w:cstheme="minorHAnsi"/>
          <w:i/>
          <w:iCs/>
          <w:sz w:val="24"/>
          <w:szCs w:val="24"/>
          <w:rtl/>
        </w:rPr>
        <w:t xml:space="preserve">לסקירה השנתית של </w:t>
      </w:r>
      <w:r w:rsidR="00024495" w:rsidRPr="007504E1">
        <w:rPr>
          <w:rFonts w:asciiTheme="minorHAnsi" w:hAnsiTheme="minorHAnsi" w:cstheme="minorHAnsi"/>
          <w:i/>
          <w:iCs/>
          <w:sz w:val="24"/>
          <w:szCs w:val="24"/>
          <w:rtl/>
        </w:rPr>
        <w:t xml:space="preserve">התפתחויות החוב בשנת 2025 ראו </w:t>
      </w:r>
      <w:hyperlink r:id="rId9" w:history="1">
        <w:r w:rsidR="00024495" w:rsidRPr="007504E1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rtl/>
          </w:rPr>
          <w:t>'החוב של המגזר הפרטי הלא-פיננסי</w:t>
        </w:r>
      </w:hyperlink>
      <w:r w:rsidR="00024495" w:rsidRPr="007504E1">
        <w:rPr>
          <w:rFonts w:asciiTheme="minorHAnsi" w:hAnsiTheme="minorHAnsi" w:cstheme="minorHAnsi"/>
          <w:i/>
          <w:iCs/>
          <w:sz w:val="24"/>
          <w:szCs w:val="24"/>
          <w:rtl/>
        </w:rPr>
        <w:t xml:space="preserve">' בחלק א' של פרסום 'מבט סטטיסטי 2025'. </w:t>
      </w:r>
    </w:p>
    <w:p w:rsidR="00024495" w:rsidRPr="007504E1" w:rsidRDefault="00024495" w:rsidP="00991696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D05B15" w:rsidRPr="007504E1" w:rsidRDefault="00D05B15" w:rsidP="00024495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להלן תמצית ההתפתחויות בנתוני החוב של</w:t>
      </w:r>
      <w:r w:rsidR="005361DC" w:rsidRPr="007504E1">
        <w:rPr>
          <w:rFonts w:asciiTheme="minorHAnsi" w:hAnsiTheme="minorHAnsi" w:cstheme="minorHAnsi"/>
          <w:sz w:val="24"/>
          <w:szCs w:val="24"/>
          <w:rtl/>
        </w:rPr>
        <w:t xml:space="preserve"> המגזר הפרטי הלא-פיננסי</w:t>
      </w:r>
      <w:r w:rsidR="00DB159C" w:rsidRPr="007504E1">
        <w:rPr>
          <w:rStyle w:val="FootnoteReference"/>
          <w:rFonts w:asciiTheme="minorHAnsi" w:hAnsiTheme="minorHAnsi" w:cstheme="minorHAnsi"/>
          <w:sz w:val="24"/>
          <w:szCs w:val="24"/>
          <w:rtl/>
        </w:rPr>
        <w:footnoteReference w:id="1"/>
      </w:r>
      <w:r w:rsidR="00236E39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4C3B" w:rsidRPr="007504E1">
        <w:rPr>
          <w:rFonts w:asciiTheme="minorHAnsi" w:hAnsiTheme="minorHAnsi" w:cstheme="minorHAnsi"/>
          <w:sz w:val="24"/>
          <w:szCs w:val="24"/>
          <w:rtl/>
        </w:rPr>
        <w:t xml:space="preserve">ברביע </w:t>
      </w:r>
      <w:r w:rsidR="00991696" w:rsidRPr="007504E1">
        <w:rPr>
          <w:rFonts w:asciiTheme="minorHAnsi" w:hAnsiTheme="minorHAnsi" w:cstheme="minorHAnsi"/>
          <w:sz w:val="24"/>
          <w:szCs w:val="24"/>
          <w:rtl/>
        </w:rPr>
        <w:t>הרביעי</w:t>
      </w:r>
      <w:r w:rsidR="00D977D5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sz w:val="24"/>
          <w:szCs w:val="24"/>
          <w:rtl/>
        </w:rPr>
        <w:t>של השנה:</w:t>
      </w:r>
    </w:p>
    <w:p w:rsidR="00FC708A" w:rsidRPr="007504E1" w:rsidRDefault="004F0F40" w:rsidP="00161586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נמשכה העלייה ב</w:t>
      </w:r>
      <w:r w:rsidR="00052923" w:rsidRPr="007504E1">
        <w:rPr>
          <w:rFonts w:asciiTheme="minorHAnsi" w:hAnsiTheme="minorHAnsi" w:cstheme="minorHAnsi"/>
          <w:sz w:val="24"/>
          <w:szCs w:val="24"/>
          <w:rtl/>
        </w:rPr>
        <w:t xml:space="preserve">יתרת החוב של </w:t>
      </w:r>
      <w:r w:rsidR="0005292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המגזר הפרטי הלא-פיננסי</w:t>
      </w:r>
      <w:r w:rsidR="00052923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6202D" w:rsidRPr="007504E1">
        <w:rPr>
          <w:rFonts w:asciiTheme="minorHAnsi" w:hAnsiTheme="minorHAnsi" w:cstheme="minorHAnsi"/>
          <w:sz w:val="24"/>
          <w:szCs w:val="24"/>
          <w:rtl/>
        </w:rPr>
        <w:t>(</w:t>
      </w:r>
      <w:r w:rsidR="00A6202D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העסקי ומשקי הבית</w:t>
      </w:r>
      <w:r w:rsidR="00A6202D" w:rsidRPr="007504E1">
        <w:rPr>
          <w:rFonts w:asciiTheme="minorHAnsi" w:hAnsiTheme="minorHAnsi" w:cstheme="minorHAnsi"/>
          <w:sz w:val="24"/>
          <w:szCs w:val="24"/>
          <w:rtl/>
        </w:rPr>
        <w:t>)</w:t>
      </w:r>
      <w:r w:rsidR="00C1794E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sz w:val="24"/>
          <w:szCs w:val="24"/>
          <w:rtl/>
        </w:rPr>
        <w:t>ו</w:t>
      </w:r>
      <w:r w:rsidR="006673E9" w:rsidRPr="007504E1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0429E6" w:rsidRPr="007504E1">
        <w:rPr>
          <w:rFonts w:asciiTheme="minorHAnsi" w:hAnsiTheme="minorHAnsi" w:cstheme="minorHAnsi"/>
          <w:sz w:val="24"/>
          <w:szCs w:val="24"/>
          <w:rtl/>
        </w:rPr>
        <w:t>אחרון</w:t>
      </w:r>
      <w:r w:rsidR="00BF309A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6673E9" w:rsidRPr="007504E1">
        <w:rPr>
          <w:rFonts w:asciiTheme="minorHAnsi" w:hAnsiTheme="minorHAnsi" w:cstheme="minorHAnsi"/>
          <w:sz w:val="24"/>
          <w:szCs w:val="24"/>
          <w:rtl/>
        </w:rPr>
        <w:t xml:space="preserve">של השנה 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היא גדלה </w:t>
      </w:r>
      <w:r w:rsidR="00F66809" w:rsidRPr="007504E1">
        <w:rPr>
          <w:rFonts w:asciiTheme="minorHAnsi" w:hAnsiTheme="minorHAnsi" w:cstheme="minorHAnsi"/>
          <w:sz w:val="24"/>
          <w:szCs w:val="24"/>
          <w:rtl/>
        </w:rPr>
        <w:t>בשיעור של כ-2</w:t>
      </w:r>
      <w:r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0466AD" w:rsidRPr="007504E1">
        <w:rPr>
          <w:rFonts w:asciiTheme="minorHAnsi" w:hAnsiTheme="minorHAnsi" w:cstheme="minorHAnsi"/>
          <w:sz w:val="24"/>
          <w:szCs w:val="24"/>
          <w:rtl/>
        </w:rPr>
        <w:t>8</w:t>
      </w:r>
      <w:r w:rsidR="00F66809" w:rsidRPr="007504E1">
        <w:rPr>
          <w:rFonts w:asciiTheme="minorHAnsi" w:hAnsiTheme="minorHAnsi" w:cstheme="minorHAnsi"/>
          <w:sz w:val="24"/>
          <w:szCs w:val="24"/>
          <w:rtl/>
        </w:rPr>
        <w:t xml:space="preserve">% </w:t>
      </w:r>
      <w:r w:rsidR="00C1794E" w:rsidRPr="007504E1">
        <w:rPr>
          <w:rFonts w:asciiTheme="minorHAnsi" w:hAnsiTheme="minorHAnsi" w:cstheme="minorHAnsi"/>
          <w:sz w:val="24"/>
          <w:szCs w:val="24"/>
          <w:rtl/>
        </w:rPr>
        <w:t xml:space="preserve">לרמה של </w:t>
      </w:r>
      <w:r w:rsidR="00FA2AD9" w:rsidRPr="007504E1">
        <w:rPr>
          <w:rFonts w:asciiTheme="minorHAnsi" w:hAnsiTheme="minorHAnsi" w:cstheme="minorHAnsi"/>
          <w:sz w:val="24"/>
          <w:szCs w:val="24"/>
          <w:rtl/>
        </w:rPr>
        <w:t>כ-</w:t>
      </w:r>
      <w:r w:rsidRPr="007504E1">
        <w:rPr>
          <w:rFonts w:asciiTheme="minorHAnsi" w:hAnsiTheme="minorHAnsi" w:cstheme="minorHAnsi"/>
          <w:sz w:val="24"/>
          <w:szCs w:val="24"/>
          <w:rtl/>
        </w:rPr>
        <w:t>2.</w:t>
      </w:r>
      <w:r w:rsidR="000466AD" w:rsidRPr="007504E1">
        <w:rPr>
          <w:rFonts w:asciiTheme="minorHAnsi" w:hAnsiTheme="minorHAnsi" w:cstheme="minorHAnsi"/>
          <w:sz w:val="24"/>
          <w:szCs w:val="24"/>
          <w:rtl/>
        </w:rPr>
        <w:t>5</w:t>
      </w:r>
      <w:r w:rsidR="00161586" w:rsidRPr="007504E1">
        <w:rPr>
          <w:rFonts w:asciiTheme="minorHAnsi" w:hAnsiTheme="minorHAnsi" w:cstheme="minorHAnsi"/>
          <w:sz w:val="24"/>
          <w:szCs w:val="24"/>
          <w:rtl/>
        </w:rPr>
        <w:t xml:space="preserve"> טריליון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ש"ח</w:t>
      </w:r>
      <w:r w:rsidR="00094215" w:rsidRPr="007504E1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6B609F" w:rsidRPr="007504E1" w:rsidRDefault="006C7A06" w:rsidP="00161586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42DC4" w:rsidRPr="007504E1">
        <w:rPr>
          <w:rFonts w:asciiTheme="minorHAnsi" w:hAnsiTheme="minorHAnsi" w:cstheme="minorHAnsi"/>
          <w:sz w:val="24"/>
          <w:szCs w:val="24"/>
          <w:rtl/>
        </w:rPr>
        <w:t xml:space="preserve">גדלה ברביע זה </w:t>
      </w:r>
      <w:r w:rsidRPr="007504E1">
        <w:rPr>
          <w:rFonts w:asciiTheme="minorHAnsi" w:hAnsiTheme="minorHAnsi" w:cstheme="minorHAnsi"/>
          <w:sz w:val="24"/>
          <w:szCs w:val="24"/>
          <w:rtl/>
        </w:rPr>
        <w:t>בשיעור של כ-</w:t>
      </w:r>
      <w:r w:rsidR="000466AD" w:rsidRPr="007504E1">
        <w:rPr>
          <w:rFonts w:asciiTheme="minorHAnsi" w:hAnsiTheme="minorHAnsi" w:cstheme="minorHAnsi"/>
          <w:sz w:val="24"/>
          <w:szCs w:val="24"/>
          <w:rtl/>
        </w:rPr>
        <w:t>3.6</w:t>
      </w:r>
      <w:r w:rsidRPr="007504E1">
        <w:rPr>
          <w:rFonts w:asciiTheme="minorHAnsi" w:hAnsiTheme="minorHAnsi" w:cstheme="minorHAnsi"/>
          <w:sz w:val="24"/>
          <w:szCs w:val="24"/>
          <w:rtl/>
        </w:rPr>
        <w:t>% לכ-1.</w:t>
      </w:r>
      <w:r w:rsidR="00BF309A" w:rsidRPr="007504E1">
        <w:rPr>
          <w:rFonts w:asciiTheme="minorHAnsi" w:hAnsiTheme="minorHAnsi" w:cstheme="minorHAnsi"/>
          <w:sz w:val="24"/>
          <w:szCs w:val="24"/>
          <w:rtl/>
        </w:rPr>
        <w:t>5</w:t>
      </w:r>
      <w:r w:rsidR="00161586" w:rsidRPr="007504E1">
        <w:rPr>
          <w:rFonts w:asciiTheme="minorHAnsi" w:hAnsiTheme="minorHAnsi" w:cstheme="minorHAnsi"/>
          <w:sz w:val="24"/>
          <w:szCs w:val="24"/>
          <w:rtl/>
        </w:rPr>
        <w:t xml:space="preserve"> טריליון ש"ח </w:t>
      </w:r>
      <w:r w:rsidR="00956BE6" w:rsidRPr="007504E1">
        <w:rPr>
          <w:rFonts w:asciiTheme="minorHAnsi" w:hAnsiTheme="minorHAnsi" w:cstheme="minorHAnsi"/>
          <w:sz w:val="24"/>
          <w:szCs w:val="24"/>
          <w:rtl/>
        </w:rPr>
        <w:t xml:space="preserve">בעיקר </w:t>
      </w:r>
      <w:r w:rsidR="00161586" w:rsidRPr="007504E1">
        <w:rPr>
          <w:rFonts w:asciiTheme="minorHAnsi" w:hAnsiTheme="minorHAnsi" w:cstheme="minorHAnsi"/>
          <w:sz w:val="24"/>
          <w:szCs w:val="24"/>
          <w:rtl/>
        </w:rPr>
        <w:t xml:space="preserve">כתוצאה </w:t>
      </w:r>
      <w:r w:rsidR="002A68CF" w:rsidRPr="007504E1">
        <w:rPr>
          <w:rFonts w:asciiTheme="minorHAnsi" w:hAnsiTheme="minorHAnsi" w:cstheme="minorHAnsi"/>
          <w:sz w:val="24"/>
          <w:szCs w:val="24"/>
          <w:rtl/>
        </w:rPr>
        <w:t>מגיוסי חוב נטו</w:t>
      </w:r>
      <w:r w:rsidR="00644A79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0466AD" w:rsidRPr="007504E1">
        <w:rPr>
          <w:rFonts w:asciiTheme="minorHAnsi" w:hAnsiTheme="minorHAnsi" w:cstheme="minorHAnsi"/>
          <w:sz w:val="24"/>
          <w:szCs w:val="24"/>
          <w:rtl/>
        </w:rPr>
        <w:t xml:space="preserve">שהתרכזו באשראי מהבנקים ובחוב שגויס בחו"ל. </w:t>
      </w:r>
    </w:p>
    <w:p w:rsidR="00C13B83" w:rsidRPr="007504E1" w:rsidRDefault="00491392" w:rsidP="007C4D4A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גם 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יתרת החוב </w:t>
      </w:r>
      <w:r w:rsidR="00C54924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של משקי הבית 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המשיכה </w:t>
      </w:r>
      <w:r w:rsidR="005E03D1" w:rsidRPr="007504E1">
        <w:rPr>
          <w:rFonts w:asciiTheme="minorHAnsi" w:hAnsiTheme="minorHAnsi" w:cstheme="minorHAnsi"/>
          <w:sz w:val="24"/>
          <w:szCs w:val="24"/>
          <w:rtl/>
        </w:rPr>
        <w:t xml:space="preserve">לגדול 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ברביע זה </w:t>
      </w:r>
      <w:r w:rsidR="005E03D1" w:rsidRPr="007504E1">
        <w:rPr>
          <w:rFonts w:asciiTheme="minorHAnsi" w:hAnsiTheme="minorHAnsi" w:cstheme="minorHAnsi"/>
          <w:sz w:val="24"/>
          <w:szCs w:val="24"/>
          <w:rtl/>
        </w:rPr>
        <w:t>לכ-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>903</w:t>
      </w:r>
      <w:r w:rsidR="005E03D1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 ש"ח 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כתוצאה מ</w:t>
      </w:r>
      <w:r w:rsidR="00BC678E" w:rsidRPr="007504E1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CB62D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ביתרת החוב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B62D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לדיור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(כ-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9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מיליארדים, 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1.4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%) שמקורה בנטילת משכנתאות חדשות מהבנקים, </w:t>
      </w:r>
      <w:r w:rsidR="00BC678E" w:rsidRPr="007504E1">
        <w:rPr>
          <w:rFonts w:asciiTheme="minorHAnsi" w:hAnsiTheme="minorHAnsi" w:cstheme="minorHAnsi"/>
          <w:sz w:val="24"/>
          <w:szCs w:val="24"/>
          <w:rtl/>
        </w:rPr>
        <w:t>ו</w:t>
      </w:r>
      <w:r w:rsidR="00C54924" w:rsidRPr="007504E1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CB62D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ביתרת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B62D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החוב </w:t>
      </w:r>
      <w:r w:rsidR="007C4D4A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ש</w:t>
      </w:r>
      <w:r w:rsidR="00CB62D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לא-לדיור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(כ-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4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מיליארדים, 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1.6</w:t>
      </w:r>
      <w:r w:rsidR="00CB62D3" w:rsidRPr="007504E1">
        <w:rPr>
          <w:rFonts w:asciiTheme="minorHAnsi" w:hAnsiTheme="minorHAnsi" w:cstheme="minorHAnsi"/>
          <w:sz w:val="24"/>
          <w:szCs w:val="24"/>
          <w:rtl/>
        </w:rPr>
        <w:t>%), לכ-</w:t>
      </w:r>
      <w:r w:rsidR="007C4D4A" w:rsidRPr="007504E1">
        <w:rPr>
          <w:rFonts w:asciiTheme="minorHAnsi" w:hAnsiTheme="minorHAnsi" w:cstheme="minorHAnsi"/>
          <w:sz w:val="24"/>
          <w:szCs w:val="24"/>
          <w:rtl/>
        </w:rPr>
        <w:t>250 מיליארדי ש"ח.</w:t>
      </w:r>
      <w:r w:rsidR="000429E6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A913C3" w:rsidRPr="007504E1" w:rsidRDefault="00A913C3" w:rsidP="00BC678E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4A03" w:rsidRPr="007504E1" w:rsidRDefault="00FF4A03" w:rsidP="00FF4A03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9F574F" w:rsidRPr="007504E1" w:rsidRDefault="009F574F" w:rsidP="00105A31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504E1">
        <w:rPr>
          <w:rStyle w:val="Heading1Char"/>
          <w:rFonts w:asciiTheme="minorHAnsi" w:hAnsiTheme="minorHAnsi" w:cstheme="minorHAnsi"/>
          <w:rtl/>
        </w:rPr>
        <w:t>החוב של המגזר העסקי</w:t>
      </w:r>
      <w:r w:rsidR="001E78A9" w:rsidRPr="007504E1">
        <w:rPr>
          <w:rStyle w:val="Heading1Char"/>
          <w:rFonts w:asciiTheme="minorHAnsi" w:hAnsiTheme="minorHAnsi" w:cstheme="minorHAnsi"/>
          <w:rtl/>
        </w:rPr>
        <w:t xml:space="preserve"> הלא-פיננסי</w:t>
      </w:r>
      <w:r w:rsidR="00474B96" w:rsidRPr="007504E1">
        <w:rPr>
          <w:rStyle w:val="FootnoteReference"/>
          <w:rFonts w:asciiTheme="minorHAnsi" w:hAnsiTheme="minorHAnsi" w:cstheme="minorHAnsi"/>
          <w:b/>
          <w:bCs/>
          <w:sz w:val="24"/>
          <w:szCs w:val="24"/>
          <w:rtl/>
        </w:rPr>
        <w:footnoteReference w:id="2"/>
      </w:r>
      <w:r w:rsidR="0028327B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E926BC" w:rsidRPr="007504E1" w:rsidRDefault="00F66809" w:rsidP="000429E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מהחטיבה למידע ולסטטיסטיקה נמסר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 כי ברביע </w:t>
      </w:r>
      <w:r w:rsidR="00F04542" w:rsidRPr="007504E1">
        <w:rPr>
          <w:rFonts w:asciiTheme="minorHAnsi" w:hAnsiTheme="minorHAnsi" w:cstheme="minorHAnsi"/>
          <w:sz w:val="24"/>
          <w:szCs w:val="24"/>
          <w:rtl/>
        </w:rPr>
        <w:t>הרביעי</w:t>
      </w:r>
      <w:r w:rsidR="00EE5F80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A0DCB" w:rsidRPr="007504E1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שנת </w:t>
      </w:r>
      <w:r w:rsidR="00EE5F80" w:rsidRPr="007504E1">
        <w:rPr>
          <w:rFonts w:asciiTheme="minorHAnsi" w:hAnsiTheme="minorHAnsi" w:cstheme="minorHAnsi"/>
          <w:sz w:val="24"/>
          <w:szCs w:val="24"/>
          <w:rtl/>
        </w:rPr>
        <w:t>2025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7504E1">
        <w:rPr>
          <w:rFonts w:asciiTheme="minorHAnsi" w:hAnsiTheme="minorHAnsi" w:cstheme="minorHAnsi"/>
          <w:sz w:val="24"/>
          <w:szCs w:val="24"/>
          <w:rtl/>
        </w:rPr>
        <w:t>נמשכה העלייה</w:t>
      </w:r>
      <w:r w:rsidR="006702D4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7504E1">
        <w:rPr>
          <w:rFonts w:asciiTheme="minorHAnsi" w:hAnsiTheme="minorHAnsi" w:cstheme="minorHAnsi"/>
          <w:sz w:val="24"/>
          <w:szCs w:val="24"/>
          <w:rtl/>
        </w:rPr>
        <w:t>ב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="009D64F7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 ב</w:t>
      </w:r>
      <w:r w:rsidR="00A30E26" w:rsidRPr="007504E1">
        <w:rPr>
          <w:rFonts w:asciiTheme="minorHAnsi" w:hAnsiTheme="minorHAnsi" w:cstheme="minorHAnsi"/>
          <w:sz w:val="24"/>
          <w:szCs w:val="24"/>
          <w:rtl/>
        </w:rPr>
        <w:t xml:space="preserve">היקף של </w:t>
      </w:r>
      <w:r w:rsidR="006702D4" w:rsidRPr="007504E1">
        <w:rPr>
          <w:rFonts w:asciiTheme="minorHAnsi" w:hAnsiTheme="minorHAnsi" w:cstheme="minorHAnsi"/>
          <w:sz w:val="24"/>
          <w:szCs w:val="24"/>
          <w:rtl/>
        </w:rPr>
        <w:t>כ-</w:t>
      </w:r>
      <w:r w:rsidR="00F04542" w:rsidRPr="007504E1">
        <w:rPr>
          <w:rFonts w:asciiTheme="minorHAnsi" w:hAnsiTheme="minorHAnsi" w:cstheme="minorHAnsi"/>
          <w:sz w:val="24"/>
          <w:szCs w:val="24"/>
          <w:rtl/>
        </w:rPr>
        <w:t>53</w:t>
      </w:r>
      <w:r w:rsidR="006702D4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>מיליארדי ש"ח</w:t>
      </w:r>
      <w:r w:rsidR="00843689" w:rsidRPr="007504E1">
        <w:rPr>
          <w:rFonts w:asciiTheme="minorHAnsi" w:hAnsiTheme="minorHAnsi" w:cstheme="minorHAnsi"/>
          <w:sz w:val="24"/>
          <w:szCs w:val="24"/>
          <w:rtl/>
        </w:rPr>
        <w:t xml:space="preserve"> (</w:t>
      </w:r>
      <w:r w:rsidR="00F04542" w:rsidRPr="007504E1">
        <w:rPr>
          <w:rFonts w:asciiTheme="minorHAnsi" w:hAnsiTheme="minorHAnsi" w:cstheme="minorHAnsi"/>
          <w:sz w:val="24"/>
          <w:szCs w:val="24"/>
          <w:rtl/>
        </w:rPr>
        <w:t>3.6</w:t>
      </w:r>
      <w:r w:rsidR="00843689" w:rsidRPr="007504E1">
        <w:rPr>
          <w:rFonts w:asciiTheme="minorHAnsi" w:hAnsiTheme="minorHAnsi" w:cstheme="minorHAnsi"/>
          <w:sz w:val="24"/>
          <w:szCs w:val="24"/>
          <w:rtl/>
        </w:rPr>
        <w:t>%)</w:t>
      </w:r>
      <w:r w:rsidR="002B18C6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>לרמה של כ-1.</w:t>
      </w:r>
      <w:r w:rsidR="00FF7373" w:rsidRPr="007504E1">
        <w:rPr>
          <w:rFonts w:asciiTheme="minorHAnsi" w:hAnsiTheme="minorHAnsi" w:cstheme="minorHAnsi"/>
          <w:sz w:val="24"/>
          <w:szCs w:val="24"/>
          <w:rtl/>
        </w:rPr>
        <w:t>5</w:t>
      </w:r>
      <w:r w:rsidR="009D64F7" w:rsidRPr="007504E1">
        <w:rPr>
          <w:rFonts w:asciiTheme="minorHAnsi" w:hAnsiTheme="minorHAnsi" w:cstheme="minorHAnsi"/>
          <w:sz w:val="24"/>
          <w:szCs w:val="24"/>
          <w:rtl/>
        </w:rPr>
        <w:t xml:space="preserve"> טריליונים</w:t>
      </w:r>
      <w:r w:rsidR="001E62DE" w:rsidRPr="007504E1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1175ED" w:rsidRPr="007504E1">
        <w:rPr>
          <w:rFonts w:asciiTheme="minorHAnsi" w:hAnsiTheme="minorHAnsi" w:cstheme="minorHAnsi"/>
          <w:sz w:val="24"/>
          <w:szCs w:val="24"/>
          <w:rtl/>
        </w:rPr>
        <w:t xml:space="preserve">העלייה ביתרה נבעה מגיוסי חוב נטו משמעותיים שהסתכמו בכ-65 מיליארדי ש"ח </w:t>
      </w:r>
      <w:r w:rsidR="000429E6" w:rsidRPr="007504E1">
        <w:rPr>
          <w:rFonts w:asciiTheme="minorHAnsi" w:hAnsiTheme="minorHAnsi" w:cstheme="minorHAnsi"/>
          <w:sz w:val="24"/>
          <w:szCs w:val="24"/>
          <w:rtl/>
        </w:rPr>
        <w:t>ו</w:t>
      </w:r>
      <w:r w:rsidR="001175ED" w:rsidRPr="007504E1">
        <w:rPr>
          <w:rFonts w:asciiTheme="minorHAnsi" w:hAnsiTheme="minorHAnsi" w:cstheme="minorHAnsi"/>
          <w:sz w:val="24"/>
          <w:szCs w:val="24"/>
          <w:rtl/>
        </w:rPr>
        <w:t>הורכבו בעיקרם מ</w:t>
      </w:r>
      <w:r w:rsidR="000429E6" w:rsidRPr="007504E1">
        <w:rPr>
          <w:rFonts w:asciiTheme="minorHAnsi" w:hAnsiTheme="minorHAnsi" w:cstheme="minorHAnsi"/>
          <w:sz w:val="24"/>
          <w:szCs w:val="24"/>
          <w:rtl/>
        </w:rPr>
        <w:t xml:space="preserve">אשראי בנקאי </w:t>
      </w:r>
      <w:r w:rsidR="001175ED" w:rsidRPr="007504E1">
        <w:rPr>
          <w:rFonts w:asciiTheme="minorHAnsi" w:hAnsiTheme="minorHAnsi" w:cstheme="minorHAnsi"/>
          <w:sz w:val="24"/>
          <w:szCs w:val="24"/>
          <w:rtl/>
        </w:rPr>
        <w:t xml:space="preserve">ומחוב שגויס בחו"ל באמצעות אג"ח והלוואות. 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t xml:space="preserve">העלייה </w:t>
      </w:r>
      <w:r w:rsidR="008F0B6B" w:rsidRPr="007504E1">
        <w:rPr>
          <w:rFonts w:asciiTheme="minorHAnsi" w:hAnsiTheme="minorHAnsi" w:cstheme="minorHAnsi"/>
          <w:sz w:val="24"/>
          <w:szCs w:val="24"/>
          <w:rtl/>
        </w:rPr>
        <w:t>ביתרת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t xml:space="preserve"> החוב קוזזה במקצת כתוצאה מייסוף של כ-3.5% בשקל מול 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lastRenderedPageBreak/>
        <w:t xml:space="preserve">הדולר ומירידה של </w:t>
      </w:r>
      <w:r w:rsidR="003E41B2" w:rsidRPr="007504E1">
        <w:rPr>
          <w:rFonts w:asciiTheme="minorHAnsi" w:hAnsiTheme="minorHAnsi" w:cstheme="minorHAnsi"/>
          <w:sz w:val="24"/>
          <w:szCs w:val="24"/>
          <w:rtl/>
        </w:rPr>
        <w:t>כ-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t>0.6%</w:t>
      </w:r>
      <w:r w:rsidR="003E41B2" w:rsidRPr="007504E1">
        <w:rPr>
          <w:rFonts w:asciiTheme="minorHAnsi" w:hAnsiTheme="minorHAnsi" w:cstheme="minorHAnsi"/>
          <w:sz w:val="24"/>
          <w:szCs w:val="24"/>
          <w:rtl/>
        </w:rPr>
        <w:t xml:space="preserve"> במדד המחירים לצרכן</w:t>
      </w:r>
      <w:r w:rsidR="003E41B2" w:rsidRPr="007504E1">
        <w:rPr>
          <w:rStyle w:val="FootnoteReference"/>
          <w:rFonts w:asciiTheme="minorHAnsi" w:hAnsiTheme="minorHAnsi" w:cstheme="minorHAnsi"/>
          <w:sz w:val="24"/>
          <w:szCs w:val="24"/>
          <w:rtl/>
        </w:rPr>
        <w:footnoteReference w:id="3"/>
      </w:r>
      <w:r w:rsidR="003E41B2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t>שהקטינו את ה</w:t>
      </w:r>
      <w:r w:rsidR="00A30E26" w:rsidRPr="007504E1">
        <w:rPr>
          <w:rFonts w:asciiTheme="minorHAnsi" w:hAnsiTheme="minorHAnsi" w:cstheme="minorHAnsi"/>
          <w:sz w:val="24"/>
          <w:szCs w:val="24"/>
          <w:rtl/>
        </w:rPr>
        <w:t xml:space="preserve">שווי של </w:t>
      </w:r>
      <w:r w:rsidR="003E41B2" w:rsidRPr="007504E1">
        <w:rPr>
          <w:rFonts w:asciiTheme="minorHAnsi" w:hAnsiTheme="minorHAnsi" w:cstheme="minorHAnsi"/>
          <w:sz w:val="24"/>
          <w:szCs w:val="24"/>
          <w:rtl/>
        </w:rPr>
        <w:t xml:space="preserve">החוב </w:t>
      </w:r>
      <w:r w:rsidR="00826E77" w:rsidRPr="007504E1">
        <w:rPr>
          <w:rFonts w:asciiTheme="minorHAnsi" w:hAnsiTheme="minorHAnsi" w:cstheme="minorHAnsi"/>
          <w:sz w:val="24"/>
          <w:szCs w:val="24"/>
          <w:rtl/>
        </w:rPr>
        <w:t>הנקוב במט"ח והצמוד לו וכן הצמוד-מדד;</w:t>
      </w:r>
    </w:p>
    <w:p w:rsidR="00F146FE" w:rsidRPr="007504E1" w:rsidRDefault="008F0B6B" w:rsidP="000429E6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השפעות אלו הביאו לכך ששיעור הגידול השנתי ביתרת החוב של המגזר העסקי המשיך להתרחב ברביע זה לכ-11%, מגמה שהחלה במחצית השנייה של שנת 2024, לאחר האטה בשנתיים שלפני כן. התפתחות זו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 xml:space="preserve"> השתקפה בחוב הבנקאי שקצב גידולו הואץ מהמחצית השנייה של שנת 2024 לשיעור גבוה של כ-18%. שיעור הגידול השנתי ביתרת החוב החוץ-בנקאי עמד בסוף </w:t>
      </w:r>
      <w:r w:rsidR="000429E6" w:rsidRPr="007504E1">
        <w:rPr>
          <w:rFonts w:asciiTheme="minorHAnsi" w:hAnsiTheme="minorHAnsi" w:cstheme="minorHAnsi"/>
          <w:sz w:val="24"/>
          <w:szCs w:val="24"/>
          <w:rtl/>
        </w:rPr>
        <w:t>2025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 xml:space="preserve"> על כ-1%, נמוך משיעור הגידול שנרשם בשנה הקודמת – 6%.</w:t>
      </w:r>
      <w:r w:rsidR="000466AD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146FE" w:rsidRPr="007504E1">
        <w:rPr>
          <w:rFonts w:asciiTheme="minorHAnsi" w:hAnsiTheme="minorHAnsi" w:cstheme="minorHAnsi"/>
          <w:sz w:val="24"/>
          <w:szCs w:val="24"/>
          <w:rtl/>
        </w:rPr>
        <w:t xml:space="preserve">(איורים 1, 2). </w:t>
      </w:r>
    </w:p>
    <w:p w:rsidR="00693EF0" w:rsidRPr="007504E1" w:rsidRDefault="00C55E2C" w:rsidP="003D73D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ברביע </w:t>
      </w:r>
      <w:r w:rsidR="007A5854" w:rsidRPr="007504E1">
        <w:rPr>
          <w:rFonts w:asciiTheme="minorHAnsi" w:hAnsiTheme="minorHAnsi" w:cstheme="minorHAnsi"/>
          <w:sz w:val="24"/>
          <w:szCs w:val="24"/>
          <w:rtl/>
        </w:rPr>
        <w:t>ה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>רביעי</w:t>
      </w:r>
      <w:r w:rsidR="00DE6E1D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335BB" w:rsidRPr="007504E1">
        <w:rPr>
          <w:rFonts w:asciiTheme="minorHAnsi" w:hAnsiTheme="minorHAnsi" w:cstheme="minorHAnsi"/>
          <w:sz w:val="24"/>
          <w:szCs w:val="24"/>
          <w:rtl/>
        </w:rPr>
        <w:t xml:space="preserve">של השנה </w:t>
      </w:r>
      <w:r w:rsidR="004C43DC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הנפיק המגזר העסקי</w:t>
      </w:r>
      <w:r w:rsidR="00B360E1" w:rsidRPr="007504E1">
        <w:rPr>
          <w:rFonts w:asciiTheme="minorHAnsi" w:hAnsiTheme="minorHAnsi" w:cstheme="minorHAnsi"/>
          <w:sz w:val="24"/>
          <w:szCs w:val="24"/>
          <w:rtl/>
        </w:rPr>
        <w:t xml:space="preserve"> אג"ח בשווי של כ-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>19</w:t>
      </w:r>
      <w:r w:rsidR="00804AEF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A51F1" w:rsidRPr="007504E1">
        <w:rPr>
          <w:rFonts w:asciiTheme="minorHAnsi" w:hAnsiTheme="minorHAnsi" w:cstheme="minorHAnsi"/>
          <w:sz w:val="24"/>
          <w:szCs w:val="24"/>
          <w:rtl/>
        </w:rPr>
        <w:t>מיליארדי ש"ח</w:t>
      </w:r>
      <w:r w:rsidR="00440110" w:rsidRPr="007504E1">
        <w:rPr>
          <w:rFonts w:asciiTheme="minorHAnsi" w:hAnsiTheme="minorHAnsi" w:cstheme="minorHAnsi"/>
          <w:sz w:val="24"/>
          <w:szCs w:val="24"/>
          <w:rtl/>
        </w:rPr>
        <w:t xml:space="preserve">, </w:t>
      </w:r>
      <w:r w:rsidR="003D73DA" w:rsidRPr="007504E1">
        <w:rPr>
          <w:rFonts w:asciiTheme="minorHAnsi" w:hAnsiTheme="minorHAnsi" w:cstheme="minorHAnsi"/>
          <w:sz w:val="24"/>
          <w:szCs w:val="24"/>
          <w:rtl/>
        </w:rPr>
        <w:t>כאשר מעל</w:t>
      </w:r>
      <w:r w:rsidR="00C2543D" w:rsidRPr="007504E1">
        <w:rPr>
          <w:rFonts w:asciiTheme="minorHAnsi" w:hAnsiTheme="minorHAnsi" w:cstheme="minorHAnsi"/>
          <w:sz w:val="24"/>
          <w:szCs w:val="24"/>
          <w:rtl/>
        </w:rPr>
        <w:t xml:space="preserve"> למחצית מ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>ה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>ן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 xml:space="preserve"> גויסו בחודש דצמבר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>. היקף זה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 xml:space="preserve"> נמוך </w:t>
      </w:r>
      <w:r w:rsidR="00831F9F" w:rsidRPr="007504E1">
        <w:rPr>
          <w:rFonts w:asciiTheme="minorHAnsi" w:hAnsiTheme="minorHAnsi" w:cstheme="minorHAnsi"/>
          <w:sz w:val="24"/>
          <w:szCs w:val="24"/>
          <w:rtl/>
        </w:rPr>
        <w:t>מ</w:t>
      </w:r>
      <w:r w:rsidR="00474B96" w:rsidRPr="007504E1">
        <w:rPr>
          <w:rFonts w:asciiTheme="minorHAnsi" w:hAnsiTheme="minorHAnsi" w:cstheme="minorHAnsi"/>
          <w:sz w:val="24"/>
          <w:szCs w:val="24"/>
          <w:rtl/>
        </w:rPr>
        <w:t>מ</w:t>
      </w:r>
      <w:r w:rsidR="00804AEF" w:rsidRPr="007504E1">
        <w:rPr>
          <w:rFonts w:asciiTheme="minorHAnsi" w:hAnsiTheme="minorHAnsi" w:cstheme="minorHAnsi"/>
          <w:sz w:val="24"/>
          <w:szCs w:val="24"/>
          <w:rtl/>
        </w:rPr>
        <w:t xml:space="preserve">מוצע הגיוסים </w:t>
      </w:r>
      <w:r w:rsidR="00644325" w:rsidRPr="007504E1">
        <w:rPr>
          <w:rFonts w:asciiTheme="minorHAnsi" w:hAnsiTheme="minorHAnsi" w:cstheme="minorHAnsi"/>
          <w:sz w:val="24"/>
          <w:szCs w:val="24"/>
          <w:rtl/>
        </w:rPr>
        <w:t xml:space="preserve">הרבעוני </w:t>
      </w:r>
      <w:r w:rsidR="0032510F" w:rsidRPr="007504E1">
        <w:rPr>
          <w:rFonts w:asciiTheme="minorHAnsi" w:hAnsiTheme="minorHAnsi" w:cstheme="minorHAnsi"/>
          <w:sz w:val="24"/>
          <w:szCs w:val="24"/>
          <w:rtl/>
        </w:rPr>
        <w:t xml:space="preserve">של ארבעת הרביעים </w:t>
      </w:r>
      <w:r w:rsidR="0050090B" w:rsidRPr="007504E1">
        <w:rPr>
          <w:rFonts w:asciiTheme="minorHAnsi" w:hAnsiTheme="minorHAnsi" w:cstheme="minorHAnsi"/>
          <w:sz w:val="24"/>
          <w:szCs w:val="24"/>
          <w:rtl/>
        </w:rPr>
        <w:t>הקודמים</w:t>
      </w:r>
      <w:r w:rsidR="00831F9F" w:rsidRPr="007504E1">
        <w:rPr>
          <w:rFonts w:asciiTheme="minorHAnsi" w:hAnsiTheme="minorHAnsi" w:cstheme="minorHAnsi"/>
          <w:sz w:val="24"/>
          <w:szCs w:val="24"/>
          <w:rtl/>
        </w:rPr>
        <w:t xml:space="preserve"> (כ-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>22</w:t>
      </w:r>
      <w:r w:rsidR="00831F9F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</w:t>
      </w:r>
      <w:r w:rsidR="0088596A" w:rsidRPr="007504E1">
        <w:rPr>
          <w:rFonts w:asciiTheme="minorHAnsi" w:hAnsiTheme="minorHAnsi" w:cstheme="minorHAnsi"/>
          <w:sz w:val="24"/>
          <w:szCs w:val="24"/>
          <w:rtl/>
        </w:rPr>
        <w:t>ם</w:t>
      </w:r>
      <w:r w:rsidR="00831F9F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8596A" w:rsidRPr="007504E1">
        <w:rPr>
          <w:rFonts w:asciiTheme="minorHAnsi" w:hAnsiTheme="minorHAnsi" w:cstheme="minorHAnsi"/>
          <w:sz w:val="24"/>
          <w:szCs w:val="24"/>
          <w:rtl/>
        </w:rPr>
        <w:t>בממוצע ל</w:t>
      </w:r>
      <w:r w:rsidR="00831F9F" w:rsidRPr="007504E1">
        <w:rPr>
          <w:rFonts w:asciiTheme="minorHAnsi" w:hAnsiTheme="minorHAnsi" w:cstheme="minorHAnsi"/>
          <w:sz w:val="24"/>
          <w:szCs w:val="24"/>
          <w:rtl/>
        </w:rPr>
        <w:t>רביע)</w:t>
      </w:r>
      <w:r w:rsidR="008C7666"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32510F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E322B" w:rsidRPr="007504E1">
        <w:rPr>
          <w:rFonts w:asciiTheme="minorHAnsi" w:hAnsiTheme="minorHAnsi" w:cstheme="minorHAnsi"/>
          <w:sz w:val="24"/>
          <w:szCs w:val="24"/>
          <w:rtl/>
        </w:rPr>
        <w:t>כ-48%</w:t>
      </w:r>
      <w:r w:rsidR="008C7666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693EF0" w:rsidRPr="007504E1">
        <w:rPr>
          <w:rFonts w:asciiTheme="minorHAnsi" w:hAnsiTheme="minorHAnsi" w:cstheme="minorHAnsi"/>
          <w:sz w:val="24"/>
          <w:szCs w:val="24"/>
          <w:rtl/>
        </w:rPr>
        <w:t>מההנפקות ברביע זה בוצעו על ידי חברות מענף הנדל"ן והבינוי</w:t>
      </w:r>
      <w:r w:rsidR="007F21C2" w:rsidRPr="007504E1">
        <w:rPr>
          <w:rFonts w:asciiTheme="minorHAnsi" w:hAnsiTheme="minorHAnsi" w:cstheme="minorHAnsi"/>
          <w:sz w:val="24"/>
          <w:szCs w:val="24"/>
          <w:rtl/>
        </w:rPr>
        <w:t xml:space="preserve">, ענף </w:t>
      </w:r>
      <w:r w:rsidR="00A705F9" w:rsidRPr="007504E1">
        <w:rPr>
          <w:rFonts w:asciiTheme="minorHAnsi" w:hAnsiTheme="minorHAnsi" w:cstheme="minorHAnsi"/>
          <w:sz w:val="24"/>
          <w:szCs w:val="24"/>
          <w:rtl/>
        </w:rPr>
        <w:t>שממשיך להוביל בגיוסים בדומה לשנים הקודמות</w:t>
      </w:r>
      <w:r w:rsidR="00693EF0"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B93F60" w:rsidRPr="007504E1">
        <w:rPr>
          <w:rFonts w:asciiTheme="minorHAnsi" w:hAnsiTheme="minorHAnsi" w:cstheme="minorHAnsi"/>
          <w:sz w:val="24"/>
          <w:szCs w:val="24"/>
          <w:rtl/>
        </w:rPr>
        <w:t xml:space="preserve"> (איור 3).</w:t>
      </w:r>
    </w:p>
    <w:p w:rsidR="00E44E3D" w:rsidRPr="007504E1" w:rsidRDefault="00A877F1" w:rsidP="00CE5D3D">
      <w:pPr>
        <w:pStyle w:val="ListParagraph"/>
        <w:numPr>
          <w:ilvl w:val="0"/>
          <w:numId w:val="8"/>
        </w:numPr>
        <w:bidi/>
        <w:spacing w:before="2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ED7E4E" w:rsidRPr="007504E1">
        <w:rPr>
          <w:rFonts w:asciiTheme="minorHAnsi" w:hAnsiTheme="minorHAnsi" w:cstheme="minorHAnsi"/>
          <w:sz w:val="24"/>
          <w:szCs w:val="24"/>
          <w:rtl/>
        </w:rPr>
        <w:t>רביעי</w:t>
      </w:r>
      <w:r w:rsidR="003A033D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4146D6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985B74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מרווח</w:t>
      </w:r>
      <w:r w:rsidR="00884ED4" w:rsidRPr="007504E1">
        <w:rPr>
          <w:rStyle w:val="FootnoteReference"/>
          <w:rFonts w:asciiTheme="minorHAnsi" w:hAnsiTheme="minorHAnsi" w:cstheme="minorHAnsi"/>
          <w:b/>
          <w:bCs/>
          <w:sz w:val="24"/>
          <w:szCs w:val="24"/>
          <w:rtl/>
        </w:rPr>
        <w:footnoteReference w:id="4"/>
      </w:r>
      <w:r w:rsidR="00884ED4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בין תשואת </w:t>
      </w:r>
      <w:r w:rsidR="00BD457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האג"ח הקונצרניות הכלולות במדד</w:t>
      </w:r>
      <w:r w:rsidR="00985B74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תל בונד 60, לבין תשואת האג"ח הממשלתיות </w:t>
      </w:r>
      <w:r w:rsidR="00DA4279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הצמודות</w:t>
      </w:r>
      <w:r w:rsidR="00DA4279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הצטמצם</w:t>
      </w:r>
      <w:r w:rsidR="00644C57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 xml:space="preserve">מעט </w:t>
      </w:r>
      <w:r w:rsidRPr="007504E1">
        <w:rPr>
          <w:rFonts w:asciiTheme="minorHAnsi" w:hAnsiTheme="minorHAnsi" w:cstheme="minorHAnsi"/>
          <w:sz w:val="24"/>
          <w:szCs w:val="24"/>
          <w:rtl/>
        </w:rPr>
        <w:t>לכ-</w:t>
      </w:r>
      <w:r w:rsidR="00713BC0" w:rsidRPr="007504E1">
        <w:rPr>
          <w:rFonts w:asciiTheme="minorHAnsi" w:hAnsiTheme="minorHAnsi" w:cstheme="minorHAnsi"/>
          <w:sz w:val="24"/>
          <w:szCs w:val="24"/>
          <w:rtl/>
        </w:rPr>
        <w:t>0.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86</w:t>
      </w:r>
      <w:r w:rsidR="00713BC0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sz w:val="24"/>
          <w:szCs w:val="24"/>
          <w:rtl/>
        </w:rPr>
        <w:t>נק' אחוז</w:t>
      </w:r>
      <w:r w:rsidR="00A6202D" w:rsidRPr="007504E1">
        <w:rPr>
          <w:rFonts w:asciiTheme="minorHAnsi" w:hAnsiTheme="minorHAnsi" w:cstheme="minorHAnsi"/>
          <w:sz w:val="24"/>
          <w:szCs w:val="24"/>
          <w:rtl/>
        </w:rPr>
        <w:t>,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E5D3D" w:rsidRPr="007504E1">
        <w:rPr>
          <w:rFonts w:asciiTheme="minorHAnsi" w:hAnsiTheme="minorHAnsi" w:cstheme="minorHAnsi"/>
          <w:sz w:val="24"/>
          <w:szCs w:val="24"/>
          <w:rtl/>
        </w:rPr>
        <w:t xml:space="preserve">הצטמצמות שנמשכה גם בחודש ינואר </w:t>
      </w:r>
      <w:r w:rsidR="00DD7A5B" w:rsidRPr="007504E1">
        <w:rPr>
          <w:rFonts w:asciiTheme="minorHAnsi" w:hAnsiTheme="minorHAnsi" w:cstheme="minorHAnsi"/>
          <w:sz w:val="24"/>
          <w:szCs w:val="24"/>
          <w:rtl/>
        </w:rPr>
        <w:t xml:space="preserve">2026 </w:t>
      </w:r>
      <w:r w:rsidR="00CE5D3D" w:rsidRPr="007504E1">
        <w:rPr>
          <w:rFonts w:asciiTheme="minorHAnsi" w:hAnsiTheme="minorHAnsi" w:cstheme="minorHAnsi"/>
          <w:sz w:val="24"/>
          <w:szCs w:val="24"/>
          <w:rtl/>
        </w:rPr>
        <w:t xml:space="preserve">לכ-0.82 נק' האחוז. 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>עם זאת</w:t>
      </w:r>
      <w:r w:rsidR="00CE5D3D" w:rsidRPr="007504E1">
        <w:rPr>
          <w:rFonts w:asciiTheme="minorHAnsi" w:hAnsiTheme="minorHAnsi" w:cstheme="minorHAnsi"/>
          <w:sz w:val="24"/>
          <w:szCs w:val="24"/>
          <w:rtl/>
        </w:rPr>
        <w:t xml:space="preserve">, בחודש 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פברואר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2026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 xml:space="preserve"> מרווח זה 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התרחב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 xml:space="preserve"> עד לרמה של כ-0.</w:t>
      </w:r>
      <w:r w:rsidR="005F4DD2" w:rsidRPr="007504E1">
        <w:rPr>
          <w:rFonts w:asciiTheme="minorHAnsi" w:hAnsiTheme="minorHAnsi" w:cstheme="minorHAnsi"/>
          <w:sz w:val="24"/>
          <w:szCs w:val="24"/>
          <w:rtl/>
        </w:rPr>
        <w:t>94</w:t>
      </w:r>
      <w:r w:rsidR="00C84650" w:rsidRPr="007504E1">
        <w:rPr>
          <w:rFonts w:asciiTheme="minorHAnsi" w:hAnsiTheme="minorHAnsi" w:cstheme="minorHAnsi"/>
          <w:sz w:val="24"/>
          <w:szCs w:val="24"/>
          <w:rtl/>
        </w:rPr>
        <w:t xml:space="preserve"> נק' אחוז. </w:t>
      </w:r>
      <w:r w:rsidR="00070391" w:rsidRPr="007504E1">
        <w:rPr>
          <w:rFonts w:asciiTheme="minorHAnsi" w:hAnsiTheme="minorHAnsi" w:cstheme="minorHAnsi"/>
          <w:sz w:val="24"/>
          <w:szCs w:val="24"/>
          <w:rtl/>
        </w:rPr>
        <w:t>(איור 4)</w:t>
      </w:r>
      <w:r w:rsidR="008E0911" w:rsidRPr="007504E1">
        <w:rPr>
          <w:rFonts w:asciiTheme="minorHAnsi" w:hAnsiTheme="minorHAnsi" w:cstheme="minorHAnsi"/>
          <w:sz w:val="24"/>
          <w:szCs w:val="24"/>
          <w:rtl/>
        </w:rPr>
        <w:t>.</w:t>
      </w:r>
    </w:p>
    <w:p w:rsidR="00C55367" w:rsidRPr="007504E1" w:rsidRDefault="00C55367" w:rsidP="00C55367">
      <w:pPr>
        <w:pStyle w:val="ListParagraph"/>
        <w:bidi/>
        <w:spacing w:before="2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1AEA" w:rsidRPr="007504E1" w:rsidRDefault="00AC3E61" w:rsidP="00DC2431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  <w:rtl/>
        </w:rPr>
      </w:pPr>
      <w:r w:rsidRPr="007504E1">
        <w:rPr>
          <w:rFonts w:asciiTheme="minorHAnsi" w:hAnsiTheme="minorHAnsi" w:cstheme="minorHAnsi"/>
          <w:b/>
          <w:bCs/>
          <w:rtl/>
        </w:rPr>
        <w:t>לוח 1: התפלגות החוב של המגזר העסקי</w:t>
      </w:r>
      <w:r w:rsidR="001E78A9" w:rsidRPr="007504E1">
        <w:rPr>
          <w:rFonts w:asciiTheme="minorHAnsi" w:hAnsiTheme="minorHAnsi" w:cstheme="minorHAnsi"/>
          <w:b/>
          <w:bCs/>
          <w:rtl/>
        </w:rPr>
        <w:t xml:space="preserve"> הלא-פיננסי</w:t>
      </w:r>
      <w:r w:rsidR="0012175B" w:rsidRPr="007504E1">
        <w:rPr>
          <w:rFonts w:asciiTheme="minorHAnsi" w:hAnsiTheme="minorHAnsi" w:cstheme="minorHAnsi"/>
          <w:vertAlign w:val="superscript"/>
          <w:rtl/>
        </w:rPr>
        <w:t>1</w:t>
      </w:r>
      <w:r w:rsidR="00303DA6" w:rsidRPr="007504E1">
        <w:rPr>
          <w:rFonts w:asciiTheme="minorHAnsi" w:hAnsiTheme="minorHAnsi" w:cstheme="minorHAnsi"/>
          <w:vertAlign w:val="superscript"/>
          <w:rtl/>
        </w:rPr>
        <w:t xml:space="preserve"> </w:t>
      </w:r>
    </w:p>
    <w:p w:rsidR="002A60C4" w:rsidRPr="007504E1" w:rsidRDefault="00AF353B" w:rsidP="0004490E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rtl/>
        </w:rPr>
      </w:pPr>
      <w:r w:rsidRPr="007504E1">
        <w:rPr>
          <w:rFonts w:asciiTheme="minorHAnsi" w:hAnsiTheme="minorHAnsi" w:cstheme="minorHAnsi"/>
          <w:noProof/>
          <w:rtl/>
        </w:rPr>
        <w:drawing>
          <wp:inline distT="0" distB="0" distL="0" distR="0">
            <wp:extent cx="5278120" cy="2337230"/>
            <wp:effectExtent l="0" t="0" r="0" b="6350"/>
            <wp:docPr id="8" name="תמונה 8" descr="לוח 1: התפלגות החוב של המגזר העסקי הלא-פיננסי1 " title="לוח 1: התפלגות החוב של המגזר העסקי הלא-פיננסי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3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B" w:rsidRPr="007504E1" w:rsidRDefault="00061F4B" w:rsidP="000C1DB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rtl/>
        </w:rPr>
      </w:pPr>
    </w:p>
    <w:p w:rsidR="00362735" w:rsidRPr="007504E1" w:rsidRDefault="00362735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br w:type="page"/>
      </w:r>
    </w:p>
    <w:p w:rsidR="00AC3E61" w:rsidRPr="007504E1" w:rsidRDefault="00AC3E61" w:rsidP="005119D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rtl/>
        </w:rPr>
      </w:pPr>
      <w:r w:rsidRPr="007504E1">
        <w:rPr>
          <w:rFonts w:asciiTheme="minorHAnsi" w:hAnsiTheme="minorHAnsi" w:cstheme="minorHAnsi"/>
          <w:b/>
          <w:bCs/>
          <w:rtl/>
        </w:rPr>
        <w:lastRenderedPageBreak/>
        <w:t xml:space="preserve">איור 1: </w:t>
      </w:r>
      <w:r w:rsidR="00AD3F98" w:rsidRPr="007504E1">
        <w:rPr>
          <w:rFonts w:asciiTheme="minorHAnsi" w:hAnsiTheme="minorHAnsi" w:cstheme="minorHAnsi"/>
          <w:b/>
          <w:bCs/>
          <w:rtl/>
        </w:rPr>
        <w:t xml:space="preserve">אומדן </w:t>
      </w:r>
      <w:r w:rsidR="00374BF3" w:rsidRPr="007504E1">
        <w:rPr>
          <w:rFonts w:asciiTheme="minorHAnsi" w:hAnsiTheme="minorHAnsi" w:cstheme="minorHAnsi"/>
          <w:b/>
          <w:bCs/>
          <w:rtl/>
        </w:rPr>
        <w:t>לתנועות של סך ה</w:t>
      </w:r>
      <w:r w:rsidR="00AD3F98" w:rsidRPr="007504E1">
        <w:rPr>
          <w:rFonts w:asciiTheme="minorHAnsi" w:hAnsiTheme="minorHAnsi" w:cstheme="minorHAnsi"/>
          <w:b/>
          <w:bCs/>
          <w:rtl/>
        </w:rPr>
        <w:t>חוב של</w:t>
      </w:r>
      <w:r w:rsidRPr="007504E1">
        <w:rPr>
          <w:rFonts w:asciiTheme="minorHAnsi" w:hAnsiTheme="minorHAnsi" w:cstheme="minorHAnsi"/>
          <w:b/>
          <w:bCs/>
          <w:rtl/>
        </w:rPr>
        <w:t xml:space="preserve"> </w:t>
      </w:r>
      <w:r w:rsidR="0004490E" w:rsidRPr="007504E1">
        <w:rPr>
          <w:rFonts w:asciiTheme="minorHAnsi" w:hAnsiTheme="minorHAnsi" w:cstheme="minorHAnsi"/>
          <w:b/>
          <w:bCs/>
          <w:rtl/>
        </w:rPr>
        <w:t>המגזר</w:t>
      </w:r>
      <w:r w:rsidR="00AD3F98" w:rsidRPr="007504E1">
        <w:rPr>
          <w:rFonts w:asciiTheme="minorHAnsi" w:hAnsiTheme="minorHAnsi" w:cstheme="minorHAnsi"/>
          <w:b/>
          <w:bCs/>
          <w:rtl/>
        </w:rPr>
        <w:t xml:space="preserve"> העסקי </w:t>
      </w:r>
      <w:r w:rsidR="001E78A9" w:rsidRPr="007504E1">
        <w:rPr>
          <w:rFonts w:asciiTheme="minorHAnsi" w:hAnsiTheme="minorHAnsi" w:cstheme="minorHAnsi"/>
          <w:b/>
          <w:bCs/>
          <w:rtl/>
        </w:rPr>
        <w:t>הלא-פיננסי</w:t>
      </w:r>
    </w:p>
    <w:p w:rsidR="002A60C4" w:rsidRPr="007504E1" w:rsidRDefault="00AF353B" w:rsidP="00AC3E61">
      <w:pPr>
        <w:pStyle w:val="ListParagraph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04E1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>
            <wp:extent cx="5278120" cy="2778986"/>
            <wp:effectExtent l="0" t="0" r="0" b="2540"/>
            <wp:docPr id="10" name="תמונה 10" descr="איור 1: אומדן לתנועות של סך החוב של המגזר העסקי הלא-פיננסי" title="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7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03" w:rsidRPr="007504E1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75551" w:rsidRPr="007504E1" w:rsidRDefault="00675551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איור 2: שיעורי השינוי לעומת הרביע המקביל בשנה הקודמת בחוב הבנקאי והחוץ-בנקאי של המגזר העסקי</w:t>
      </w:r>
      <w:r w:rsidR="001E78A9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הלא-פיננסי</w:t>
      </w:r>
    </w:p>
    <w:p w:rsidR="00675551" w:rsidRPr="007504E1" w:rsidRDefault="00AF353B" w:rsidP="00675551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inline distT="0" distB="0" distL="0" distR="0">
            <wp:extent cx="5278120" cy="2466803"/>
            <wp:effectExtent l="0" t="0" r="0" b="0"/>
            <wp:docPr id="11" name="תמונה 11" descr="איור 2: שיעורי השינוי לעומת הרביע המקביל בשנה הקודמת בחוב הבנקאי והחוץ-בנקאי של המגזר העסקי הלא-פיננסיה" title="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46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D" w:rsidRPr="007504E1" w:rsidRDefault="00BD2EED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7504E1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7504E1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7504E1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7504E1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7504E1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Default="0020745C" w:rsidP="007504E1">
      <w:pPr>
        <w:bidi/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Pr="007504E1" w:rsidRDefault="007504E1" w:rsidP="007504E1">
      <w:pPr>
        <w:bidi/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AC3E61" w:rsidRPr="007504E1" w:rsidRDefault="00AC3E61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איור </w:t>
      </w:r>
      <w:r w:rsidR="00070391" w:rsidRPr="007504E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D602E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הנפקות אג"ח של המגזר העסקי הלא-פיננסי במהלך הרביע, לפי ענפים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F83505" w:rsidRPr="007504E1" w:rsidRDefault="00AF353B" w:rsidP="001F1E1B">
      <w:pPr>
        <w:pStyle w:val="ListParagraph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04E1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>
            <wp:extent cx="5278120" cy="2863177"/>
            <wp:effectExtent l="0" t="0" r="0" b="0"/>
            <wp:docPr id="12" name="תמונה 12" descr="איור 3: הנפקות אג&quot;ח של המגזר העסקי הלא-פיננסי במהלך הרביע, לפי ענפים " title="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86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03" w:rsidRPr="007504E1" w:rsidRDefault="00FF4A03" w:rsidP="00FF4A03">
      <w:pPr>
        <w:pStyle w:val="ListParagraph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522BB0" w:rsidRPr="007504E1" w:rsidRDefault="00522BB0" w:rsidP="00FF4A03">
      <w:pPr>
        <w:pStyle w:val="ListParagraph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070391" w:rsidRPr="007504E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: המרווח בין אג"ח חברות צמוד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(תל בונד 60) לאג"ח ממשלתי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צמוד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br/>
        <w:t>(ממוצע חודשי)</w:t>
      </w:r>
      <w:r w:rsidR="002B46BA" w:rsidRPr="007504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189230</wp:posOffset>
            </wp:positionV>
            <wp:extent cx="5278120" cy="2593340"/>
            <wp:effectExtent l="0" t="0" r="0" b="0"/>
            <wp:wrapTight wrapText="bothSides">
              <wp:wrapPolygon edited="0">
                <wp:start x="0" y="0"/>
                <wp:lineTo x="0" y="21420"/>
                <wp:lineTo x="21517" y="21420"/>
                <wp:lineTo x="21517" y="0"/>
                <wp:lineTo x="0" y="0"/>
              </wp:wrapPolygon>
            </wp:wrapTight>
            <wp:docPr id="20" name="תמונה 20" descr="איור 4: המרווח בין אג&quot;ח חברות צמודות (תל בונד 60) לאג&quot;ח ממשלתיות צמודות &#10;(ממוצע חודשי) &#10;" title="איור 4: המרווח בין אג&quot;ח חברות צמודות (תל בונד 60) לאג&quot;ח ממשלתיות צמוד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7504E1" w:rsidRDefault="002B46BA" w:rsidP="002B46BA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:rsidR="002B46BA" w:rsidRPr="007504E1" w:rsidRDefault="002B46BA" w:rsidP="002B46BA">
      <w:pPr>
        <w:pStyle w:val="ListParagraph"/>
        <w:bidi/>
        <w:spacing w:line="360" w:lineRule="auto"/>
        <w:jc w:val="both"/>
        <w:rPr>
          <w:rStyle w:val="Heading1Char"/>
          <w:rFonts w:asciiTheme="minorHAnsi" w:hAnsiTheme="minorHAnsi" w:cstheme="minorHAnsi"/>
          <w:highlight w:val="yellow"/>
        </w:rPr>
      </w:pPr>
    </w:p>
    <w:p w:rsidR="009F574F" w:rsidRPr="007504E1" w:rsidRDefault="009F574F" w:rsidP="002B46BA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Style w:val="Heading1Char"/>
          <w:rFonts w:asciiTheme="minorHAnsi" w:hAnsiTheme="minorHAnsi" w:cstheme="minorHAnsi"/>
        </w:rPr>
      </w:pPr>
      <w:r w:rsidRPr="007504E1">
        <w:rPr>
          <w:rStyle w:val="Heading1Char"/>
          <w:rFonts w:asciiTheme="minorHAnsi" w:hAnsiTheme="minorHAnsi" w:cstheme="minorHAnsi"/>
          <w:rtl/>
        </w:rPr>
        <w:t>החוב של משקי הבית</w:t>
      </w:r>
    </w:p>
    <w:p w:rsidR="00AF675E" w:rsidRPr="007504E1" w:rsidRDefault="000B43AC" w:rsidP="00855531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>רביעי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של שנת </w:t>
      </w:r>
      <w:r w:rsidR="00B406EC" w:rsidRPr="007504E1">
        <w:rPr>
          <w:rFonts w:asciiTheme="minorHAnsi" w:hAnsiTheme="minorHAnsi" w:cstheme="minorHAnsi"/>
          <w:sz w:val="24"/>
          <w:szCs w:val="24"/>
          <w:rtl/>
        </w:rPr>
        <w:t>2025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יתרת החוב של משקי הבית</w:t>
      </w:r>
      <w:r w:rsidR="00C45BF6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 xml:space="preserve">המשיכה לגדול </w:t>
      </w:r>
      <w:r w:rsidR="00172781" w:rsidRPr="007504E1">
        <w:rPr>
          <w:rFonts w:asciiTheme="minorHAnsi" w:hAnsiTheme="minorHAnsi" w:cstheme="minorHAnsi"/>
          <w:sz w:val="24"/>
          <w:szCs w:val="24"/>
          <w:rtl/>
        </w:rPr>
        <w:t>לרמה של</w:t>
      </w:r>
      <w:r w:rsidR="00172781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172781" w:rsidRPr="007504E1">
        <w:rPr>
          <w:rFonts w:asciiTheme="minorHAnsi" w:hAnsiTheme="minorHAnsi" w:cstheme="minorHAnsi"/>
          <w:sz w:val="24"/>
          <w:szCs w:val="24"/>
          <w:rtl/>
        </w:rPr>
        <w:t>כ-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>903</w:t>
      </w:r>
      <w:r w:rsidR="00172781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 ש"ח – עלייה של כ-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>13</w:t>
      </w:r>
      <w:r w:rsidR="00172781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מיליארדים (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>1.5</w:t>
      </w:r>
      <w:r w:rsidR="00172781" w:rsidRPr="007504E1">
        <w:rPr>
          <w:rFonts w:asciiTheme="minorHAnsi" w:hAnsiTheme="minorHAnsi" w:cstheme="minorHAnsi"/>
          <w:sz w:val="24"/>
          <w:szCs w:val="24"/>
          <w:rtl/>
        </w:rPr>
        <w:t>%):</w:t>
      </w:r>
      <w:r w:rsidR="00B47739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 xml:space="preserve">נמשכת העלייה </w:t>
      </w:r>
      <w:r w:rsidR="00AF675E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ביתרת החוב לדיור 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>(כ-9 מיליארדים) בשיעור של כ-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lastRenderedPageBreak/>
        <w:t xml:space="preserve">1.4% לרמה של כ-653 מיליארדים, ברובה לבנקים; </w:t>
      </w:r>
      <w:r w:rsidR="00A913C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יתרת</w:t>
      </w:r>
      <w:r w:rsidR="00A913C3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913C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החוב לא-לדיור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 xml:space="preserve"> גדלה גם היא ברביע זה </w:t>
      </w:r>
      <w:r w:rsidR="00A913C3" w:rsidRPr="007504E1">
        <w:rPr>
          <w:rFonts w:asciiTheme="minorHAnsi" w:hAnsiTheme="minorHAnsi" w:cstheme="minorHAnsi"/>
          <w:sz w:val="24"/>
          <w:szCs w:val="24"/>
          <w:rtl/>
        </w:rPr>
        <w:t>בשיעור של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 xml:space="preserve"> כ-1.6% (כ-4 מיליארדי ש"ח) </w:t>
      </w:r>
      <w:r w:rsidR="00A913C3" w:rsidRPr="007504E1">
        <w:rPr>
          <w:rFonts w:asciiTheme="minorHAnsi" w:hAnsiTheme="minorHAnsi" w:cstheme="minorHAnsi"/>
          <w:sz w:val="24"/>
          <w:szCs w:val="24"/>
          <w:rtl/>
        </w:rPr>
        <w:t>לרמה של כ-</w:t>
      </w:r>
      <w:r w:rsidR="00AF675E" w:rsidRPr="007504E1">
        <w:rPr>
          <w:rFonts w:asciiTheme="minorHAnsi" w:hAnsiTheme="minorHAnsi" w:cstheme="minorHAnsi"/>
          <w:sz w:val="24"/>
          <w:szCs w:val="24"/>
          <w:rtl/>
        </w:rPr>
        <w:t xml:space="preserve">250 מיליארדים. </w:t>
      </w:r>
    </w:p>
    <w:p w:rsidR="00F262B6" w:rsidRPr="007504E1" w:rsidRDefault="00964BCB" w:rsidP="005C1600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השפעות אלו הביאו לכך ששיעור הגידול השנתי</w:t>
      </w:r>
      <w:r w:rsidR="001D1CBB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7504E1">
        <w:rPr>
          <w:rFonts w:asciiTheme="minorHAnsi" w:hAnsiTheme="minorHAnsi" w:cstheme="minorHAnsi"/>
          <w:sz w:val="24"/>
          <w:szCs w:val="24"/>
          <w:rtl/>
        </w:rPr>
        <w:t>של יתרת החוב לדיור</w:t>
      </w:r>
      <w:r w:rsidR="00183DEE" w:rsidRPr="007504E1">
        <w:rPr>
          <w:rFonts w:asciiTheme="minorHAnsi" w:hAnsiTheme="minorHAnsi" w:cstheme="minorHAnsi"/>
          <w:sz w:val="24"/>
          <w:szCs w:val="24"/>
          <w:rtl/>
        </w:rPr>
        <w:t xml:space="preserve"> נותר 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גבוה, עם התייצבות מסוימת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 xml:space="preserve"> במהלך השנה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,</w:t>
      </w:r>
      <w:r w:rsidR="00183DEE" w:rsidRPr="007504E1">
        <w:rPr>
          <w:rFonts w:asciiTheme="minorHAnsi" w:hAnsiTheme="minorHAnsi" w:cstheme="minorHAnsi"/>
          <w:sz w:val="24"/>
          <w:szCs w:val="24"/>
          <w:rtl/>
        </w:rPr>
        <w:t xml:space="preserve"> ו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 xml:space="preserve">בסופה הוא </w:t>
      </w:r>
      <w:r w:rsidR="00183DEE" w:rsidRPr="007504E1">
        <w:rPr>
          <w:rFonts w:asciiTheme="minorHAnsi" w:hAnsiTheme="minorHAnsi" w:cstheme="minorHAnsi"/>
          <w:sz w:val="24"/>
          <w:szCs w:val="24"/>
          <w:rtl/>
        </w:rPr>
        <w:t xml:space="preserve">עמד על </w:t>
      </w:r>
      <w:r w:rsidRPr="007504E1">
        <w:rPr>
          <w:rFonts w:asciiTheme="minorHAnsi" w:hAnsiTheme="minorHAnsi" w:cstheme="minorHAnsi"/>
          <w:sz w:val="24"/>
          <w:szCs w:val="24"/>
          <w:rtl/>
        </w:rPr>
        <w:t>כ-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7</w:t>
      </w:r>
      <w:r w:rsidR="003750FB" w:rsidRPr="007504E1">
        <w:rPr>
          <w:rFonts w:asciiTheme="minorHAnsi" w:hAnsiTheme="minorHAnsi" w:cstheme="minorHAnsi"/>
          <w:sz w:val="24"/>
          <w:szCs w:val="24"/>
          <w:rtl/>
        </w:rPr>
        <w:t xml:space="preserve">%. </w:t>
      </w:r>
      <w:r w:rsidRPr="007504E1">
        <w:rPr>
          <w:rFonts w:asciiTheme="minorHAnsi" w:hAnsiTheme="minorHAnsi" w:cstheme="minorHAnsi"/>
          <w:sz w:val="24"/>
          <w:szCs w:val="24"/>
          <w:rtl/>
        </w:rPr>
        <w:t>שיעור הגי</w:t>
      </w:r>
      <w:r w:rsidR="009A450A" w:rsidRPr="007504E1">
        <w:rPr>
          <w:rFonts w:asciiTheme="minorHAnsi" w:hAnsiTheme="minorHAnsi" w:cstheme="minorHAnsi"/>
          <w:sz w:val="24"/>
          <w:szCs w:val="24"/>
          <w:rtl/>
        </w:rPr>
        <w:t xml:space="preserve">דול השנתי של יתרת החוב 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ש</w:t>
      </w:r>
      <w:r w:rsidR="009A450A" w:rsidRPr="007504E1">
        <w:rPr>
          <w:rFonts w:asciiTheme="minorHAnsi" w:hAnsiTheme="minorHAnsi" w:cstheme="minorHAnsi"/>
          <w:sz w:val="24"/>
          <w:szCs w:val="24"/>
          <w:rtl/>
        </w:rPr>
        <w:t>לא-לדיור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התרחב</w:t>
      </w:r>
      <w:r w:rsidR="009A450A" w:rsidRPr="007504E1">
        <w:rPr>
          <w:rFonts w:asciiTheme="minorHAnsi" w:hAnsiTheme="minorHAnsi" w:cstheme="minorHAnsi"/>
          <w:sz w:val="24"/>
          <w:szCs w:val="24"/>
          <w:rtl/>
        </w:rPr>
        <w:t xml:space="preserve"> לכ-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6</w:t>
      </w:r>
      <w:r w:rsidR="009A450A" w:rsidRPr="007504E1">
        <w:rPr>
          <w:rFonts w:asciiTheme="minorHAnsi" w:hAnsiTheme="minorHAnsi" w:cstheme="minorHAnsi"/>
          <w:sz w:val="24"/>
          <w:szCs w:val="24"/>
          <w:rtl/>
        </w:rPr>
        <w:t>% ל</w:t>
      </w:r>
      <w:r w:rsidR="00D9284F" w:rsidRPr="007504E1">
        <w:rPr>
          <w:rFonts w:asciiTheme="minorHAnsi" w:hAnsiTheme="minorHAnsi" w:cstheme="minorHAnsi"/>
          <w:sz w:val="24"/>
          <w:szCs w:val="24"/>
          <w:rtl/>
        </w:rPr>
        <w:t>אחר שהגיע לשיא שלילי בסוף שנת 2023 על רקע פרוץ המלחמה</w:t>
      </w:r>
      <w:r w:rsidR="00F262B6"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3750FB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262B6" w:rsidRPr="007504E1">
        <w:rPr>
          <w:rFonts w:asciiTheme="minorHAnsi" w:hAnsiTheme="minorHAnsi" w:cstheme="minorHAnsi"/>
          <w:sz w:val="24"/>
          <w:szCs w:val="24"/>
          <w:rtl/>
        </w:rPr>
        <w:t>(איור 5).</w:t>
      </w:r>
    </w:p>
    <w:p w:rsidR="006E43A1" w:rsidRPr="007504E1" w:rsidRDefault="00CC4BC2" w:rsidP="005C1600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ה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 xml:space="preserve">עלייה בחוב לדיור היא תוצאה </w:t>
      </w:r>
      <w:r w:rsidR="004A3DD9" w:rsidRPr="007504E1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4B1C81" w:rsidRPr="007504E1">
        <w:rPr>
          <w:rFonts w:asciiTheme="minorHAnsi" w:hAnsiTheme="minorHAnsi" w:cstheme="minorHAnsi"/>
          <w:sz w:val="24"/>
          <w:szCs w:val="24"/>
          <w:rtl/>
        </w:rPr>
        <w:t>המשך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 xml:space="preserve"> נטילת משכנתאות חדשות מהבנקים</w:t>
      </w:r>
      <w:r w:rsidR="004D54AD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>וה</w:t>
      </w:r>
      <w:r w:rsidR="00061F4B" w:rsidRPr="007504E1">
        <w:rPr>
          <w:rFonts w:asciiTheme="minorHAnsi" w:hAnsiTheme="minorHAnsi" w:cstheme="minorHAnsi"/>
          <w:sz w:val="24"/>
          <w:szCs w:val="24"/>
          <w:rtl/>
        </w:rPr>
        <w:t>ן הסתכמו ב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 xml:space="preserve">רביע </w:t>
      </w:r>
      <w:r w:rsidR="004D54AD" w:rsidRPr="007504E1">
        <w:rPr>
          <w:rFonts w:asciiTheme="minorHAnsi" w:hAnsiTheme="minorHAnsi" w:cstheme="minorHAnsi"/>
          <w:sz w:val="24"/>
          <w:szCs w:val="24"/>
          <w:rtl/>
        </w:rPr>
        <w:t>הרביעי</w:t>
      </w:r>
      <w:r w:rsidR="0053363B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B65129" w:rsidRPr="007504E1">
        <w:rPr>
          <w:rFonts w:asciiTheme="minorHAnsi" w:hAnsiTheme="minorHAnsi" w:cstheme="minorHAnsi"/>
          <w:sz w:val="24"/>
          <w:szCs w:val="24"/>
          <w:rtl/>
        </w:rPr>
        <w:t>, לאחר ניכוי עונתיות</w:t>
      </w:r>
      <w:r w:rsidR="00777D74" w:rsidRPr="007504E1">
        <w:rPr>
          <w:rFonts w:asciiTheme="minorHAnsi" w:hAnsiTheme="minorHAnsi" w:cstheme="minorHAnsi"/>
          <w:sz w:val="24"/>
          <w:szCs w:val="24"/>
          <w:rtl/>
        </w:rPr>
        <w:t>,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בכ-</w:t>
      </w:r>
      <w:r w:rsidR="004D54AD" w:rsidRPr="007504E1">
        <w:rPr>
          <w:rFonts w:asciiTheme="minorHAnsi" w:hAnsiTheme="minorHAnsi" w:cstheme="minorHAnsi"/>
          <w:sz w:val="24"/>
          <w:szCs w:val="24"/>
          <w:rtl/>
        </w:rPr>
        <w:t>26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 xml:space="preserve"> מיליארדי ש"ח, 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 xml:space="preserve">דומה לממוצע הרבעוני של המשכנתאות </w:t>
      </w:r>
      <w:r w:rsidR="00884D8D" w:rsidRPr="007504E1">
        <w:rPr>
          <w:rFonts w:asciiTheme="minorHAnsi" w:hAnsiTheme="minorHAnsi" w:cstheme="minorHAnsi"/>
          <w:sz w:val="24"/>
          <w:szCs w:val="24"/>
          <w:rtl/>
        </w:rPr>
        <w:t xml:space="preserve">החדשות </w:t>
      </w:r>
      <w:r w:rsidR="005C1600" w:rsidRPr="007504E1">
        <w:rPr>
          <w:rFonts w:asciiTheme="minorHAnsi" w:hAnsiTheme="minorHAnsi" w:cstheme="minorHAnsi"/>
          <w:sz w:val="24"/>
          <w:szCs w:val="24"/>
          <w:rtl/>
        </w:rPr>
        <w:t>שניטלו במהלך שנת 2025</w:t>
      </w:r>
      <w:r w:rsidR="003832C2" w:rsidRPr="007504E1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6B0BAE" w:rsidRPr="007504E1" w:rsidRDefault="007C56E5" w:rsidP="003D73DA">
      <w:pPr>
        <w:pStyle w:val="ListParagraph"/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>בחודש</w:t>
      </w:r>
      <w:r w:rsidR="00BA3369" w:rsidRPr="007504E1">
        <w:rPr>
          <w:rFonts w:asciiTheme="minorHAnsi" w:hAnsiTheme="minorHAnsi" w:cstheme="minorHAnsi"/>
          <w:sz w:val="24"/>
          <w:szCs w:val="24"/>
          <w:rtl/>
        </w:rPr>
        <w:t>ים</w:t>
      </w:r>
      <w:r w:rsidR="00354B06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4D54AD" w:rsidRPr="007504E1">
        <w:rPr>
          <w:rFonts w:asciiTheme="minorHAnsi" w:hAnsiTheme="minorHAnsi" w:cstheme="minorHAnsi"/>
          <w:sz w:val="24"/>
          <w:szCs w:val="24"/>
          <w:rtl/>
        </w:rPr>
        <w:t>ינואר-פברואר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D73DA" w:rsidRPr="007504E1">
        <w:rPr>
          <w:rFonts w:asciiTheme="minorHAnsi" w:hAnsiTheme="minorHAnsi" w:cstheme="minorHAnsi"/>
          <w:sz w:val="24"/>
          <w:szCs w:val="24"/>
          <w:rtl/>
        </w:rPr>
        <w:t>2026</w:t>
      </w:r>
      <w:r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65129" w:rsidRPr="007504E1">
        <w:rPr>
          <w:rFonts w:asciiTheme="minorHAnsi" w:hAnsiTheme="minorHAnsi" w:cstheme="minorHAnsi"/>
          <w:sz w:val="24"/>
          <w:szCs w:val="24"/>
          <w:rtl/>
        </w:rPr>
        <w:t xml:space="preserve">נטילת משכנתאות חדשות </w:t>
      </w:r>
      <w:r w:rsidR="00BB49BE" w:rsidRPr="007504E1">
        <w:rPr>
          <w:rFonts w:asciiTheme="minorHAnsi" w:hAnsiTheme="minorHAnsi" w:cstheme="minorHAnsi"/>
          <w:sz w:val="24"/>
          <w:szCs w:val="24"/>
          <w:rtl/>
        </w:rPr>
        <w:t xml:space="preserve">מהבנקים </w:t>
      </w:r>
      <w:r w:rsidR="00E41E96" w:rsidRPr="007504E1">
        <w:rPr>
          <w:rFonts w:asciiTheme="minorHAnsi" w:hAnsiTheme="minorHAnsi" w:cstheme="minorHAnsi"/>
          <w:sz w:val="24"/>
          <w:szCs w:val="24"/>
          <w:rtl/>
        </w:rPr>
        <w:t>הסתכמו</w:t>
      </w:r>
      <w:r w:rsidR="00393F9C" w:rsidRPr="007504E1">
        <w:rPr>
          <w:rFonts w:asciiTheme="minorHAnsi" w:hAnsiTheme="minorHAnsi" w:cstheme="minorHAnsi"/>
          <w:sz w:val="24"/>
          <w:szCs w:val="24"/>
          <w:rtl/>
        </w:rPr>
        <w:t>, לאחר ניכוי עונתיות,</w:t>
      </w:r>
      <w:r w:rsidR="00985640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1E96" w:rsidRPr="007504E1">
        <w:rPr>
          <w:rFonts w:asciiTheme="minorHAnsi" w:hAnsiTheme="minorHAnsi" w:cstheme="minorHAnsi"/>
          <w:sz w:val="24"/>
          <w:szCs w:val="24"/>
          <w:rtl/>
        </w:rPr>
        <w:t>בכ-</w:t>
      </w:r>
      <w:r w:rsidR="004D54AD" w:rsidRPr="007504E1">
        <w:rPr>
          <w:rFonts w:asciiTheme="minorHAnsi" w:hAnsiTheme="minorHAnsi" w:cstheme="minorHAnsi"/>
          <w:sz w:val="24"/>
          <w:szCs w:val="24"/>
          <w:rtl/>
        </w:rPr>
        <w:t>10</w:t>
      </w:r>
      <w:r w:rsidR="00E11DC3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1E96" w:rsidRPr="007504E1">
        <w:rPr>
          <w:rFonts w:asciiTheme="minorHAnsi" w:hAnsiTheme="minorHAnsi" w:cstheme="minorHAnsi"/>
          <w:sz w:val="24"/>
          <w:szCs w:val="24"/>
          <w:rtl/>
        </w:rPr>
        <w:t xml:space="preserve">מיליארדי </w:t>
      </w:r>
      <w:r w:rsidR="00BA3369" w:rsidRPr="007504E1">
        <w:rPr>
          <w:rFonts w:asciiTheme="minorHAnsi" w:hAnsiTheme="minorHAnsi" w:cstheme="minorHAnsi"/>
          <w:sz w:val="24"/>
          <w:szCs w:val="24"/>
          <w:rtl/>
        </w:rPr>
        <w:t>ש"ח בממוצע לחודש</w:t>
      </w:r>
      <w:r w:rsidR="004D6780" w:rsidRPr="007504E1">
        <w:rPr>
          <w:rFonts w:asciiTheme="minorHAnsi" w:hAnsiTheme="minorHAnsi" w:cstheme="minorHAnsi"/>
          <w:sz w:val="24"/>
          <w:szCs w:val="24"/>
          <w:rtl/>
        </w:rPr>
        <w:t>, מעט גבוה מהממוצע החודשי שניטל במהלך שנת 2025 (כ-8.8 מיליארדי ש"ח)</w:t>
      </w:r>
      <w:r w:rsidR="008D2040" w:rsidRPr="007504E1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664600" w:rsidRPr="007504E1">
        <w:rPr>
          <w:rFonts w:asciiTheme="minorHAnsi" w:hAnsiTheme="minorHAnsi" w:cstheme="minorHAnsi"/>
          <w:sz w:val="24"/>
          <w:szCs w:val="24"/>
          <w:rtl/>
        </w:rPr>
        <w:t xml:space="preserve">(איור </w:t>
      </w:r>
      <w:r w:rsidR="00DA4977" w:rsidRPr="007504E1">
        <w:rPr>
          <w:rFonts w:asciiTheme="minorHAnsi" w:hAnsiTheme="minorHAnsi" w:cstheme="minorHAnsi"/>
          <w:sz w:val="24"/>
          <w:szCs w:val="24"/>
          <w:rtl/>
        </w:rPr>
        <w:t>6</w:t>
      </w:r>
      <w:r w:rsidR="00060D8E" w:rsidRPr="007504E1">
        <w:rPr>
          <w:rFonts w:asciiTheme="minorHAnsi" w:hAnsiTheme="minorHAnsi" w:cstheme="minorHAnsi"/>
          <w:sz w:val="24"/>
          <w:szCs w:val="24"/>
          <w:rtl/>
        </w:rPr>
        <w:t>)</w:t>
      </w:r>
      <w:r w:rsidR="00161CB7"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6E43A1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F4A03" w:rsidRPr="007504E1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E149DD" w:rsidRPr="007504E1" w:rsidRDefault="007504E1" w:rsidP="00FF4A03">
      <w:pPr>
        <w:bidi/>
        <w:spacing w:line="360" w:lineRule="auto"/>
        <w:jc w:val="center"/>
        <w:rPr>
          <w:rFonts w:asciiTheme="minorHAnsi" w:hAnsiTheme="minorHAnsi" w:cstheme="minorHAnsi"/>
          <w:sz w:val="24"/>
          <w:szCs w:val="24"/>
          <w:rtl/>
        </w:rPr>
      </w:pPr>
      <w:r w:rsidRPr="007504E1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280035</wp:posOffset>
            </wp:positionV>
            <wp:extent cx="5278120" cy="4636091"/>
            <wp:effectExtent l="0" t="0" r="0" b="0"/>
            <wp:wrapTight wrapText="bothSides">
              <wp:wrapPolygon edited="0">
                <wp:start x="0" y="0"/>
                <wp:lineTo x="0" y="21482"/>
                <wp:lineTo x="21517" y="21482"/>
                <wp:lineTo x="21517" y="0"/>
                <wp:lineTo x="0" y="0"/>
              </wp:wrapPolygon>
            </wp:wrapTight>
            <wp:docPr id="14" name="תמונה 14" descr="לוח 2: יתרות החוב של משקי הבית1 " title="לוח 2: יתרות החוב של משקי הבית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63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E61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לוח </w:t>
      </w:r>
      <w:r w:rsidR="00416818" w:rsidRPr="007504E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C3E61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: יתרות החוב של משקי הבית</w:t>
      </w:r>
      <w:r w:rsidR="00AC3E61" w:rsidRPr="007504E1">
        <w:rPr>
          <w:rFonts w:asciiTheme="minorHAnsi" w:hAnsiTheme="minorHAnsi" w:cstheme="minorHAnsi"/>
          <w:b/>
          <w:bCs/>
          <w:sz w:val="24"/>
          <w:szCs w:val="24"/>
          <w:vertAlign w:val="superscript"/>
          <w:rtl/>
        </w:rPr>
        <w:t>1</w:t>
      </w:r>
      <w:r w:rsidR="009653F5" w:rsidRPr="007504E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6A28" w:rsidRPr="007504E1" w:rsidRDefault="00D46A28" w:rsidP="00DC51E3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D46A28" w:rsidRPr="007504E1" w:rsidRDefault="00D46A28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941A49" w:rsidRPr="007504E1" w:rsidRDefault="00941A49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B78E0" w:rsidRPr="007504E1" w:rsidRDefault="007B78E0" w:rsidP="007B78E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DC243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 w:hint="cs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P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7504E1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504E1" w:rsidRPr="007504E1" w:rsidRDefault="007504E1" w:rsidP="007504E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bookmarkStart w:id="0" w:name="_GoBack"/>
      <w:bookmarkEnd w:id="0"/>
    </w:p>
    <w:p w:rsidR="00D47FBF" w:rsidRPr="007504E1" w:rsidRDefault="00D47FBF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איור </w:t>
      </w:r>
      <w:r w:rsidR="00070391" w:rsidRPr="007504E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C51E3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: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שיעורי השינוי לעומת הרביע המקביל בשנה הקודמת בחוב של משקי הבית לדיור ושלא לדיור</w:t>
      </w:r>
    </w:p>
    <w:p w:rsidR="00F619D6" w:rsidRPr="007504E1" w:rsidRDefault="00F619D6" w:rsidP="00F619D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10811" w:rsidRPr="007504E1" w:rsidRDefault="00AF2C3E" w:rsidP="00B33FA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inline distT="0" distB="0" distL="0" distR="0">
            <wp:extent cx="5278120" cy="2789584"/>
            <wp:effectExtent l="0" t="0" r="0" b="0"/>
            <wp:docPr id="15" name="תמונה 15" descr="איור 5: שיעורי השינוי לעומת הרביע המקביל בשנה הקודמת בחוב של משקי הבית לדיור ושלא לדיור" title="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8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11" w:rsidRPr="007504E1" w:rsidRDefault="00C10811" w:rsidP="00C1081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AF2C3E" w:rsidRPr="007504E1" w:rsidRDefault="00AF2C3E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22F7" w:rsidRPr="007504E1" w:rsidRDefault="00BF4C2E" w:rsidP="00AF2C3E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DA4977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6</w:t>
      </w:r>
      <w:r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280F81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>סכום ההלוואות החדשות לרכישת דירת מגורים שהעמידו הבנקים לציבור</w:t>
      </w:r>
      <w:r w:rsidR="00B33FA0" w:rsidRPr="007504E1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(משכנתאות)</w:t>
      </w:r>
    </w:p>
    <w:p w:rsidR="006A6E96" w:rsidRPr="007504E1" w:rsidRDefault="006A6E96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A6E96" w:rsidRPr="007504E1" w:rsidRDefault="00AF2C3E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504E1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inline distT="0" distB="0" distL="0" distR="0">
            <wp:extent cx="5278120" cy="2775699"/>
            <wp:effectExtent l="0" t="0" r="0" b="5715"/>
            <wp:docPr id="17" name="תמונה 17" descr="איור 6: סכום ההלוואות החדשות לרכישת דירת מגורים שהעמידו הבנקים לציבור (משכנתאות)" title="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66E" w:rsidRPr="007504E1" w:rsidRDefault="0037366E" w:rsidP="0037366E">
      <w:pPr>
        <w:pStyle w:val="ListParagraph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</w:p>
    <w:p w:rsidR="00F97D41" w:rsidRPr="007504E1" w:rsidRDefault="006B0BAE" w:rsidP="0037366E">
      <w:pPr>
        <w:pStyle w:val="ListParagraph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  <w:r w:rsidRPr="007504E1">
        <w:rPr>
          <w:rFonts w:asciiTheme="minorHAnsi" w:hAnsiTheme="minorHAnsi" w:cstheme="minorHAnsi"/>
          <w:sz w:val="24"/>
          <w:szCs w:val="24"/>
          <w:rtl/>
        </w:rPr>
        <w:t xml:space="preserve">ראה קישור למידע נוסף בנושא המופיע באתר הבנק בדף </w:t>
      </w:r>
      <w:hyperlink r:id="rId18" w:anchor="mainContent" w:history="1">
        <w:r w:rsidR="00631445" w:rsidRPr="007504E1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יתרות האשראי במשק</w:t>
        </w:r>
      </w:hyperlink>
      <w:r w:rsidRPr="007504E1">
        <w:rPr>
          <w:rFonts w:asciiTheme="minorHAnsi" w:hAnsiTheme="minorHAnsi" w:cstheme="minorHAnsi"/>
          <w:sz w:val="24"/>
          <w:szCs w:val="24"/>
          <w:rtl/>
        </w:rPr>
        <w:t xml:space="preserve">, קישור </w:t>
      </w:r>
      <w:hyperlink r:id="rId19" w:anchor="mainContent" w:history="1">
        <w:r w:rsidRPr="007504E1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לנתוני משכנתאות</w:t>
        </w:r>
      </w:hyperlink>
      <w:r w:rsidR="00F97D41" w:rsidRPr="007504E1">
        <w:rPr>
          <w:rFonts w:asciiTheme="minorHAnsi" w:hAnsiTheme="minorHAnsi" w:cstheme="minorHAnsi"/>
          <w:sz w:val="24"/>
          <w:szCs w:val="24"/>
          <w:rtl/>
        </w:rPr>
        <w:t xml:space="preserve">, קישור לנתוני </w:t>
      </w:r>
      <w:hyperlink r:id="rId20" w:anchor="mainContent" w:history="1">
        <w:r w:rsidR="00F97D41" w:rsidRPr="007504E1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מחירים בבנקים</w:t>
        </w:r>
      </w:hyperlink>
      <w:r w:rsidR="00F97D41" w:rsidRPr="007504E1">
        <w:rPr>
          <w:rFonts w:asciiTheme="minorHAnsi" w:hAnsiTheme="minorHAnsi" w:cstheme="minorHAnsi"/>
          <w:sz w:val="24"/>
          <w:szCs w:val="24"/>
          <w:rtl/>
        </w:rPr>
        <w:t>.</w:t>
      </w:r>
      <w:r w:rsidR="002559B7" w:rsidRPr="007504E1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sectPr w:rsidR="00F97D41" w:rsidRPr="007504E1" w:rsidSect="007504E1">
      <w:footerReference w:type="default" r:id="rId21"/>
      <w:pgSz w:w="11906" w:h="16838"/>
      <w:pgMar w:top="1440" w:right="1080" w:bottom="1440" w:left="1080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05" w:rsidRDefault="00E74805" w:rsidP="00C04A6B">
      <w:r>
        <w:separator/>
      </w:r>
    </w:p>
  </w:endnote>
  <w:endnote w:type="continuationSeparator" w:id="0">
    <w:p w:rsidR="00E74805" w:rsidRDefault="00E74805" w:rsidP="00C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David" w:hAnsi="David" w:cs="David"/>
        <w:rtl/>
      </w:rPr>
      <w:id w:val="1001085329"/>
      <w:docPartObj>
        <w:docPartGallery w:val="Page Numbers (Bottom of Page)"/>
        <w:docPartUnique/>
      </w:docPartObj>
    </w:sdtPr>
    <w:sdtEndPr>
      <w:rPr>
        <w:sz w:val="24"/>
        <w:szCs w:val="24"/>
        <w:cs/>
      </w:rPr>
    </w:sdtEndPr>
    <w:sdtContent>
      <w:sdt>
        <w:sdtPr>
          <w:rPr>
            <w:rFonts w:ascii="David" w:hAnsi="David" w:cs="David"/>
            <w:sz w:val="24"/>
            <w:szCs w:val="24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438E2" w:rsidRPr="00C84639" w:rsidRDefault="00507193" w:rsidP="001E62DE">
            <w:pPr>
              <w:pStyle w:val="Footer"/>
              <w:tabs>
                <w:tab w:val="clear" w:pos="8306"/>
                <w:tab w:val="right" w:pos="8873"/>
              </w:tabs>
              <w:bidi/>
              <w:ind w:left="-625"/>
              <w:jc w:val="right"/>
              <w:rPr>
                <w:rFonts w:ascii="David" w:hAnsi="David" w:cs="David"/>
                <w:sz w:val="24"/>
                <w:szCs w:val="24"/>
                <w:rtl/>
                <w:cs/>
              </w:rPr>
            </w:pPr>
            <w:r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התפתחות החוב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>של המגזר הפרטי</w:t>
            </w:r>
            <w:r w:rsidR="00B055B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הלא-פיננסי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FC209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ברביע </w:t>
            </w:r>
            <w:r w:rsidR="001E62DE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הרביעי</w:t>
            </w:r>
            <w:r w:rsidR="00DD77B1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של שנת </w:t>
            </w:r>
            <w:r w:rsidR="00EE5F80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2025</w:t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ab/>
              <w:t xml:space="preserve">עמוד 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PAGE</w:instrTex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 w:rsidR="007504E1">
              <w:rPr>
                <w:rFonts w:ascii="David" w:hAnsi="David" w:cs="David"/>
                <w:noProof/>
                <w:sz w:val="24"/>
                <w:szCs w:val="24"/>
                <w:rtl/>
              </w:rPr>
              <w:t>1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מתוך 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NUMPAGES</w:instrTex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 w:rsidR="007504E1">
              <w:rPr>
                <w:rFonts w:ascii="David" w:hAnsi="David" w:cs="David"/>
                <w:noProof/>
                <w:sz w:val="24"/>
                <w:szCs w:val="24"/>
                <w:rtl/>
              </w:rPr>
              <w:t>6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05" w:rsidRDefault="00E74805" w:rsidP="00C04A6B">
      <w:r>
        <w:separator/>
      </w:r>
    </w:p>
  </w:footnote>
  <w:footnote w:type="continuationSeparator" w:id="0">
    <w:p w:rsidR="00E74805" w:rsidRDefault="00E74805" w:rsidP="00C04A6B">
      <w:r>
        <w:continuationSeparator/>
      </w:r>
    </w:p>
  </w:footnote>
  <w:footnote w:id="1">
    <w:p w:rsidR="00DB159C" w:rsidRPr="007504E1" w:rsidRDefault="00DB159C" w:rsidP="00DB159C">
      <w:pPr>
        <w:pStyle w:val="FootnoteText"/>
        <w:bidi/>
        <w:rPr>
          <w:rFonts w:asciiTheme="minorHAnsi" w:hAnsiTheme="minorHAnsi" w:cstheme="minorHAnsi"/>
          <w:sz w:val="18"/>
          <w:szCs w:val="18"/>
          <w:rtl/>
        </w:rPr>
      </w:pPr>
      <w:r w:rsidRPr="007504E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504E1">
        <w:rPr>
          <w:rFonts w:asciiTheme="minorHAnsi" w:hAnsiTheme="minorHAnsi" w:cstheme="minorHAnsi"/>
          <w:sz w:val="18"/>
          <w:szCs w:val="18"/>
        </w:rPr>
        <w:t xml:space="preserve"> </w:t>
      </w:r>
      <w:r w:rsidRPr="007504E1">
        <w:rPr>
          <w:rFonts w:asciiTheme="minorHAnsi" w:hAnsiTheme="minorHAnsi" w:cstheme="minorHAnsi"/>
          <w:sz w:val="18"/>
          <w:szCs w:val="18"/>
          <w:rtl/>
        </w:rPr>
        <w:t xml:space="preserve">נתוני החוב לבנקים מבוססים על נתוני המאזניים החודשיים ולא על נתוני הדוחות הכספיים השנתיים, שכן נכון למועד כתיבת הודעה זו טרם פורסמו לציבור נתוני הדוחות ל-2025.    </w:t>
      </w:r>
    </w:p>
  </w:footnote>
  <w:footnote w:id="2">
    <w:p w:rsidR="00474B96" w:rsidRPr="00C84639" w:rsidRDefault="00474B96" w:rsidP="00474B96">
      <w:pPr>
        <w:pStyle w:val="FootnoteText"/>
        <w:bidi/>
        <w:rPr>
          <w:rFonts w:ascii="David" w:hAnsi="David" w:cs="David"/>
          <w:sz w:val="22"/>
          <w:szCs w:val="22"/>
          <w:rtl/>
        </w:rPr>
      </w:pPr>
      <w:r w:rsidRPr="007504E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504E1">
        <w:rPr>
          <w:rFonts w:asciiTheme="minorHAnsi" w:hAnsiTheme="minorHAnsi" w:cstheme="minorHAnsi"/>
          <w:sz w:val="18"/>
          <w:szCs w:val="18"/>
        </w:rPr>
        <w:t xml:space="preserve"> </w:t>
      </w:r>
      <w:r w:rsidR="00DC263E" w:rsidRPr="007504E1">
        <w:rPr>
          <w:rFonts w:asciiTheme="minorHAnsi" w:hAnsiTheme="minorHAnsi" w:cstheme="minorHAnsi"/>
          <w:sz w:val="18"/>
          <w:szCs w:val="18"/>
          <w:rtl/>
        </w:rPr>
        <w:t xml:space="preserve">חברות עסקיות ישראליות, </w:t>
      </w:r>
      <w:r w:rsidRPr="007504E1">
        <w:rPr>
          <w:rFonts w:asciiTheme="minorHAnsi" w:hAnsiTheme="minorHAnsi" w:cstheme="minorHAnsi"/>
          <w:sz w:val="18"/>
          <w:szCs w:val="18"/>
          <w:rtl/>
        </w:rPr>
        <w:t>ללא בנקים, חברות כרטיסי אשראי וחברות ביטוח.</w:t>
      </w:r>
    </w:p>
  </w:footnote>
  <w:footnote w:id="3">
    <w:p w:rsidR="003E41B2" w:rsidRPr="007504E1" w:rsidRDefault="003E41B2" w:rsidP="003E41B2">
      <w:pPr>
        <w:pStyle w:val="FootnoteText"/>
        <w:bidi/>
        <w:rPr>
          <w:rFonts w:asciiTheme="minorHAnsi" w:hAnsiTheme="minorHAnsi" w:cstheme="minorHAnsi"/>
          <w:sz w:val="18"/>
          <w:szCs w:val="18"/>
          <w:rtl/>
        </w:rPr>
      </w:pPr>
      <w:r w:rsidRPr="007504E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504E1">
        <w:rPr>
          <w:rFonts w:asciiTheme="minorHAnsi" w:hAnsiTheme="minorHAnsi" w:cstheme="minorHAnsi"/>
          <w:sz w:val="18"/>
          <w:szCs w:val="18"/>
          <w:rtl/>
        </w:rPr>
        <w:t xml:space="preserve"> יתרות צמודות מדד מחושבות לפי מדד ידוע בעת עריכת הדוחות הכספיים, על כן שינוי במדד המחירים מתייחס לשינוי בין מדד ידוע לבין המדד בחודש שקדם לו.</w:t>
      </w:r>
    </w:p>
  </w:footnote>
  <w:footnote w:id="4">
    <w:p w:rsidR="00884ED4" w:rsidRPr="00CB7E9A" w:rsidRDefault="00884ED4" w:rsidP="00886C7A">
      <w:pPr>
        <w:pStyle w:val="FootnoteText"/>
        <w:bidi/>
        <w:rPr>
          <w:rFonts w:ascii="David" w:hAnsi="David" w:cs="David"/>
        </w:rPr>
      </w:pPr>
      <w:r w:rsidRPr="007504E1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504E1">
        <w:rPr>
          <w:rFonts w:asciiTheme="minorHAnsi" w:hAnsiTheme="minorHAnsi" w:cstheme="minorHAnsi"/>
          <w:sz w:val="18"/>
          <w:szCs w:val="18"/>
        </w:rPr>
        <w:t xml:space="preserve"> </w:t>
      </w:r>
      <w:r w:rsidR="00886C7A" w:rsidRPr="007504E1">
        <w:rPr>
          <w:rFonts w:asciiTheme="minorHAnsi" w:hAnsiTheme="minorHAnsi" w:cstheme="minorHAnsi"/>
          <w:sz w:val="18"/>
          <w:szCs w:val="18"/>
          <w:rtl/>
        </w:rPr>
        <w:t>השינוי במרווח בין רביע לרביע מחושב כהפרש בין המרווח הממוצע בחודש האחרון של הרביע הנסקר לבין המרווח הממוצע בחודש האחרון של הרביע הקודם.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1A"/>
    <w:multiLevelType w:val="hybridMultilevel"/>
    <w:tmpl w:val="F7C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C5C"/>
    <w:multiLevelType w:val="hybridMultilevel"/>
    <w:tmpl w:val="17CA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2EB"/>
    <w:multiLevelType w:val="hybridMultilevel"/>
    <w:tmpl w:val="646AC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283"/>
    <w:multiLevelType w:val="hybridMultilevel"/>
    <w:tmpl w:val="09067F40"/>
    <w:lvl w:ilvl="0" w:tplc="658C360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2C5A"/>
    <w:multiLevelType w:val="hybridMultilevel"/>
    <w:tmpl w:val="5794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E6066"/>
    <w:multiLevelType w:val="hybridMultilevel"/>
    <w:tmpl w:val="460A4558"/>
    <w:lvl w:ilvl="0" w:tplc="B940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4BD"/>
    <w:multiLevelType w:val="hybridMultilevel"/>
    <w:tmpl w:val="F672F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70643"/>
    <w:multiLevelType w:val="hybridMultilevel"/>
    <w:tmpl w:val="6BD0A064"/>
    <w:lvl w:ilvl="0" w:tplc="F2568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71052"/>
    <w:multiLevelType w:val="hybridMultilevel"/>
    <w:tmpl w:val="9606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AED"/>
    <w:multiLevelType w:val="hybridMultilevel"/>
    <w:tmpl w:val="440A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319A"/>
    <w:multiLevelType w:val="hybridMultilevel"/>
    <w:tmpl w:val="919C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34BC4"/>
    <w:multiLevelType w:val="hybridMultilevel"/>
    <w:tmpl w:val="ADA0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323D"/>
    <w:multiLevelType w:val="hybridMultilevel"/>
    <w:tmpl w:val="F0DA9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5811"/>
    <w:multiLevelType w:val="hybridMultilevel"/>
    <w:tmpl w:val="AB0EC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4234C"/>
    <w:multiLevelType w:val="hybridMultilevel"/>
    <w:tmpl w:val="8506AE9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007A1"/>
    <w:multiLevelType w:val="hybridMultilevel"/>
    <w:tmpl w:val="773A65F2"/>
    <w:lvl w:ilvl="0" w:tplc="AAE6AD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B50"/>
    <w:multiLevelType w:val="hybridMultilevel"/>
    <w:tmpl w:val="424CA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F0BED"/>
    <w:multiLevelType w:val="hybridMultilevel"/>
    <w:tmpl w:val="76F6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033"/>
    <w:rsid w:val="00001B6B"/>
    <w:rsid w:val="0000479D"/>
    <w:rsid w:val="00005682"/>
    <w:rsid w:val="00005C41"/>
    <w:rsid w:val="00006F5F"/>
    <w:rsid w:val="00007BB3"/>
    <w:rsid w:val="00011D14"/>
    <w:rsid w:val="0001318A"/>
    <w:rsid w:val="00015411"/>
    <w:rsid w:val="0001661B"/>
    <w:rsid w:val="00016772"/>
    <w:rsid w:val="00016D86"/>
    <w:rsid w:val="00017279"/>
    <w:rsid w:val="00017E48"/>
    <w:rsid w:val="00020DFD"/>
    <w:rsid w:val="00020F22"/>
    <w:rsid w:val="00022AB8"/>
    <w:rsid w:val="00023A83"/>
    <w:rsid w:val="00024495"/>
    <w:rsid w:val="00025DCF"/>
    <w:rsid w:val="000265B2"/>
    <w:rsid w:val="00026A8C"/>
    <w:rsid w:val="00027743"/>
    <w:rsid w:val="00030B64"/>
    <w:rsid w:val="0003169C"/>
    <w:rsid w:val="00031B67"/>
    <w:rsid w:val="00031B7D"/>
    <w:rsid w:val="0003258B"/>
    <w:rsid w:val="000326C1"/>
    <w:rsid w:val="000331F5"/>
    <w:rsid w:val="00034E1E"/>
    <w:rsid w:val="00037E47"/>
    <w:rsid w:val="00040066"/>
    <w:rsid w:val="0004029A"/>
    <w:rsid w:val="000407A0"/>
    <w:rsid w:val="000418F2"/>
    <w:rsid w:val="00041E30"/>
    <w:rsid w:val="000429E6"/>
    <w:rsid w:val="00042F59"/>
    <w:rsid w:val="0004490E"/>
    <w:rsid w:val="00045455"/>
    <w:rsid w:val="00045838"/>
    <w:rsid w:val="000466AD"/>
    <w:rsid w:val="000471CF"/>
    <w:rsid w:val="0004723C"/>
    <w:rsid w:val="000504F2"/>
    <w:rsid w:val="00051063"/>
    <w:rsid w:val="0005169A"/>
    <w:rsid w:val="00052923"/>
    <w:rsid w:val="0005330D"/>
    <w:rsid w:val="000533F4"/>
    <w:rsid w:val="00053684"/>
    <w:rsid w:val="0005562A"/>
    <w:rsid w:val="0006001F"/>
    <w:rsid w:val="00060B8A"/>
    <w:rsid w:val="00060D8E"/>
    <w:rsid w:val="00061B2A"/>
    <w:rsid w:val="00061F4B"/>
    <w:rsid w:val="0006247F"/>
    <w:rsid w:val="000624C1"/>
    <w:rsid w:val="000630AB"/>
    <w:rsid w:val="0006338F"/>
    <w:rsid w:val="00063601"/>
    <w:rsid w:val="00063E86"/>
    <w:rsid w:val="00064830"/>
    <w:rsid w:val="00065320"/>
    <w:rsid w:val="00065B47"/>
    <w:rsid w:val="00065C62"/>
    <w:rsid w:val="000679E2"/>
    <w:rsid w:val="00070391"/>
    <w:rsid w:val="000713E4"/>
    <w:rsid w:val="00075FC4"/>
    <w:rsid w:val="00076FD8"/>
    <w:rsid w:val="0007712F"/>
    <w:rsid w:val="00077991"/>
    <w:rsid w:val="000812AB"/>
    <w:rsid w:val="00081313"/>
    <w:rsid w:val="000822C2"/>
    <w:rsid w:val="00083913"/>
    <w:rsid w:val="00083DA6"/>
    <w:rsid w:val="00084689"/>
    <w:rsid w:val="00084BA4"/>
    <w:rsid w:val="00085BE0"/>
    <w:rsid w:val="000868CC"/>
    <w:rsid w:val="000874C1"/>
    <w:rsid w:val="000911D7"/>
    <w:rsid w:val="000915A6"/>
    <w:rsid w:val="0009315D"/>
    <w:rsid w:val="00094215"/>
    <w:rsid w:val="000944F3"/>
    <w:rsid w:val="00097E8B"/>
    <w:rsid w:val="000A0E51"/>
    <w:rsid w:val="000A4B97"/>
    <w:rsid w:val="000A4C37"/>
    <w:rsid w:val="000A588A"/>
    <w:rsid w:val="000B083E"/>
    <w:rsid w:val="000B190F"/>
    <w:rsid w:val="000B1CB8"/>
    <w:rsid w:val="000B2841"/>
    <w:rsid w:val="000B2F20"/>
    <w:rsid w:val="000B43AC"/>
    <w:rsid w:val="000B64F2"/>
    <w:rsid w:val="000B6B82"/>
    <w:rsid w:val="000B7AE3"/>
    <w:rsid w:val="000B7D5E"/>
    <w:rsid w:val="000C02AD"/>
    <w:rsid w:val="000C1956"/>
    <w:rsid w:val="000C1DB1"/>
    <w:rsid w:val="000C22E5"/>
    <w:rsid w:val="000C3065"/>
    <w:rsid w:val="000C62F4"/>
    <w:rsid w:val="000C69FA"/>
    <w:rsid w:val="000D04D7"/>
    <w:rsid w:val="000D2923"/>
    <w:rsid w:val="000D4F03"/>
    <w:rsid w:val="000D62CC"/>
    <w:rsid w:val="000D756E"/>
    <w:rsid w:val="000E08AC"/>
    <w:rsid w:val="000E2E0B"/>
    <w:rsid w:val="000E3992"/>
    <w:rsid w:val="000E3B3B"/>
    <w:rsid w:val="000E3F1A"/>
    <w:rsid w:val="000E45F2"/>
    <w:rsid w:val="000E488B"/>
    <w:rsid w:val="000E51E0"/>
    <w:rsid w:val="000E59A0"/>
    <w:rsid w:val="000E5A37"/>
    <w:rsid w:val="000E6A23"/>
    <w:rsid w:val="000E70B9"/>
    <w:rsid w:val="000F0D97"/>
    <w:rsid w:val="000F225A"/>
    <w:rsid w:val="000F3080"/>
    <w:rsid w:val="000F33EA"/>
    <w:rsid w:val="000F3559"/>
    <w:rsid w:val="000F3A6E"/>
    <w:rsid w:val="000F5653"/>
    <w:rsid w:val="000F5E2D"/>
    <w:rsid w:val="000F7E97"/>
    <w:rsid w:val="000F7FFC"/>
    <w:rsid w:val="00100FBE"/>
    <w:rsid w:val="0010106E"/>
    <w:rsid w:val="00102BB4"/>
    <w:rsid w:val="0010421D"/>
    <w:rsid w:val="00105A31"/>
    <w:rsid w:val="00105B59"/>
    <w:rsid w:val="0010631C"/>
    <w:rsid w:val="0010731B"/>
    <w:rsid w:val="00107D10"/>
    <w:rsid w:val="00113078"/>
    <w:rsid w:val="00113992"/>
    <w:rsid w:val="00115A6D"/>
    <w:rsid w:val="00115A82"/>
    <w:rsid w:val="00115F7A"/>
    <w:rsid w:val="001165EA"/>
    <w:rsid w:val="0011712D"/>
    <w:rsid w:val="001175ED"/>
    <w:rsid w:val="001178ED"/>
    <w:rsid w:val="00117C7B"/>
    <w:rsid w:val="00120538"/>
    <w:rsid w:val="00121197"/>
    <w:rsid w:val="0012175B"/>
    <w:rsid w:val="00121FF7"/>
    <w:rsid w:val="00125E7E"/>
    <w:rsid w:val="00126928"/>
    <w:rsid w:val="00127335"/>
    <w:rsid w:val="00127A67"/>
    <w:rsid w:val="00127CE7"/>
    <w:rsid w:val="00130EF4"/>
    <w:rsid w:val="0013147B"/>
    <w:rsid w:val="001316A1"/>
    <w:rsid w:val="001329B0"/>
    <w:rsid w:val="00132A42"/>
    <w:rsid w:val="00137006"/>
    <w:rsid w:val="001371A8"/>
    <w:rsid w:val="0013752D"/>
    <w:rsid w:val="001400D2"/>
    <w:rsid w:val="00141C7B"/>
    <w:rsid w:val="001428C6"/>
    <w:rsid w:val="001431B5"/>
    <w:rsid w:val="00143BC9"/>
    <w:rsid w:val="00144AA6"/>
    <w:rsid w:val="00146218"/>
    <w:rsid w:val="00146694"/>
    <w:rsid w:val="001503F7"/>
    <w:rsid w:val="001510D4"/>
    <w:rsid w:val="001536E3"/>
    <w:rsid w:val="0015398D"/>
    <w:rsid w:val="00153AFA"/>
    <w:rsid w:val="00153E55"/>
    <w:rsid w:val="001543AD"/>
    <w:rsid w:val="00154A18"/>
    <w:rsid w:val="0015588B"/>
    <w:rsid w:val="00155BCE"/>
    <w:rsid w:val="00160D95"/>
    <w:rsid w:val="00161586"/>
    <w:rsid w:val="00161CB7"/>
    <w:rsid w:val="0016265F"/>
    <w:rsid w:val="00162787"/>
    <w:rsid w:val="00164C8D"/>
    <w:rsid w:val="00166C6B"/>
    <w:rsid w:val="001674DB"/>
    <w:rsid w:val="00167810"/>
    <w:rsid w:val="0017002C"/>
    <w:rsid w:val="00171BC9"/>
    <w:rsid w:val="00172781"/>
    <w:rsid w:val="00177656"/>
    <w:rsid w:val="00177686"/>
    <w:rsid w:val="00180E8A"/>
    <w:rsid w:val="00182968"/>
    <w:rsid w:val="00183DEE"/>
    <w:rsid w:val="0018611E"/>
    <w:rsid w:val="00186495"/>
    <w:rsid w:val="0018670E"/>
    <w:rsid w:val="0019015A"/>
    <w:rsid w:val="001909E1"/>
    <w:rsid w:val="001919A9"/>
    <w:rsid w:val="00193A25"/>
    <w:rsid w:val="001943E3"/>
    <w:rsid w:val="00194480"/>
    <w:rsid w:val="001945CE"/>
    <w:rsid w:val="00195BBF"/>
    <w:rsid w:val="0019703C"/>
    <w:rsid w:val="001A70F1"/>
    <w:rsid w:val="001B15F7"/>
    <w:rsid w:val="001B3789"/>
    <w:rsid w:val="001B3C3C"/>
    <w:rsid w:val="001B449D"/>
    <w:rsid w:val="001B5224"/>
    <w:rsid w:val="001B66C5"/>
    <w:rsid w:val="001B7F02"/>
    <w:rsid w:val="001C147B"/>
    <w:rsid w:val="001C3A62"/>
    <w:rsid w:val="001C5132"/>
    <w:rsid w:val="001C5C40"/>
    <w:rsid w:val="001C6A2A"/>
    <w:rsid w:val="001D0A90"/>
    <w:rsid w:val="001D0BF2"/>
    <w:rsid w:val="001D0E31"/>
    <w:rsid w:val="001D1CBB"/>
    <w:rsid w:val="001D1D97"/>
    <w:rsid w:val="001D364B"/>
    <w:rsid w:val="001D3779"/>
    <w:rsid w:val="001D4219"/>
    <w:rsid w:val="001D5779"/>
    <w:rsid w:val="001D5AF0"/>
    <w:rsid w:val="001D7646"/>
    <w:rsid w:val="001D7A17"/>
    <w:rsid w:val="001E08AF"/>
    <w:rsid w:val="001E34BA"/>
    <w:rsid w:val="001E59C7"/>
    <w:rsid w:val="001E5A00"/>
    <w:rsid w:val="001E619A"/>
    <w:rsid w:val="001E62DE"/>
    <w:rsid w:val="001E6A4B"/>
    <w:rsid w:val="001E7722"/>
    <w:rsid w:val="001E78A9"/>
    <w:rsid w:val="001E7B40"/>
    <w:rsid w:val="001E7FA8"/>
    <w:rsid w:val="001F0454"/>
    <w:rsid w:val="001F0A9C"/>
    <w:rsid w:val="001F0C50"/>
    <w:rsid w:val="001F1E1B"/>
    <w:rsid w:val="001F337A"/>
    <w:rsid w:val="001F436F"/>
    <w:rsid w:val="001F4B92"/>
    <w:rsid w:val="001F50C9"/>
    <w:rsid w:val="001F529C"/>
    <w:rsid w:val="00200A24"/>
    <w:rsid w:val="00201C46"/>
    <w:rsid w:val="002022F7"/>
    <w:rsid w:val="0020302A"/>
    <w:rsid w:val="002034FF"/>
    <w:rsid w:val="0020745C"/>
    <w:rsid w:val="00207836"/>
    <w:rsid w:val="002078CD"/>
    <w:rsid w:val="00207EF6"/>
    <w:rsid w:val="00210333"/>
    <w:rsid w:val="00210E2D"/>
    <w:rsid w:val="0021293F"/>
    <w:rsid w:val="00214D6B"/>
    <w:rsid w:val="00215BB4"/>
    <w:rsid w:val="00215C28"/>
    <w:rsid w:val="00215E7F"/>
    <w:rsid w:val="00215EFF"/>
    <w:rsid w:val="0022046E"/>
    <w:rsid w:val="00221420"/>
    <w:rsid w:val="00222DD1"/>
    <w:rsid w:val="002232D2"/>
    <w:rsid w:val="002237E5"/>
    <w:rsid w:val="0022486C"/>
    <w:rsid w:val="00224C3D"/>
    <w:rsid w:val="00224F08"/>
    <w:rsid w:val="00225651"/>
    <w:rsid w:val="00225A4F"/>
    <w:rsid w:val="00226D37"/>
    <w:rsid w:val="00227BB9"/>
    <w:rsid w:val="0023142A"/>
    <w:rsid w:val="002318C9"/>
    <w:rsid w:val="002319C1"/>
    <w:rsid w:val="00236E39"/>
    <w:rsid w:val="00237314"/>
    <w:rsid w:val="00242FFE"/>
    <w:rsid w:val="002430F6"/>
    <w:rsid w:val="002438E2"/>
    <w:rsid w:val="00244ABC"/>
    <w:rsid w:val="00244CD6"/>
    <w:rsid w:val="00246382"/>
    <w:rsid w:val="00246DFF"/>
    <w:rsid w:val="00250CB1"/>
    <w:rsid w:val="00251288"/>
    <w:rsid w:val="0025170C"/>
    <w:rsid w:val="00252CD1"/>
    <w:rsid w:val="00254010"/>
    <w:rsid w:val="0025408D"/>
    <w:rsid w:val="002559B7"/>
    <w:rsid w:val="00255A4E"/>
    <w:rsid w:val="00260F11"/>
    <w:rsid w:val="002618F7"/>
    <w:rsid w:val="00262BEB"/>
    <w:rsid w:val="00263083"/>
    <w:rsid w:val="00264230"/>
    <w:rsid w:val="00265361"/>
    <w:rsid w:val="00266159"/>
    <w:rsid w:val="00266D4C"/>
    <w:rsid w:val="00266DC3"/>
    <w:rsid w:val="00270769"/>
    <w:rsid w:val="0027192B"/>
    <w:rsid w:val="00272075"/>
    <w:rsid w:val="002725AB"/>
    <w:rsid w:val="00274A6A"/>
    <w:rsid w:val="002777F9"/>
    <w:rsid w:val="00280F81"/>
    <w:rsid w:val="00281247"/>
    <w:rsid w:val="0028327B"/>
    <w:rsid w:val="00283EC9"/>
    <w:rsid w:val="00284B68"/>
    <w:rsid w:val="002868D9"/>
    <w:rsid w:val="00286AB2"/>
    <w:rsid w:val="00287BE1"/>
    <w:rsid w:val="00287E45"/>
    <w:rsid w:val="00292BAD"/>
    <w:rsid w:val="00295751"/>
    <w:rsid w:val="00296249"/>
    <w:rsid w:val="00296A2E"/>
    <w:rsid w:val="002972B4"/>
    <w:rsid w:val="0029790E"/>
    <w:rsid w:val="00297AC5"/>
    <w:rsid w:val="002A0469"/>
    <w:rsid w:val="002A2482"/>
    <w:rsid w:val="002A2B75"/>
    <w:rsid w:val="002A2F67"/>
    <w:rsid w:val="002A3BD5"/>
    <w:rsid w:val="002A3CD7"/>
    <w:rsid w:val="002A51F1"/>
    <w:rsid w:val="002A5C23"/>
    <w:rsid w:val="002A60C4"/>
    <w:rsid w:val="002A6176"/>
    <w:rsid w:val="002A680F"/>
    <w:rsid w:val="002A68CF"/>
    <w:rsid w:val="002A7C01"/>
    <w:rsid w:val="002B0D33"/>
    <w:rsid w:val="002B0F7F"/>
    <w:rsid w:val="002B18C6"/>
    <w:rsid w:val="002B2916"/>
    <w:rsid w:val="002B39A4"/>
    <w:rsid w:val="002B3FB0"/>
    <w:rsid w:val="002B447B"/>
    <w:rsid w:val="002B4634"/>
    <w:rsid w:val="002B46BA"/>
    <w:rsid w:val="002B51C5"/>
    <w:rsid w:val="002B70A4"/>
    <w:rsid w:val="002B74E5"/>
    <w:rsid w:val="002C0AE6"/>
    <w:rsid w:val="002C2286"/>
    <w:rsid w:val="002C29DA"/>
    <w:rsid w:val="002C3A77"/>
    <w:rsid w:val="002C515A"/>
    <w:rsid w:val="002C7213"/>
    <w:rsid w:val="002C73B0"/>
    <w:rsid w:val="002C756B"/>
    <w:rsid w:val="002D0A59"/>
    <w:rsid w:val="002D0BB5"/>
    <w:rsid w:val="002D0FD7"/>
    <w:rsid w:val="002D1779"/>
    <w:rsid w:val="002D229D"/>
    <w:rsid w:val="002D3C1F"/>
    <w:rsid w:val="002D55C7"/>
    <w:rsid w:val="002D5D55"/>
    <w:rsid w:val="002D690B"/>
    <w:rsid w:val="002E016D"/>
    <w:rsid w:val="002E1283"/>
    <w:rsid w:val="002E1811"/>
    <w:rsid w:val="002E18A1"/>
    <w:rsid w:val="002E20F7"/>
    <w:rsid w:val="002E2CC4"/>
    <w:rsid w:val="002E322B"/>
    <w:rsid w:val="002E4976"/>
    <w:rsid w:val="002E5ADF"/>
    <w:rsid w:val="002E5AEA"/>
    <w:rsid w:val="002E6CC3"/>
    <w:rsid w:val="002E7A87"/>
    <w:rsid w:val="002F0816"/>
    <w:rsid w:val="002F2629"/>
    <w:rsid w:val="002F2BC6"/>
    <w:rsid w:val="002F6C4C"/>
    <w:rsid w:val="00300E82"/>
    <w:rsid w:val="003018A7"/>
    <w:rsid w:val="00301E7A"/>
    <w:rsid w:val="00302425"/>
    <w:rsid w:val="003030A9"/>
    <w:rsid w:val="00303DA6"/>
    <w:rsid w:val="003054F9"/>
    <w:rsid w:val="003055E7"/>
    <w:rsid w:val="00310281"/>
    <w:rsid w:val="003138AF"/>
    <w:rsid w:val="00313A42"/>
    <w:rsid w:val="00315DCB"/>
    <w:rsid w:val="00317948"/>
    <w:rsid w:val="00320FD1"/>
    <w:rsid w:val="0032217A"/>
    <w:rsid w:val="00322FC0"/>
    <w:rsid w:val="00323164"/>
    <w:rsid w:val="003240D3"/>
    <w:rsid w:val="00324EF2"/>
    <w:rsid w:val="0032510F"/>
    <w:rsid w:val="0033214F"/>
    <w:rsid w:val="0033261D"/>
    <w:rsid w:val="00332C1F"/>
    <w:rsid w:val="00332EBC"/>
    <w:rsid w:val="00333F8E"/>
    <w:rsid w:val="0033491E"/>
    <w:rsid w:val="00335B61"/>
    <w:rsid w:val="00340B38"/>
    <w:rsid w:val="0034285A"/>
    <w:rsid w:val="00342DC4"/>
    <w:rsid w:val="003439F5"/>
    <w:rsid w:val="00344B00"/>
    <w:rsid w:val="00347905"/>
    <w:rsid w:val="0035070F"/>
    <w:rsid w:val="003509EF"/>
    <w:rsid w:val="00351EF0"/>
    <w:rsid w:val="00352779"/>
    <w:rsid w:val="0035292B"/>
    <w:rsid w:val="00352E42"/>
    <w:rsid w:val="003537B9"/>
    <w:rsid w:val="00354B06"/>
    <w:rsid w:val="00357468"/>
    <w:rsid w:val="003576B2"/>
    <w:rsid w:val="00357818"/>
    <w:rsid w:val="00362735"/>
    <w:rsid w:val="00363D6A"/>
    <w:rsid w:val="003641D5"/>
    <w:rsid w:val="003643DB"/>
    <w:rsid w:val="003645A9"/>
    <w:rsid w:val="00364AB7"/>
    <w:rsid w:val="003657E7"/>
    <w:rsid w:val="00365E04"/>
    <w:rsid w:val="00366DB6"/>
    <w:rsid w:val="003700E8"/>
    <w:rsid w:val="00370901"/>
    <w:rsid w:val="00370E38"/>
    <w:rsid w:val="0037120D"/>
    <w:rsid w:val="003713E8"/>
    <w:rsid w:val="0037366E"/>
    <w:rsid w:val="00374BF3"/>
    <w:rsid w:val="003750FB"/>
    <w:rsid w:val="0037614E"/>
    <w:rsid w:val="003766F9"/>
    <w:rsid w:val="00377C33"/>
    <w:rsid w:val="00377EEF"/>
    <w:rsid w:val="003832C2"/>
    <w:rsid w:val="0038353E"/>
    <w:rsid w:val="0038394F"/>
    <w:rsid w:val="00383F02"/>
    <w:rsid w:val="00385301"/>
    <w:rsid w:val="00385D3E"/>
    <w:rsid w:val="003901E0"/>
    <w:rsid w:val="00390EEB"/>
    <w:rsid w:val="00391D6C"/>
    <w:rsid w:val="003928D7"/>
    <w:rsid w:val="003938AB"/>
    <w:rsid w:val="00393DF4"/>
    <w:rsid w:val="00393F9C"/>
    <w:rsid w:val="00395757"/>
    <w:rsid w:val="00395B72"/>
    <w:rsid w:val="00395C51"/>
    <w:rsid w:val="00395C57"/>
    <w:rsid w:val="00396328"/>
    <w:rsid w:val="003A0061"/>
    <w:rsid w:val="003A033D"/>
    <w:rsid w:val="003A0AEC"/>
    <w:rsid w:val="003A0C66"/>
    <w:rsid w:val="003A0F9B"/>
    <w:rsid w:val="003A242C"/>
    <w:rsid w:val="003A2FA2"/>
    <w:rsid w:val="003A2FA9"/>
    <w:rsid w:val="003A315C"/>
    <w:rsid w:val="003A43C0"/>
    <w:rsid w:val="003A48D2"/>
    <w:rsid w:val="003A490D"/>
    <w:rsid w:val="003A4966"/>
    <w:rsid w:val="003A5570"/>
    <w:rsid w:val="003A5BCB"/>
    <w:rsid w:val="003A704C"/>
    <w:rsid w:val="003A7384"/>
    <w:rsid w:val="003B0ADC"/>
    <w:rsid w:val="003B140B"/>
    <w:rsid w:val="003B17BC"/>
    <w:rsid w:val="003B2A0D"/>
    <w:rsid w:val="003B3050"/>
    <w:rsid w:val="003B360C"/>
    <w:rsid w:val="003B388A"/>
    <w:rsid w:val="003B4CCA"/>
    <w:rsid w:val="003B5138"/>
    <w:rsid w:val="003B61BA"/>
    <w:rsid w:val="003B663C"/>
    <w:rsid w:val="003B6ADF"/>
    <w:rsid w:val="003B6BAE"/>
    <w:rsid w:val="003B7A1D"/>
    <w:rsid w:val="003C51A6"/>
    <w:rsid w:val="003C5761"/>
    <w:rsid w:val="003C751F"/>
    <w:rsid w:val="003D044E"/>
    <w:rsid w:val="003D04A2"/>
    <w:rsid w:val="003D06D2"/>
    <w:rsid w:val="003D075F"/>
    <w:rsid w:val="003D4661"/>
    <w:rsid w:val="003D4E97"/>
    <w:rsid w:val="003D54D0"/>
    <w:rsid w:val="003D73DA"/>
    <w:rsid w:val="003E05CD"/>
    <w:rsid w:val="003E0B37"/>
    <w:rsid w:val="003E0E1D"/>
    <w:rsid w:val="003E0F88"/>
    <w:rsid w:val="003E2965"/>
    <w:rsid w:val="003E3AEF"/>
    <w:rsid w:val="003E3E81"/>
    <w:rsid w:val="003E4002"/>
    <w:rsid w:val="003E41B2"/>
    <w:rsid w:val="003E4B4B"/>
    <w:rsid w:val="003E57B2"/>
    <w:rsid w:val="003E68CF"/>
    <w:rsid w:val="003F12AD"/>
    <w:rsid w:val="003F1530"/>
    <w:rsid w:val="003F1CD9"/>
    <w:rsid w:val="003F1F03"/>
    <w:rsid w:val="003F240A"/>
    <w:rsid w:val="003F39B8"/>
    <w:rsid w:val="003F4002"/>
    <w:rsid w:val="003F454D"/>
    <w:rsid w:val="003F728C"/>
    <w:rsid w:val="00400630"/>
    <w:rsid w:val="004024AB"/>
    <w:rsid w:val="00402A67"/>
    <w:rsid w:val="00406618"/>
    <w:rsid w:val="00406F28"/>
    <w:rsid w:val="00410DE0"/>
    <w:rsid w:val="00411383"/>
    <w:rsid w:val="0041358A"/>
    <w:rsid w:val="00413BBD"/>
    <w:rsid w:val="00413FED"/>
    <w:rsid w:val="004146D6"/>
    <w:rsid w:val="00416818"/>
    <w:rsid w:val="004169F7"/>
    <w:rsid w:val="004175C9"/>
    <w:rsid w:val="00417C8B"/>
    <w:rsid w:val="00417CF1"/>
    <w:rsid w:val="00420F93"/>
    <w:rsid w:val="00421914"/>
    <w:rsid w:val="00422392"/>
    <w:rsid w:val="00424BF3"/>
    <w:rsid w:val="00426001"/>
    <w:rsid w:val="004268D2"/>
    <w:rsid w:val="00426A9C"/>
    <w:rsid w:val="004276E7"/>
    <w:rsid w:val="00430287"/>
    <w:rsid w:val="00430C72"/>
    <w:rsid w:val="0043226F"/>
    <w:rsid w:val="0043439D"/>
    <w:rsid w:val="00434DF5"/>
    <w:rsid w:val="00436AEC"/>
    <w:rsid w:val="00440110"/>
    <w:rsid w:val="00440BC4"/>
    <w:rsid w:val="004432CB"/>
    <w:rsid w:val="00443C50"/>
    <w:rsid w:val="004442FD"/>
    <w:rsid w:val="00444F7C"/>
    <w:rsid w:val="0044713E"/>
    <w:rsid w:val="004474C7"/>
    <w:rsid w:val="004477BC"/>
    <w:rsid w:val="0045197C"/>
    <w:rsid w:val="00453DD1"/>
    <w:rsid w:val="0045413E"/>
    <w:rsid w:val="00454BFC"/>
    <w:rsid w:val="00455D55"/>
    <w:rsid w:val="00457394"/>
    <w:rsid w:val="004574EB"/>
    <w:rsid w:val="004606C0"/>
    <w:rsid w:val="00460712"/>
    <w:rsid w:val="004625EB"/>
    <w:rsid w:val="0046346A"/>
    <w:rsid w:val="0046354A"/>
    <w:rsid w:val="00463AE6"/>
    <w:rsid w:val="004644F9"/>
    <w:rsid w:val="00464A9A"/>
    <w:rsid w:val="0046615B"/>
    <w:rsid w:val="00466F96"/>
    <w:rsid w:val="00470630"/>
    <w:rsid w:val="00470996"/>
    <w:rsid w:val="004717A3"/>
    <w:rsid w:val="00472EDE"/>
    <w:rsid w:val="00474B96"/>
    <w:rsid w:val="00475350"/>
    <w:rsid w:val="004800EA"/>
    <w:rsid w:val="004806BA"/>
    <w:rsid w:val="00480FFC"/>
    <w:rsid w:val="00482D0E"/>
    <w:rsid w:val="00482D72"/>
    <w:rsid w:val="00484208"/>
    <w:rsid w:val="00485E7B"/>
    <w:rsid w:val="00485FEA"/>
    <w:rsid w:val="00491392"/>
    <w:rsid w:val="00492D70"/>
    <w:rsid w:val="00493882"/>
    <w:rsid w:val="00497BD0"/>
    <w:rsid w:val="004A3DD9"/>
    <w:rsid w:val="004A41A6"/>
    <w:rsid w:val="004A43AA"/>
    <w:rsid w:val="004A4D65"/>
    <w:rsid w:val="004A4D9B"/>
    <w:rsid w:val="004A56B9"/>
    <w:rsid w:val="004A5B22"/>
    <w:rsid w:val="004A6D8C"/>
    <w:rsid w:val="004B051B"/>
    <w:rsid w:val="004B0707"/>
    <w:rsid w:val="004B1382"/>
    <w:rsid w:val="004B1C81"/>
    <w:rsid w:val="004B22E7"/>
    <w:rsid w:val="004B254E"/>
    <w:rsid w:val="004B3ECC"/>
    <w:rsid w:val="004B4238"/>
    <w:rsid w:val="004B58B8"/>
    <w:rsid w:val="004B5D8D"/>
    <w:rsid w:val="004B6112"/>
    <w:rsid w:val="004B6281"/>
    <w:rsid w:val="004B6405"/>
    <w:rsid w:val="004C1DAB"/>
    <w:rsid w:val="004C3D74"/>
    <w:rsid w:val="004C43DC"/>
    <w:rsid w:val="004C6E95"/>
    <w:rsid w:val="004C705A"/>
    <w:rsid w:val="004C7FE3"/>
    <w:rsid w:val="004D0866"/>
    <w:rsid w:val="004D216C"/>
    <w:rsid w:val="004D221E"/>
    <w:rsid w:val="004D285B"/>
    <w:rsid w:val="004D33E7"/>
    <w:rsid w:val="004D54AD"/>
    <w:rsid w:val="004D5F4D"/>
    <w:rsid w:val="004D63EE"/>
    <w:rsid w:val="004D6780"/>
    <w:rsid w:val="004D746B"/>
    <w:rsid w:val="004D763E"/>
    <w:rsid w:val="004D79EB"/>
    <w:rsid w:val="004E2566"/>
    <w:rsid w:val="004E269E"/>
    <w:rsid w:val="004E4089"/>
    <w:rsid w:val="004E4405"/>
    <w:rsid w:val="004E5ED7"/>
    <w:rsid w:val="004E6C07"/>
    <w:rsid w:val="004E6D24"/>
    <w:rsid w:val="004F06E0"/>
    <w:rsid w:val="004F0F40"/>
    <w:rsid w:val="004F11E4"/>
    <w:rsid w:val="004F16EA"/>
    <w:rsid w:val="004F185A"/>
    <w:rsid w:val="004F1EB9"/>
    <w:rsid w:val="004F3279"/>
    <w:rsid w:val="004F3600"/>
    <w:rsid w:val="004F426F"/>
    <w:rsid w:val="004F4C1F"/>
    <w:rsid w:val="004F4E43"/>
    <w:rsid w:val="004F5FC1"/>
    <w:rsid w:val="004F75E3"/>
    <w:rsid w:val="0050090B"/>
    <w:rsid w:val="00502068"/>
    <w:rsid w:val="00502294"/>
    <w:rsid w:val="00502669"/>
    <w:rsid w:val="00502859"/>
    <w:rsid w:val="00503C23"/>
    <w:rsid w:val="00503CF8"/>
    <w:rsid w:val="005042A9"/>
    <w:rsid w:val="0050443A"/>
    <w:rsid w:val="005059C7"/>
    <w:rsid w:val="00507193"/>
    <w:rsid w:val="00507235"/>
    <w:rsid w:val="00510ABA"/>
    <w:rsid w:val="005119D1"/>
    <w:rsid w:val="00512F84"/>
    <w:rsid w:val="00513779"/>
    <w:rsid w:val="00513C0C"/>
    <w:rsid w:val="00513E5C"/>
    <w:rsid w:val="00515960"/>
    <w:rsid w:val="00516A2C"/>
    <w:rsid w:val="00520122"/>
    <w:rsid w:val="0052077E"/>
    <w:rsid w:val="00521DE3"/>
    <w:rsid w:val="00522BB0"/>
    <w:rsid w:val="00525983"/>
    <w:rsid w:val="00525A49"/>
    <w:rsid w:val="00525B9D"/>
    <w:rsid w:val="00526641"/>
    <w:rsid w:val="00527D1B"/>
    <w:rsid w:val="005322EF"/>
    <w:rsid w:val="005324CF"/>
    <w:rsid w:val="00532713"/>
    <w:rsid w:val="005328F1"/>
    <w:rsid w:val="0053363B"/>
    <w:rsid w:val="005345AB"/>
    <w:rsid w:val="00534C99"/>
    <w:rsid w:val="00535C3C"/>
    <w:rsid w:val="005361DC"/>
    <w:rsid w:val="00541627"/>
    <w:rsid w:val="00541D22"/>
    <w:rsid w:val="0054311D"/>
    <w:rsid w:val="0054512E"/>
    <w:rsid w:val="00545D8A"/>
    <w:rsid w:val="00545DE0"/>
    <w:rsid w:val="00545F0B"/>
    <w:rsid w:val="00546295"/>
    <w:rsid w:val="005528A7"/>
    <w:rsid w:val="00555BDD"/>
    <w:rsid w:val="0056103E"/>
    <w:rsid w:val="00561E57"/>
    <w:rsid w:val="0056258A"/>
    <w:rsid w:val="005625B9"/>
    <w:rsid w:val="00562BC2"/>
    <w:rsid w:val="005631AE"/>
    <w:rsid w:val="00571E37"/>
    <w:rsid w:val="00572730"/>
    <w:rsid w:val="00572B04"/>
    <w:rsid w:val="00573545"/>
    <w:rsid w:val="00574044"/>
    <w:rsid w:val="00577146"/>
    <w:rsid w:val="0058065E"/>
    <w:rsid w:val="005811DA"/>
    <w:rsid w:val="005816B4"/>
    <w:rsid w:val="0058184B"/>
    <w:rsid w:val="00584275"/>
    <w:rsid w:val="0058468A"/>
    <w:rsid w:val="00585612"/>
    <w:rsid w:val="005861E2"/>
    <w:rsid w:val="00586F2A"/>
    <w:rsid w:val="0059006A"/>
    <w:rsid w:val="005913CE"/>
    <w:rsid w:val="00591B6A"/>
    <w:rsid w:val="005921D5"/>
    <w:rsid w:val="005927B2"/>
    <w:rsid w:val="005951B2"/>
    <w:rsid w:val="005958D0"/>
    <w:rsid w:val="00596389"/>
    <w:rsid w:val="00596C55"/>
    <w:rsid w:val="00596E1D"/>
    <w:rsid w:val="005972B0"/>
    <w:rsid w:val="005A199D"/>
    <w:rsid w:val="005A3573"/>
    <w:rsid w:val="005A4B9C"/>
    <w:rsid w:val="005A57B0"/>
    <w:rsid w:val="005A5B31"/>
    <w:rsid w:val="005A6311"/>
    <w:rsid w:val="005A6536"/>
    <w:rsid w:val="005A7029"/>
    <w:rsid w:val="005B077D"/>
    <w:rsid w:val="005B2057"/>
    <w:rsid w:val="005B24B3"/>
    <w:rsid w:val="005B3C69"/>
    <w:rsid w:val="005B77A0"/>
    <w:rsid w:val="005C110F"/>
    <w:rsid w:val="005C1140"/>
    <w:rsid w:val="005C1600"/>
    <w:rsid w:val="005C246C"/>
    <w:rsid w:val="005C32B3"/>
    <w:rsid w:val="005C5130"/>
    <w:rsid w:val="005C5F1D"/>
    <w:rsid w:val="005D010B"/>
    <w:rsid w:val="005D012F"/>
    <w:rsid w:val="005D0E2A"/>
    <w:rsid w:val="005D4033"/>
    <w:rsid w:val="005D4C36"/>
    <w:rsid w:val="005D6B64"/>
    <w:rsid w:val="005D7985"/>
    <w:rsid w:val="005E03D1"/>
    <w:rsid w:val="005E0FE9"/>
    <w:rsid w:val="005E1185"/>
    <w:rsid w:val="005E1E03"/>
    <w:rsid w:val="005E2DFC"/>
    <w:rsid w:val="005E409F"/>
    <w:rsid w:val="005E40CD"/>
    <w:rsid w:val="005E6AF0"/>
    <w:rsid w:val="005E77A7"/>
    <w:rsid w:val="005E7841"/>
    <w:rsid w:val="005F2819"/>
    <w:rsid w:val="005F2C26"/>
    <w:rsid w:val="005F482A"/>
    <w:rsid w:val="005F4DD2"/>
    <w:rsid w:val="005F663A"/>
    <w:rsid w:val="005F7B30"/>
    <w:rsid w:val="00600143"/>
    <w:rsid w:val="00600591"/>
    <w:rsid w:val="0060154B"/>
    <w:rsid w:val="006028EA"/>
    <w:rsid w:val="00602952"/>
    <w:rsid w:val="00602DED"/>
    <w:rsid w:val="006038EA"/>
    <w:rsid w:val="006042F7"/>
    <w:rsid w:val="0060434F"/>
    <w:rsid w:val="006043D4"/>
    <w:rsid w:val="00604E10"/>
    <w:rsid w:val="00605B3E"/>
    <w:rsid w:val="00612DAA"/>
    <w:rsid w:val="00613223"/>
    <w:rsid w:val="00614095"/>
    <w:rsid w:val="006176B8"/>
    <w:rsid w:val="00620F0C"/>
    <w:rsid w:val="006212AD"/>
    <w:rsid w:val="006219DA"/>
    <w:rsid w:val="00622E34"/>
    <w:rsid w:val="00624066"/>
    <w:rsid w:val="00624A20"/>
    <w:rsid w:val="00624C40"/>
    <w:rsid w:val="00626A71"/>
    <w:rsid w:val="00631445"/>
    <w:rsid w:val="00631A91"/>
    <w:rsid w:val="006321B1"/>
    <w:rsid w:val="00632F81"/>
    <w:rsid w:val="00633FBB"/>
    <w:rsid w:val="006345E5"/>
    <w:rsid w:val="00635942"/>
    <w:rsid w:val="00635BDC"/>
    <w:rsid w:val="00636483"/>
    <w:rsid w:val="00636A4D"/>
    <w:rsid w:val="006373FB"/>
    <w:rsid w:val="006407DF"/>
    <w:rsid w:val="0064196B"/>
    <w:rsid w:val="00641D43"/>
    <w:rsid w:val="00641E05"/>
    <w:rsid w:val="00643343"/>
    <w:rsid w:val="00644325"/>
    <w:rsid w:val="00644A79"/>
    <w:rsid w:val="00644C57"/>
    <w:rsid w:val="006453AB"/>
    <w:rsid w:val="0064551B"/>
    <w:rsid w:val="00645D90"/>
    <w:rsid w:val="00647C7D"/>
    <w:rsid w:val="00650A9D"/>
    <w:rsid w:val="006521F9"/>
    <w:rsid w:val="00652294"/>
    <w:rsid w:val="006545EB"/>
    <w:rsid w:val="00656E22"/>
    <w:rsid w:val="0065738D"/>
    <w:rsid w:val="00660589"/>
    <w:rsid w:val="00660C8B"/>
    <w:rsid w:val="006635BB"/>
    <w:rsid w:val="00663A42"/>
    <w:rsid w:val="00664600"/>
    <w:rsid w:val="00664A0B"/>
    <w:rsid w:val="00665A1C"/>
    <w:rsid w:val="0066628A"/>
    <w:rsid w:val="0066738B"/>
    <w:rsid w:val="006673E9"/>
    <w:rsid w:val="006677B2"/>
    <w:rsid w:val="006702D4"/>
    <w:rsid w:val="00670D97"/>
    <w:rsid w:val="006717F9"/>
    <w:rsid w:val="00674FDA"/>
    <w:rsid w:val="00675551"/>
    <w:rsid w:val="00675FDA"/>
    <w:rsid w:val="00676F2C"/>
    <w:rsid w:val="0067784B"/>
    <w:rsid w:val="00680039"/>
    <w:rsid w:val="006816CE"/>
    <w:rsid w:val="006819E9"/>
    <w:rsid w:val="00682B0D"/>
    <w:rsid w:val="00687A6D"/>
    <w:rsid w:val="0069062B"/>
    <w:rsid w:val="00691556"/>
    <w:rsid w:val="00693EF0"/>
    <w:rsid w:val="00695778"/>
    <w:rsid w:val="006957E0"/>
    <w:rsid w:val="00695929"/>
    <w:rsid w:val="006961B2"/>
    <w:rsid w:val="00697C2E"/>
    <w:rsid w:val="006A160B"/>
    <w:rsid w:val="006A16E5"/>
    <w:rsid w:val="006A27D2"/>
    <w:rsid w:val="006A3A16"/>
    <w:rsid w:val="006A3C62"/>
    <w:rsid w:val="006A4A2C"/>
    <w:rsid w:val="006A66B4"/>
    <w:rsid w:val="006A6E96"/>
    <w:rsid w:val="006A7088"/>
    <w:rsid w:val="006B0BAE"/>
    <w:rsid w:val="006B0F70"/>
    <w:rsid w:val="006B2887"/>
    <w:rsid w:val="006B2FAC"/>
    <w:rsid w:val="006B454E"/>
    <w:rsid w:val="006B58A2"/>
    <w:rsid w:val="006B5F3A"/>
    <w:rsid w:val="006B609F"/>
    <w:rsid w:val="006B624E"/>
    <w:rsid w:val="006B6455"/>
    <w:rsid w:val="006B6ACF"/>
    <w:rsid w:val="006B6CFA"/>
    <w:rsid w:val="006C01FB"/>
    <w:rsid w:val="006C0F10"/>
    <w:rsid w:val="006C165A"/>
    <w:rsid w:val="006C1BE6"/>
    <w:rsid w:val="006C1D55"/>
    <w:rsid w:val="006C27C7"/>
    <w:rsid w:val="006C5ACA"/>
    <w:rsid w:val="006C76C4"/>
    <w:rsid w:val="006C7A06"/>
    <w:rsid w:val="006C7F16"/>
    <w:rsid w:val="006D0C16"/>
    <w:rsid w:val="006D3245"/>
    <w:rsid w:val="006D326D"/>
    <w:rsid w:val="006D3752"/>
    <w:rsid w:val="006D455E"/>
    <w:rsid w:val="006D526D"/>
    <w:rsid w:val="006D6ECC"/>
    <w:rsid w:val="006D6EEC"/>
    <w:rsid w:val="006D7644"/>
    <w:rsid w:val="006E0537"/>
    <w:rsid w:val="006E1F26"/>
    <w:rsid w:val="006E2BD3"/>
    <w:rsid w:val="006E3D7B"/>
    <w:rsid w:val="006E43A1"/>
    <w:rsid w:val="006E4F10"/>
    <w:rsid w:val="006E56BA"/>
    <w:rsid w:val="006E6726"/>
    <w:rsid w:val="006E7116"/>
    <w:rsid w:val="006E7BF6"/>
    <w:rsid w:val="006F0620"/>
    <w:rsid w:val="006F11B1"/>
    <w:rsid w:val="006F3512"/>
    <w:rsid w:val="006F41F7"/>
    <w:rsid w:val="006F4917"/>
    <w:rsid w:val="006F4BE0"/>
    <w:rsid w:val="006F51DB"/>
    <w:rsid w:val="006F5E34"/>
    <w:rsid w:val="0070161A"/>
    <w:rsid w:val="007037CB"/>
    <w:rsid w:val="00704013"/>
    <w:rsid w:val="007102C4"/>
    <w:rsid w:val="00713BC0"/>
    <w:rsid w:val="0071464F"/>
    <w:rsid w:val="0071466B"/>
    <w:rsid w:val="00715807"/>
    <w:rsid w:val="0071581F"/>
    <w:rsid w:val="0071617D"/>
    <w:rsid w:val="00716EF2"/>
    <w:rsid w:val="00717F4B"/>
    <w:rsid w:val="00720923"/>
    <w:rsid w:val="00720EA1"/>
    <w:rsid w:val="00725208"/>
    <w:rsid w:val="00725739"/>
    <w:rsid w:val="00727054"/>
    <w:rsid w:val="0072738A"/>
    <w:rsid w:val="00734994"/>
    <w:rsid w:val="0073556F"/>
    <w:rsid w:val="00737106"/>
    <w:rsid w:val="00737755"/>
    <w:rsid w:val="00742DCE"/>
    <w:rsid w:val="00744056"/>
    <w:rsid w:val="00744938"/>
    <w:rsid w:val="00745236"/>
    <w:rsid w:val="007474E6"/>
    <w:rsid w:val="0074787D"/>
    <w:rsid w:val="007504E1"/>
    <w:rsid w:val="00751A3D"/>
    <w:rsid w:val="00752B5B"/>
    <w:rsid w:val="007531C6"/>
    <w:rsid w:val="00753DFC"/>
    <w:rsid w:val="00754AE3"/>
    <w:rsid w:val="00755099"/>
    <w:rsid w:val="00755443"/>
    <w:rsid w:val="0076048E"/>
    <w:rsid w:val="00760730"/>
    <w:rsid w:val="007609C8"/>
    <w:rsid w:val="0076231E"/>
    <w:rsid w:val="00762D5A"/>
    <w:rsid w:val="007632BD"/>
    <w:rsid w:val="00763347"/>
    <w:rsid w:val="00763ED9"/>
    <w:rsid w:val="00764606"/>
    <w:rsid w:val="007714BD"/>
    <w:rsid w:val="00771AF4"/>
    <w:rsid w:val="007743BA"/>
    <w:rsid w:val="0077544B"/>
    <w:rsid w:val="0077670A"/>
    <w:rsid w:val="00777113"/>
    <w:rsid w:val="0077779F"/>
    <w:rsid w:val="00777D74"/>
    <w:rsid w:val="00777E3F"/>
    <w:rsid w:val="00780CEE"/>
    <w:rsid w:val="00781240"/>
    <w:rsid w:val="00782BBF"/>
    <w:rsid w:val="0078308C"/>
    <w:rsid w:val="0078308F"/>
    <w:rsid w:val="00784528"/>
    <w:rsid w:val="0078453F"/>
    <w:rsid w:val="00784F91"/>
    <w:rsid w:val="0078511C"/>
    <w:rsid w:val="00786D35"/>
    <w:rsid w:val="00787DD9"/>
    <w:rsid w:val="00790911"/>
    <w:rsid w:val="0079278E"/>
    <w:rsid w:val="0079675B"/>
    <w:rsid w:val="00796E68"/>
    <w:rsid w:val="007A2DDB"/>
    <w:rsid w:val="007A39D0"/>
    <w:rsid w:val="007A3CCD"/>
    <w:rsid w:val="007A4728"/>
    <w:rsid w:val="007A4D62"/>
    <w:rsid w:val="007A5311"/>
    <w:rsid w:val="007A5854"/>
    <w:rsid w:val="007A6AB3"/>
    <w:rsid w:val="007B115B"/>
    <w:rsid w:val="007B1313"/>
    <w:rsid w:val="007B174B"/>
    <w:rsid w:val="007B314B"/>
    <w:rsid w:val="007B338C"/>
    <w:rsid w:val="007B3B40"/>
    <w:rsid w:val="007B3BC5"/>
    <w:rsid w:val="007B45DE"/>
    <w:rsid w:val="007B6206"/>
    <w:rsid w:val="007B78E0"/>
    <w:rsid w:val="007C0A47"/>
    <w:rsid w:val="007C2446"/>
    <w:rsid w:val="007C26CE"/>
    <w:rsid w:val="007C30EE"/>
    <w:rsid w:val="007C3769"/>
    <w:rsid w:val="007C4233"/>
    <w:rsid w:val="007C4D4A"/>
    <w:rsid w:val="007C56E5"/>
    <w:rsid w:val="007C639F"/>
    <w:rsid w:val="007C661B"/>
    <w:rsid w:val="007C7285"/>
    <w:rsid w:val="007C7975"/>
    <w:rsid w:val="007D0D18"/>
    <w:rsid w:val="007D0EF4"/>
    <w:rsid w:val="007D218D"/>
    <w:rsid w:val="007D32BF"/>
    <w:rsid w:val="007D4AC3"/>
    <w:rsid w:val="007D7745"/>
    <w:rsid w:val="007D7D86"/>
    <w:rsid w:val="007E00A1"/>
    <w:rsid w:val="007E0360"/>
    <w:rsid w:val="007E0E80"/>
    <w:rsid w:val="007E13A9"/>
    <w:rsid w:val="007E14D9"/>
    <w:rsid w:val="007E18EE"/>
    <w:rsid w:val="007E3786"/>
    <w:rsid w:val="007E3BC5"/>
    <w:rsid w:val="007E5070"/>
    <w:rsid w:val="007E72DA"/>
    <w:rsid w:val="007E7A16"/>
    <w:rsid w:val="007F0AA9"/>
    <w:rsid w:val="007F12DE"/>
    <w:rsid w:val="007F1C5D"/>
    <w:rsid w:val="007F1D05"/>
    <w:rsid w:val="007F21C2"/>
    <w:rsid w:val="007F2CEB"/>
    <w:rsid w:val="007F3842"/>
    <w:rsid w:val="007F4782"/>
    <w:rsid w:val="007F5009"/>
    <w:rsid w:val="007F5A16"/>
    <w:rsid w:val="007F6557"/>
    <w:rsid w:val="007F7A89"/>
    <w:rsid w:val="00800A74"/>
    <w:rsid w:val="00800A7C"/>
    <w:rsid w:val="00800ED0"/>
    <w:rsid w:val="00802DD5"/>
    <w:rsid w:val="00802DF3"/>
    <w:rsid w:val="00804AEF"/>
    <w:rsid w:val="008065E2"/>
    <w:rsid w:val="00806850"/>
    <w:rsid w:val="00806A3F"/>
    <w:rsid w:val="0080703A"/>
    <w:rsid w:val="00807054"/>
    <w:rsid w:val="00807B4F"/>
    <w:rsid w:val="00807B89"/>
    <w:rsid w:val="00807D1A"/>
    <w:rsid w:val="00810F85"/>
    <w:rsid w:val="00811358"/>
    <w:rsid w:val="008121D7"/>
    <w:rsid w:val="008130C2"/>
    <w:rsid w:val="00813293"/>
    <w:rsid w:val="00814206"/>
    <w:rsid w:val="008158A5"/>
    <w:rsid w:val="008215C3"/>
    <w:rsid w:val="00821B78"/>
    <w:rsid w:val="00825878"/>
    <w:rsid w:val="008259B7"/>
    <w:rsid w:val="00825D9B"/>
    <w:rsid w:val="00825F21"/>
    <w:rsid w:val="00826337"/>
    <w:rsid w:val="00826810"/>
    <w:rsid w:val="00826E77"/>
    <w:rsid w:val="0082731E"/>
    <w:rsid w:val="00827F5E"/>
    <w:rsid w:val="00831F9F"/>
    <w:rsid w:val="00832140"/>
    <w:rsid w:val="00835FC5"/>
    <w:rsid w:val="00840CF4"/>
    <w:rsid w:val="008415F4"/>
    <w:rsid w:val="00843689"/>
    <w:rsid w:val="00843E29"/>
    <w:rsid w:val="0084730C"/>
    <w:rsid w:val="008478AE"/>
    <w:rsid w:val="00847B21"/>
    <w:rsid w:val="0085187D"/>
    <w:rsid w:val="00852D44"/>
    <w:rsid w:val="0085472F"/>
    <w:rsid w:val="00857169"/>
    <w:rsid w:val="00860503"/>
    <w:rsid w:val="008608B4"/>
    <w:rsid w:val="0086154C"/>
    <w:rsid w:val="0086330B"/>
    <w:rsid w:val="00863699"/>
    <w:rsid w:val="008640AD"/>
    <w:rsid w:val="00864546"/>
    <w:rsid w:val="00864F79"/>
    <w:rsid w:val="0086574C"/>
    <w:rsid w:val="00872529"/>
    <w:rsid w:val="008737F5"/>
    <w:rsid w:val="0087446B"/>
    <w:rsid w:val="008747AD"/>
    <w:rsid w:val="00877900"/>
    <w:rsid w:val="00877EDF"/>
    <w:rsid w:val="00880799"/>
    <w:rsid w:val="00880DF0"/>
    <w:rsid w:val="00880E20"/>
    <w:rsid w:val="00881187"/>
    <w:rsid w:val="00881EF7"/>
    <w:rsid w:val="00882DAC"/>
    <w:rsid w:val="00882FBA"/>
    <w:rsid w:val="0088314F"/>
    <w:rsid w:val="00883762"/>
    <w:rsid w:val="00883CDA"/>
    <w:rsid w:val="0088400F"/>
    <w:rsid w:val="008842DA"/>
    <w:rsid w:val="00884D8D"/>
    <w:rsid w:val="00884ED4"/>
    <w:rsid w:val="008856C1"/>
    <w:rsid w:val="0088596A"/>
    <w:rsid w:val="008868F8"/>
    <w:rsid w:val="0088690D"/>
    <w:rsid w:val="00886C7A"/>
    <w:rsid w:val="00887D35"/>
    <w:rsid w:val="008900E3"/>
    <w:rsid w:val="008901D2"/>
    <w:rsid w:val="0089040A"/>
    <w:rsid w:val="00890D40"/>
    <w:rsid w:val="0089151C"/>
    <w:rsid w:val="0089473D"/>
    <w:rsid w:val="008A3C63"/>
    <w:rsid w:val="008A537E"/>
    <w:rsid w:val="008A6440"/>
    <w:rsid w:val="008A6ABB"/>
    <w:rsid w:val="008B0765"/>
    <w:rsid w:val="008B10B8"/>
    <w:rsid w:val="008B217D"/>
    <w:rsid w:val="008B29D4"/>
    <w:rsid w:val="008B2B4C"/>
    <w:rsid w:val="008B3B63"/>
    <w:rsid w:val="008B3E70"/>
    <w:rsid w:val="008B4F60"/>
    <w:rsid w:val="008B55E9"/>
    <w:rsid w:val="008B59E8"/>
    <w:rsid w:val="008B5DC3"/>
    <w:rsid w:val="008B6326"/>
    <w:rsid w:val="008B771A"/>
    <w:rsid w:val="008B7C33"/>
    <w:rsid w:val="008C197C"/>
    <w:rsid w:val="008C335C"/>
    <w:rsid w:val="008C5990"/>
    <w:rsid w:val="008C6760"/>
    <w:rsid w:val="008C6E36"/>
    <w:rsid w:val="008C7666"/>
    <w:rsid w:val="008D098C"/>
    <w:rsid w:val="008D2040"/>
    <w:rsid w:val="008D204A"/>
    <w:rsid w:val="008D2477"/>
    <w:rsid w:val="008D2EA6"/>
    <w:rsid w:val="008D5AD7"/>
    <w:rsid w:val="008D68DB"/>
    <w:rsid w:val="008E02A8"/>
    <w:rsid w:val="008E0911"/>
    <w:rsid w:val="008E2AE6"/>
    <w:rsid w:val="008E43B6"/>
    <w:rsid w:val="008E4D5D"/>
    <w:rsid w:val="008E50B1"/>
    <w:rsid w:val="008E7A02"/>
    <w:rsid w:val="008F0B6B"/>
    <w:rsid w:val="008F251C"/>
    <w:rsid w:val="008F47C4"/>
    <w:rsid w:val="008F65B7"/>
    <w:rsid w:val="0090225A"/>
    <w:rsid w:val="00902402"/>
    <w:rsid w:val="0090346B"/>
    <w:rsid w:val="009047EF"/>
    <w:rsid w:val="009048BA"/>
    <w:rsid w:val="009050FC"/>
    <w:rsid w:val="009065F1"/>
    <w:rsid w:val="00906D59"/>
    <w:rsid w:val="00911151"/>
    <w:rsid w:val="009118DB"/>
    <w:rsid w:val="00912494"/>
    <w:rsid w:val="00912E0C"/>
    <w:rsid w:val="00915424"/>
    <w:rsid w:val="00915CE8"/>
    <w:rsid w:val="00916B4B"/>
    <w:rsid w:val="00917C1C"/>
    <w:rsid w:val="0092021B"/>
    <w:rsid w:val="009211DC"/>
    <w:rsid w:val="00922F51"/>
    <w:rsid w:val="0092302A"/>
    <w:rsid w:val="00923125"/>
    <w:rsid w:val="009231C3"/>
    <w:rsid w:val="00924FF5"/>
    <w:rsid w:val="00925F5D"/>
    <w:rsid w:val="009266DA"/>
    <w:rsid w:val="009303F4"/>
    <w:rsid w:val="00930697"/>
    <w:rsid w:val="009311DE"/>
    <w:rsid w:val="00933604"/>
    <w:rsid w:val="0093461F"/>
    <w:rsid w:val="00934D15"/>
    <w:rsid w:val="00935DC7"/>
    <w:rsid w:val="009377C5"/>
    <w:rsid w:val="00941A49"/>
    <w:rsid w:val="00943887"/>
    <w:rsid w:val="00943CA7"/>
    <w:rsid w:val="00943CD4"/>
    <w:rsid w:val="009444D9"/>
    <w:rsid w:val="009467BA"/>
    <w:rsid w:val="009516D8"/>
    <w:rsid w:val="009529A0"/>
    <w:rsid w:val="00955832"/>
    <w:rsid w:val="00956BE6"/>
    <w:rsid w:val="009575CC"/>
    <w:rsid w:val="00961EFC"/>
    <w:rsid w:val="00962CB1"/>
    <w:rsid w:val="00964BCB"/>
    <w:rsid w:val="009653F5"/>
    <w:rsid w:val="00966322"/>
    <w:rsid w:val="00967A2D"/>
    <w:rsid w:val="00971841"/>
    <w:rsid w:val="0097338C"/>
    <w:rsid w:val="00973B12"/>
    <w:rsid w:val="00975122"/>
    <w:rsid w:val="0097674C"/>
    <w:rsid w:val="00977BED"/>
    <w:rsid w:val="009818C2"/>
    <w:rsid w:val="00981CFC"/>
    <w:rsid w:val="00981FA3"/>
    <w:rsid w:val="009831C6"/>
    <w:rsid w:val="00983A26"/>
    <w:rsid w:val="00984D63"/>
    <w:rsid w:val="00985045"/>
    <w:rsid w:val="00985640"/>
    <w:rsid w:val="00985852"/>
    <w:rsid w:val="00985B74"/>
    <w:rsid w:val="009869FA"/>
    <w:rsid w:val="0099010D"/>
    <w:rsid w:val="00990157"/>
    <w:rsid w:val="009902A4"/>
    <w:rsid w:val="00990A9F"/>
    <w:rsid w:val="0099163C"/>
    <w:rsid w:val="00991696"/>
    <w:rsid w:val="00992E1E"/>
    <w:rsid w:val="00994E2C"/>
    <w:rsid w:val="0099500B"/>
    <w:rsid w:val="00995039"/>
    <w:rsid w:val="00996693"/>
    <w:rsid w:val="00996717"/>
    <w:rsid w:val="00996BDB"/>
    <w:rsid w:val="009974D0"/>
    <w:rsid w:val="00997EFE"/>
    <w:rsid w:val="009A0649"/>
    <w:rsid w:val="009A1877"/>
    <w:rsid w:val="009A247B"/>
    <w:rsid w:val="009A2755"/>
    <w:rsid w:val="009A3808"/>
    <w:rsid w:val="009A450A"/>
    <w:rsid w:val="009A5183"/>
    <w:rsid w:val="009A54F7"/>
    <w:rsid w:val="009A588F"/>
    <w:rsid w:val="009A7195"/>
    <w:rsid w:val="009A773E"/>
    <w:rsid w:val="009B0128"/>
    <w:rsid w:val="009B0D39"/>
    <w:rsid w:val="009B16C6"/>
    <w:rsid w:val="009B2722"/>
    <w:rsid w:val="009B27C2"/>
    <w:rsid w:val="009B4172"/>
    <w:rsid w:val="009B5DCF"/>
    <w:rsid w:val="009B7097"/>
    <w:rsid w:val="009C1434"/>
    <w:rsid w:val="009C16BD"/>
    <w:rsid w:val="009C24AF"/>
    <w:rsid w:val="009C27D3"/>
    <w:rsid w:val="009C77E3"/>
    <w:rsid w:val="009D0E00"/>
    <w:rsid w:val="009D0E5E"/>
    <w:rsid w:val="009D29EB"/>
    <w:rsid w:val="009D3E91"/>
    <w:rsid w:val="009D50D9"/>
    <w:rsid w:val="009D58D9"/>
    <w:rsid w:val="009D64F7"/>
    <w:rsid w:val="009D7C8B"/>
    <w:rsid w:val="009E07BE"/>
    <w:rsid w:val="009E1076"/>
    <w:rsid w:val="009E5740"/>
    <w:rsid w:val="009E58EA"/>
    <w:rsid w:val="009E64E6"/>
    <w:rsid w:val="009E764C"/>
    <w:rsid w:val="009F47F7"/>
    <w:rsid w:val="009F574F"/>
    <w:rsid w:val="00A013E1"/>
    <w:rsid w:val="00A03BFC"/>
    <w:rsid w:val="00A06D00"/>
    <w:rsid w:val="00A114CD"/>
    <w:rsid w:val="00A146ED"/>
    <w:rsid w:val="00A169F5"/>
    <w:rsid w:val="00A17283"/>
    <w:rsid w:val="00A172BB"/>
    <w:rsid w:val="00A20385"/>
    <w:rsid w:val="00A22915"/>
    <w:rsid w:val="00A23183"/>
    <w:rsid w:val="00A24398"/>
    <w:rsid w:val="00A2499F"/>
    <w:rsid w:val="00A24CC8"/>
    <w:rsid w:val="00A24D4A"/>
    <w:rsid w:val="00A254A5"/>
    <w:rsid w:val="00A2640A"/>
    <w:rsid w:val="00A26840"/>
    <w:rsid w:val="00A26F1C"/>
    <w:rsid w:val="00A27BD1"/>
    <w:rsid w:val="00A30DCC"/>
    <w:rsid w:val="00A30E26"/>
    <w:rsid w:val="00A315D7"/>
    <w:rsid w:val="00A32039"/>
    <w:rsid w:val="00A322B9"/>
    <w:rsid w:val="00A32A72"/>
    <w:rsid w:val="00A333C5"/>
    <w:rsid w:val="00A334F6"/>
    <w:rsid w:val="00A34179"/>
    <w:rsid w:val="00A36053"/>
    <w:rsid w:val="00A41E89"/>
    <w:rsid w:val="00A44417"/>
    <w:rsid w:val="00A4458B"/>
    <w:rsid w:val="00A45303"/>
    <w:rsid w:val="00A4555E"/>
    <w:rsid w:val="00A45CAF"/>
    <w:rsid w:val="00A46B0C"/>
    <w:rsid w:val="00A470DB"/>
    <w:rsid w:val="00A475D6"/>
    <w:rsid w:val="00A47EF9"/>
    <w:rsid w:val="00A508CE"/>
    <w:rsid w:val="00A51056"/>
    <w:rsid w:val="00A52883"/>
    <w:rsid w:val="00A54983"/>
    <w:rsid w:val="00A57161"/>
    <w:rsid w:val="00A60F5F"/>
    <w:rsid w:val="00A6202D"/>
    <w:rsid w:val="00A63525"/>
    <w:rsid w:val="00A65531"/>
    <w:rsid w:val="00A67178"/>
    <w:rsid w:val="00A677BF"/>
    <w:rsid w:val="00A705F9"/>
    <w:rsid w:val="00A71BDB"/>
    <w:rsid w:val="00A72A7D"/>
    <w:rsid w:val="00A73792"/>
    <w:rsid w:val="00A74EBC"/>
    <w:rsid w:val="00A7630F"/>
    <w:rsid w:val="00A80AE3"/>
    <w:rsid w:val="00A81A07"/>
    <w:rsid w:val="00A84B3D"/>
    <w:rsid w:val="00A85D6D"/>
    <w:rsid w:val="00A85E92"/>
    <w:rsid w:val="00A86889"/>
    <w:rsid w:val="00A877F1"/>
    <w:rsid w:val="00A878A6"/>
    <w:rsid w:val="00A90800"/>
    <w:rsid w:val="00A913C3"/>
    <w:rsid w:val="00A91B14"/>
    <w:rsid w:val="00A92676"/>
    <w:rsid w:val="00A92E0A"/>
    <w:rsid w:val="00A933C6"/>
    <w:rsid w:val="00A94B36"/>
    <w:rsid w:val="00A959BD"/>
    <w:rsid w:val="00A95DD8"/>
    <w:rsid w:val="00A96870"/>
    <w:rsid w:val="00A9693D"/>
    <w:rsid w:val="00A96AE0"/>
    <w:rsid w:val="00A96BDC"/>
    <w:rsid w:val="00A979CF"/>
    <w:rsid w:val="00AA0702"/>
    <w:rsid w:val="00AA0AFF"/>
    <w:rsid w:val="00AA0C2F"/>
    <w:rsid w:val="00AA22D1"/>
    <w:rsid w:val="00AA2A7D"/>
    <w:rsid w:val="00AA3E80"/>
    <w:rsid w:val="00AA51B0"/>
    <w:rsid w:val="00AA5733"/>
    <w:rsid w:val="00AA6DC6"/>
    <w:rsid w:val="00AA70E3"/>
    <w:rsid w:val="00AB316B"/>
    <w:rsid w:val="00AB31EF"/>
    <w:rsid w:val="00AB409F"/>
    <w:rsid w:val="00AB4165"/>
    <w:rsid w:val="00AB44C3"/>
    <w:rsid w:val="00AB47C3"/>
    <w:rsid w:val="00AB5B06"/>
    <w:rsid w:val="00AC3E61"/>
    <w:rsid w:val="00AC47DE"/>
    <w:rsid w:val="00AC5163"/>
    <w:rsid w:val="00AC535F"/>
    <w:rsid w:val="00AC5CD3"/>
    <w:rsid w:val="00AC69C7"/>
    <w:rsid w:val="00AC6CE3"/>
    <w:rsid w:val="00AC75BF"/>
    <w:rsid w:val="00AD1348"/>
    <w:rsid w:val="00AD32F4"/>
    <w:rsid w:val="00AD3F98"/>
    <w:rsid w:val="00AD4C8C"/>
    <w:rsid w:val="00AD4F67"/>
    <w:rsid w:val="00AD5FFC"/>
    <w:rsid w:val="00AD655A"/>
    <w:rsid w:val="00AD6881"/>
    <w:rsid w:val="00AD759C"/>
    <w:rsid w:val="00AE487B"/>
    <w:rsid w:val="00AE591E"/>
    <w:rsid w:val="00AF0681"/>
    <w:rsid w:val="00AF0AD5"/>
    <w:rsid w:val="00AF126A"/>
    <w:rsid w:val="00AF12DF"/>
    <w:rsid w:val="00AF2C3E"/>
    <w:rsid w:val="00AF2FE3"/>
    <w:rsid w:val="00AF353B"/>
    <w:rsid w:val="00AF5FCE"/>
    <w:rsid w:val="00AF675E"/>
    <w:rsid w:val="00AF6E09"/>
    <w:rsid w:val="00AF7ADE"/>
    <w:rsid w:val="00B01926"/>
    <w:rsid w:val="00B01C0D"/>
    <w:rsid w:val="00B02866"/>
    <w:rsid w:val="00B02B55"/>
    <w:rsid w:val="00B03DCA"/>
    <w:rsid w:val="00B049ED"/>
    <w:rsid w:val="00B04C8D"/>
    <w:rsid w:val="00B055B5"/>
    <w:rsid w:val="00B058F3"/>
    <w:rsid w:val="00B072ED"/>
    <w:rsid w:val="00B07BAF"/>
    <w:rsid w:val="00B102F2"/>
    <w:rsid w:val="00B110D9"/>
    <w:rsid w:val="00B12880"/>
    <w:rsid w:val="00B1299B"/>
    <w:rsid w:val="00B138C1"/>
    <w:rsid w:val="00B140E1"/>
    <w:rsid w:val="00B14475"/>
    <w:rsid w:val="00B157DD"/>
    <w:rsid w:val="00B16095"/>
    <w:rsid w:val="00B17282"/>
    <w:rsid w:val="00B17C32"/>
    <w:rsid w:val="00B205BC"/>
    <w:rsid w:val="00B21B8E"/>
    <w:rsid w:val="00B24F7C"/>
    <w:rsid w:val="00B24FBE"/>
    <w:rsid w:val="00B2503D"/>
    <w:rsid w:val="00B25AA5"/>
    <w:rsid w:val="00B266BE"/>
    <w:rsid w:val="00B26A31"/>
    <w:rsid w:val="00B27269"/>
    <w:rsid w:val="00B2798D"/>
    <w:rsid w:val="00B27A62"/>
    <w:rsid w:val="00B30AC8"/>
    <w:rsid w:val="00B31AE3"/>
    <w:rsid w:val="00B31EFB"/>
    <w:rsid w:val="00B33FA0"/>
    <w:rsid w:val="00B34377"/>
    <w:rsid w:val="00B34583"/>
    <w:rsid w:val="00B360E1"/>
    <w:rsid w:val="00B37776"/>
    <w:rsid w:val="00B3780E"/>
    <w:rsid w:val="00B37F02"/>
    <w:rsid w:val="00B406EC"/>
    <w:rsid w:val="00B41849"/>
    <w:rsid w:val="00B41A01"/>
    <w:rsid w:val="00B4219D"/>
    <w:rsid w:val="00B42CE6"/>
    <w:rsid w:val="00B44740"/>
    <w:rsid w:val="00B47332"/>
    <w:rsid w:val="00B474E8"/>
    <w:rsid w:val="00B47739"/>
    <w:rsid w:val="00B478D2"/>
    <w:rsid w:val="00B511D3"/>
    <w:rsid w:val="00B51372"/>
    <w:rsid w:val="00B52D63"/>
    <w:rsid w:val="00B53B37"/>
    <w:rsid w:val="00B55813"/>
    <w:rsid w:val="00B55FED"/>
    <w:rsid w:val="00B5783D"/>
    <w:rsid w:val="00B600CA"/>
    <w:rsid w:val="00B61BB1"/>
    <w:rsid w:val="00B62933"/>
    <w:rsid w:val="00B62D05"/>
    <w:rsid w:val="00B63D9F"/>
    <w:rsid w:val="00B63DC4"/>
    <w:rsid w:val="00B6415C"/>
    <w:rsid w:val="00B6481E"/>
    <w:rsid w:val="00B64D54"/>
    <w:rsid w:val="00B65129"/>
    <w:rsid w:val="00B6578A"/>
    <w:rsid w:val="00B65904"/>
    <w:rsid w:val="00B675C4"/>
    <w:rsid w:val="00B67647"/>
    <w:rsid w:val="00B715E7"/>
    <w:rsid w:val="00B7326C"/>
    <w:rsid w:val="00B74551"/>
    <w:rsid w:val="00B7578D"/>
    <w:rsid w:val="00B75994"/>
    <w:rsid w:val="00B75D53"/>
    <w:rsid w:val="00B76018"/>
    <w:rsid w:val="00B761A8"/>
    <w:rsid w:val="00B76814"/>
    <w:rsid w:val="00B778D1"/>
    <w:rsid w:val="00B801AB"/>
    <w:rsid w:val="00B80AE5"/>
    <w:rsid w:val="00B8401D"/>
    <w:rsid w:val="00B841F2"/>
    <w:rsid w:val="00B84782"/>
    <w:rsid w:val="00B84BD7"/>
    <w:rsid w:val="00B84D04"/>
    <w:rsid w:val="00B853D8"/>
    <w:rsid w:val="00B85AE6"/>
    <w:rsid w:val="00B85D55"/>
    <w:rsid w:val="00B86720"/>
    <w:rsid w:val="00B87DFC"/>
    <w:rsid w:val="00B87F7D"/>
    <w:rsid w:val="00B903A6"/>
    <w:rsid w:val="00B90D40"/>
    <w:rsid w:val="00B91326"/>
    <w:rsid w:val="00B93E21"/>
    <w:rsid w:val="00B93F60"/>
    <w:rsid w:val="00B946A0"/>
    <w:rsid w:val="00B95AD4"/>
    <w:rsid w:val="00BA0AA5"/>
    <w:rsid w:val="00BA0DCB"/>
    <w:rsid w:val="00BA3369"/>
    <w:rsid w:val="00BA363C"/>
    <w:rsid w:val="00BA3AE7"/>
    <w:rsid w:val="00BA4CA3"/>
    <w:rsid w:val="00BA5BFF"/>
    <w:rsid w:val="00BA5E1F"/>
    <w:rsid w:val="00BB15EB"/>
    <w:rsid w:val="00BB1C9E"/>
    <w:rsid w:val="00BB1E16"/>
    <w:rsid w:val="00BB1F1B"/>
    <w:rsid w:val="00BB23C1"/>
    <w:rsid w:val="00BB3582"/>
    <w:rsid w:val="00BB4550"/>
    <w:rsid w:val="00BB49BE"/>
    <w:rsid w:val="00BB4D0D"/>
    <w:rsid w:val="00BB4F5C"/>
    <w:rsid w:val="00BB6561"/>
    <w:rsid w:val="00BB7F49"/>
    <w:rsid w:val="00BC5014"/>
    <w:rsid w:val="00BC5543"/>
    <w:rsid w:val="00BC578A"/>
    <w:rsid w:val="00BC678E"/>
    <w:rsid w:val="00BC6C56"/>
    <w:rsid w:val="00BD1037"/>
    <w:rsid w:val="00BD2EED"/>
    <w:rsid w:val="00BD39E4"/>
    <w:rsid w:val="00BD3A1C"/>
    <w:rsid w:val="00BD3CDD"/>
    <w:rsid w:val="00BD4578"/>
    <w:rsid w:val="00BD55EC"/>
    <w:rsid w:val="00BD5703"/>
    <w:rsid w:val="00BD5E1E"/>
    <w:rsid w:val="00BD69F9"/>
    <w:rsid w:val="00BD7804"/>
    <w:rsid w:val="00BE0F06"/>
    <w:rsid w:val="00BE11B8"/>
    <w:rsid w:val="00BE235C"/>
    <w:rsid w:val="00BE23CF"/>
    <w:rsid w:val="00BE3716"/>
    <w:rsid w:val="00BE49A2"/>
    <w:rsid w:val="00BE538D"/>
    <w:rsid w:val="00BE5947"/>
    <w:rsid w:val="00BE6F10"/>
    <w:rsid w:val="00BF054D"/>
    <w:rsid w:val="00BF0E66"/>
    <w:rsid w:val="00BF1180"/>
    <w:rsid w:val="00BF309A"/>
    <w:rsid w:val="00BF48A8"/>
    <w:rsid w:val="00BF4C2E"/>
    <w:rsid w:val="00BF5820"/>
    <w:rsid w:val="00BF5A10"/>
    <w:rsid w:val="00BF7482"/>
    <w:rsid w:val="00BF7581"/>
    <w:rsid w:val="00C00A0D"/>
    <w:rsid w:val="00C014E7"/>
    <w:rsid w:val="00C016F6"/>
    <w:rsid w:val="00C01922"/>
    <w:rsid w:val="00C04179"/>
    <w:rsid w:val="00C04A6B"/>
    <w:rsid w:val="00C04CE1"/>
    <w:rsid w:val="00C05088"/>
    <w:rsid w:val="00C06754"/>
    <w:rsid w:val="00C06A6C"/>
    <w:rsid w:val="00C10057"/>
    <w:rsid w:val="00C10811"/>
    <w:rsid w:val="00C1139C"/>
    <w:rsid w:val="00C1276C"/>
    <w:rsid w:val="00C13B83"/>
    <w:rsid w:val="00C1794E"/>
    <w:rsid w:val="00C2003B"/>
    <w:rsid w:val="00C21539"/>
    <w:rsid w:val="00C22C1E"/>
    <w:rsid w:val="00C22E09"/>
    <w:rsid w:val="00C2375C"/>
    <w:rsid w:val="00C2543D"/>
    <w:rsid w:val="00C259B6"/>
    <w:rsid w:val="00C25A8A"/>
    <w:rsid w:val="00C25C1C"/>
    <w:rsid w:val="00C274AB"/>
    <w:rsid w:val="00C3219B"/>
    <w:rsid w:val="00C323FF"/>
    <w:rsid w:val="00C33959"/>
    <w:rsid w:val="00C34463"/>
    <w:rsid w:val="00C3740C"/>
    <w:rsid w:val="00C411E7"/>
    <w:rsid w:val="00C4129A"/>
    <w:rsid w:val="00C41560"/>
    <w:rsid w:val="00C42061"/>
    <w:rsid w:val="00C42A68"/>
    <w:rsid w:val="00C42EBA"/>
    <w:rsid w:val="00C43AE6"/>
    <w:rsid w:val="00C44E9B"/>
    <w:rsid w:val="00C45BF6"/>
    <w:rsid w:val="00C45C9C"/>
    <w:rsid w:val="00C4703E"/>
    <w:rsid w:val="00C47A82"/>
    <w:rsid w:val="00C5174C"/>
    <w:rsid w:val="00C51835"/>
    <w:rsid w:val="00C54924"/>
    <w:rsid w:val="00C55367"/>
    <w:rsid w:val="00C55E2C"/>
    <w:rsid w:val="00C56B85"/>
    <w:rsid w:val="00C60849"/>
    <w:rsid w:val="00C6135C"/>
    <w:rsid w:val="00C63A60"/>
    <w:rsid w:val="00C6407D"/>
    <w:rsid w:val="00C656C3"/>
    <w:rsid w:val="00C7000A"/>
    <w:rsid w:val="00C71943"/>
    <w:rsid w:val="00C725A9"/>
    <w:rsid w:val="00C72743"/>
    <w:rsid w:val="00C73E91"/>
    <w:rsid w:val="00C75098"/>
    <w:rsid w:val="00C76953"/>
    <w:rsid w:val="00C82853"/>
    <w:rsid w:val="00C843C1"/>
    <w:rsid w:val="00C84639"/>
    <w:rsid w:val="00C84650"/>
    <w:rsid w:val="00C84B20"/>
    <w:rsid w:val="00C85B7D"/>
    <w:rsid w:val="00C87F91"/>
    <w:rsid w:val="00C90438"/>
    <w:rsid w:val="00C9110B"/>
    <w:rsid w:val="00C92892"/>
    <w:rsid w:val="00C9322A"/>
    <w:rsid w:val="00C939C1"/>
    <w:rsid w:val="00C9450A"/>
    <w:rsid w:val="00C94676"/>
    <w:rsid w:val="00C95582"/>
    <w:rsid w:val="00CA0895"/>
    <w:rsid w:val="00CA10CF"/>
    <w:rsid w:val="00CA6DAB"/>
    <w:rsid w:val="00CA70B4"/>
    <w:rsid w:val="00CB040E"/>
    <w:rsid w:val="00CB07FA"/>
    <w:rsid w:val="00CB07FB"/>
    <w:rsid w:val="00CB0A6A"/>
    <w:rsid w:val="00CB0D32"/>
    <w:rsid w:val="00CB187C"/>
    <w:rsid w:val="00CB1B2B"/>
    <w:rsid w:val="00CB39D9"/>
    <w:rsid w:val="00CB43C8"/>
    <w:rsid w:val="00CB450C"/>
    <w:rsid w:val="00CB4B35"/>
    <w:rsid w:val="00CB62D3"/>
    <w:rsid w:val="00CB7E9A"/>
    <w:rsid w:val="00CC0283"/>
    <w:rsid w:val="00CC1A24"/>
    <w:rsid w:val="00CC2676"/>
    <w:rsid w:val="00CC2AA3"/>
    <w:rsid w:val="00CC2B6E"/>
    <w:rsid w:val="00CC364C"/>
    <w:rsid w:val="00CC4BC2"/>
    <w:rsid w:val="00CC698B"/>
    <w:rsid w:val="00CC6D6D"/>
    <w:rsid w:val="00CD03B2"/>
    <w:rsid w:val="00CD06A0"/>
    <w:rsid w:val="00CD1B35"/>
    <w:rsid w:val="00CD2485"/>
    <w:rsid w:val="00CD3459"/>
    <w:rsid w:val="00CD3AEE"/>
    <w:rsid w:val="00CD4BDD"/>
    <w:rsid w:val="00CD4F97"/>
    <w:rsid w:val="00CD5378"/>
    <w:rsid w:val="00CD604C"/>
    <w:rsid w:val="00CD6F68"/>
    <w:rsid w:val="00CE078C"/>
    <w:rsid w:val="00CE0B3C"/>
    <w:rsid w:val="00CE2510"/>
    <w:rsid w:val="00CE3340"/>
    <w:rsid w:val="00CE36E7"/>
    <w:rsid w:val="00CE3D4D"/>
    <w:rsid w:val="00CE457B"/>
    <w:rsid w:val="00CE5D3D"/>
    <w:rsid w:val="00CE5DAC"/>
    <w:rsid w:val="00CE71DF"/>
    <w:rsid w:val="00CE7A68"/>
    <w:rsid w:val="00CF1E50"/>
    <w:rsid w:val="00CF24FB"/>
    <w:rsid w:val="00CF4CC2"/>
    <w:rsid w:val="00CF6B60"/>
    <w:rsid w:val="00CF76EE"/>
    <w:rsid w:val="00D0022E"/>
    <w:rsid w:val="00D00D9D"/>
    <w:rsid w:val="00D01EC4"/>
    <w:rsid w:val="00D02264"/>
    <w:rsid w:val="00D02682"/>
    <w:rsid w:val="00D02EE9"/>
    <w:rsid w:val="00D04887"/>
    <w:rsid w:val="00D05B15"/>
    <w:rsid w:val="00D06C99"/>
    <w:rsid w:val="00D1127E"/>
    <w:rsid w:val="00D11E8D"/>
    <w:rsid w:val="00D126E5"/>
    <w:rsid w:val="00D13FC6"/>
    <w:rsid w:val="00D144E3"/>
    <w:rsid w:val="00D15C42"/>
    <w:rsid w:val="00D168B0"/>
    <w:rsid w:val="00D16F1D"/>
    <w:rsid w:val="00D213B7"/>
    <w:rsid w:val="00D21FB2"/>
    <w:rsid w:val="00D22AF3"/>
    <w:rsid w:val="00D240C1"/>
    <w:rsid w:val="00D240DB"/>
    <w:rsid w:val="00D251F2"/>
    <w:rsid w:val="00D25967"/>
    <w:rsid w:val="00D26FAF"/>
    <w:rsid w:val="00D2737F"/>
    <w:rsid w:val="00D27CB9"/>
    <w:rsid w:val="00D30667"/>
    <w:rsid w:val="00D31183"/>
    <w:rsid w:val="00D31962"/>
    <w:rsid w:val="00D3287E"/>
    <w:rsid w:val="00D33B21"/>
    <w:rsid w:val="00D33FB1"/>
    <w:rsid w:val="00D34A00"/>
    <w:rsid w:val="00D36B2B"/>
    <w:rsid w:val="00D36B47"/>
    <w:rsid w:val="00D36F72"/>
    <w:rsid w:val="00D3721C"/>
    <w:rsid w:val="00D37BCB"/>
    <w:rsid w:val="00D40D4B"/>
    <w:rsid w:val="00D40F39"/>
    <w:rsid w:val="00D42D53"/>
    <w:rsid w:val="00D446DF"/>
    <w:rsid w:val="00D447B0"/>
    <w:rsid w:val="00D46A28"/>
    <w:rsid w:val="00D47FBF"/>
    <w:rsid w:val="00D50029"/>
    <w:rsid w:val="00D513AB"/>
    <w:rsid w:val="00D534B1"/>
    <w:rsid w:val="00D53A40"/>
    <w:rsid w:val="00D541E8"/>
    <w:rsid w:val="00D54C48"/>
    <w:rsid w:val="00D559E6"/>
    <w:rsid w:val="00D56E66"/>
    <w:rsid w:val="00D57208"/>
    <w:rsid w:val="00D577AA"/>
    <w:rsid w:val="00D57AB1"/>
    <w:rsid w:val="00D57DF3"/>
    <w:rsid w:val="00D57F65"/>
    <w:rsid w:val="00D57FDD"/>
    <w:rsid w:val="00D601A9"/>
    <w:rsid w:val="00D602E8"/>
    <w:rsid w:val="00D63B10"/>
    <w:rsid w:val="00D63F47"/>
    <w:rsid w:val="00D656CB"/>
    <w:rsid w:val="00D66172"/>
    <w:rsid w:val="00D6658B"/>
    <w:rsid w:val="00D70C4A"/>
    <w:rsid w:val="00D71E63"/>
    <w:rsid w:val="00D75457"/>
    <w:rsid w:val="00D80AE9"/>
    <w:rsid w:val="00D80B77"/>
    <w:rsid w:val="00D81061"/>
    <w:rsid w:val="00D81660"/>
    <w:rsid w:val="00D81866"/>
    <w:rsid w:val="00D8268D"/>
    <w:rsid w:val="00D835E1"/>
    <w:rsid w:val="00D84C05"/>
    <w:rsid w:val="00D84C94"/>
    <w:rsid w:val="00D84F35"/>
    <w:rsid w:val="00D850AB"/>
    <w:rsid w:val="00D86BF0"/>
    <w:rsid w:val="00D872CB"/>
    <w:rsid w:val="00D87406"/>
    <w:rsid w:val="00D87484"/>
    <w:rsid w:val="00D87DC1"/>
    <w:rsid w:val="00D90190"/>
    <w:rsid w:val="00D9284F"/>
    <w:rsid w:val="00D93C83"/>
    <w:rsid w:val="00D95186"/>
    <w:rsid w:val="00D95924"/>
    <w:rsid w:val="00D960E3"/>
    <w:rsid w:val="00D968A0"/>
    <w:rsid w:val="00D977D5"/>
    <w:rsid w:val="00DA01D8"/>
    <w:rsid w:val="00DA070E"/>
    <w:rsid w:val="00DA277E"/>
    <w:rsid w:val="00DA2C0B"/>
    <w:rsid w:val="00DA3BD9"/>
    <w:rsid w:val="00DA3CE5"/>
    <w:rsid w:val="00DA4279"/>
    <w:rsid w:val="00DA4977"/>
    <w:rsid w:val="00DA5162"/>
    <w:rsid w:val="00DB159C"/>
    <w:rsid w:val="00DB266A"/>
    <w:rsid w:val="00DB2865"/>
    <w:rsid w:val="00DB2E03"/>
    <w:rsid w:val="00DB3C84"/>
    <w:rsid w:val="00DB5322"/>
    <w:rsid w:val="00DB630B"/>
    <w:rsid w:val="00DB6C55"/>
    <w:rsid w:val="00DB73B4"/>
    <w:rsid w:val="00DB7F65"/>
    <w:rsid w:val="00DC2431"/>
    <w:rsid w:val="00DC263E"/>
    <w:rsid w:val="00DC3899"/>
    <w:rsid w:val="00DC3BC8"/>
    <w:rsid w:val="00DC4DA6"/>
    <w:rsid w:val="00DC51E3"/>
    <w:rsid w:val="00DC6428"/>
    <w:rsid w:val="00DD0FB0"/>
    <w:rsid w:val="00DD100F"/>
    <w:rsid w:val="00DD1B3F"/>
    <w:rsid w:val="00DD1C4B"/>
    <w:rsid w:val="00DD5923"/>
    <w:rsid w:val="00DD599F"/>
    <w:rsid w:val="00DD6427"/>
    <w:rsid w:val="00DD77B1"/>
    <w:rsid w:val="00DD7A5B"/>
    <w:rsid w:val="00DE3E4A"/>
    <w:rsid w:val="00DE4BB3"/>
    <w:rsid w:val="00DE6ABB"/>
    <w:rsid w:val="00DE6E1D"/>
    <w:rsid w:val="00DE75E2"/>
    <w:rsid w:val="00DF19B1"/>
    <w:rsid w:val="00DF25C9"/>
    <w:rsid w:val="00DF37D6"/>
    <w:rsid w:val="00DF3A11"/>
    <w:rsid w:val="00DF4120"/>
    <w:rsid w:val="00DF56CB"/>
    <w:rsid w:val="00E01030"/>
    <w:rsid w:val="00E02351"/>
    <w:rsid w:val="00E03522"/>
    <w:rsid w:val="00E03A42"/>
    <w:rsid w:val="00E042C6"/>
    <w:rsid w:val="00E10594"/>
    <w:rsid w:val="00E10836"/>
    <w:rsid w:val="00E108C6"/>
    <w:rsid w:val="00E11343"/>
    <w:rsid w:val="00E115E5"/>
    <w:rsid w:val="00E116A3"/>
    <w:rsid w:val="00E11DC3"/>
    <w:rsid w:val="00E12333"/>
    <w:rsid w:val="00E13412"/>
    <w:rsid w:val="00E149DD"/>
    <w:rsid w:val="00E14F04"/>
    <w:rsid w:val="00E15796"/>
    <w:rsid w:val="00E16719"/>
    <w:rsid w:val="00E20EC3"/>
    <w:rsid w:val="00E217B8"/>
    <w:rsid w:val="00E21ACA"/>
    <w:rsid w:val="00E21C13"/>
    <w:rsid w:val="00E23336"/>
    <w:rsid w:val="00E25A2E"/>
    <w:rsid w:val="00E3272D"/>
    <w:rsid w:val="00E333BA"/>
    <w:rsid w:val="00E3345A"/>
    <w:rsid w:val="00E335BB"/>
    <w:rsid w:val="00E33B1C"/>
    <w:rsid w:val="00E34121"/>
    <w:rsid w:val="00E34395"/>
    <w:rsid w:val="00E35818"/>
    <w:rsid w:val="00E36930"/>
    <w:rsid w:val="00E4179F"/>
    <w:rsid w:val="00E41E96"/>
    <w:rsid w:val="00E42B60"/>
    <w:rsid w:val="00E42B88"/>
    <w:rsid w:val="00E42D1B"/>
    <w:rsid w:val="00E432E5"/>
    <w:rsid w:val="00E43723"/>
    <w:rsid w:val="00E44C3B"/>
    <w:rsid w:val="00E44E3D"/>
    <w:rsid w:val="00E45F0E"/>
    <w:rsid w:val="00E46A8F"/>
    <w:rsid w:val="00E46E17"/>
    <w:rsid w:val="00E46FD4"/>
    <w:rsid w:val="00E51F1E"/>
    <w:rsid w:val="00E54862"/>
    <w:rsid w:val="00E577A9"/>
    <w:rsid w:val="00E6122C"/>
    <w:rsid w:val="00E615A1"/>
    <w:rsid w:val="00E632CA"/>
    <w:rsid w:val="00E65ACA"/>
    <w:rsid w:val="00E6736D"/>
    <w:rsid w:val="00E6771C"/>
    <w:rsid w:val="00E677A4"/>
    <w:rsid w:val="00E67EA7"/>
    <w:rsid w:val="00E67ECB"/>
    <w:rsid w:val="00E72B74"/>
    <w:rsid w:val="00E73497"/>
    <w:rsid w:val="00E7456B"/>
    <w:rsid w:val="00E746C1"/>
    <w:rsid w:val="00E74805"/>
    <w:rsid w:val="00E750DB"/>
    <w:rsid w:val="00E7554A"/>
    <w:rsid w:val="00E763BE"/>
    <w:rsid w:val="00E76580"/>
    <w:rsid w:val="00E76607"/>
    <w:rsid w:val="00E778A1"/>
    <w:rsid w:val="00E80E85"/>
    <w:rsid w:val="00E813AF"/>
    <w:rsid w:val="00E81FF6"/>
    <w:rsid w:val="00E85E11"/>
    <w:rsid w:val="00E870DD"/>
    <w:rsid w:val="00E9054A"/>
    <w:rsid w:val="00E91E57"/>
    <w:rsid w:val="00E926BC"/>
    <w:rsid w:val="00E93F73"/>
    <w:rsid w:val="00E95335"/>
    <w:rsid w:val="00EA0460"/>
    <w:rsid w:val="00EA0C1C"/>
    <w:rsid w:val="00EA1C12"/>
    <w:rsid w:val="00EA3D7F"/>
    <w:rsid w:val="00EA51C0"/>
    <w:rsid w:val="00EA57DD"/>
    <w:rsid w:val="00EA5FBF"/>
    <w:rsid w:val="00EA6800"/>
    <w:rsid w:val="00EA7329"/>
    <w:rsid w:val="00EB46E9"/>
    <w:rsid w:val="00EB5CD6"/>
    <w:rsid w:val="00EB61B0"/>
    <w:rsid w:val="00EC2F7C"/>
    <w:rsid w:val="00EC3D48"/>
    <w:rsid w:val="00EC5CD7"/>
    <w:rsid w:val="00EC6205"/>
    <w:rsid w:val="00EC65F0"/>
    <w:rsid w:val="00EC70EF"/>
    <w:rsid w:val="00ED128A"/>
    <w:rsid w:val="00ED153D"/>
    <w:rsid w:val="00ED17CE"/>
    <w:rsid w:val="00ED487B"/>
    <w:rsid w:val="00ED58F5"/>
    <w:rsid w:val="00ED6F32"/>
    <w:rsid w:val="00ED7E4E"/>
    <w:rsid w:val="00EE2263"/>
    <w:rsid w:val="00EE2A66"/>
    <w:rsid w:val="00EE4337"/>
    <w:rsid w:val="00EE57B2"/>
    <w:rsid w:val="00EE5F35"/>
    <w:rsid w:val="00EE5F80"/>
    <w:rsid w:val="00EE6255"/>
    <w:rsid w:val="00EE6405"/>
    <w:rsid w:val="00EE6484"/>
    <w:rsid w:val="00EE74CA"/>
    <w:rsid w:val="00EF13BA"/>
    <w:rsid w:val="00EF467E"/>
    <w:rsid w:val="00F00288"/>
    <w:rsid w:val="00F01AC0"/>
    <w:rsid w:val="00F0238C"/>
    <w:rsid w:val="00F04542"/>
    <w:rsid w:val="00F04BF2"/>
    <w:rsid w:val="00F04E01"/>
    <w:rsid w:val="00F05721"/>
    <w:rsid w:val="00F06087"/>
    <w:rsid w:val="00F067EF"/>
    <w:rsid w:val="00F078CA"/>
    <w:rsid w:val="00F116F2"/>
    <w:rsid w:val="00F12DEE"/>
    <w:rsid w:val="00F13367"/>
    <w:rsid w:val="00F135CB"/>
    <w:rsid w:val="00F136A6"/>
    <w:rsid w:val="00F146FE"/>
    <w:rsid w:val="00F14B99"/>
    <w:rsid w:val="00F1596F"/>
    <w:rsid w:val="00F17A79"/>
    <w:rsid w:val="00F21AEA"/>
    <w:rsid w:val="00F21D4F"/>
    <w:rsid w:val="00F21F09"/>
    <w:rsid w:val="00F22D3B"/>
    <w:rsid w:val="00F262B6"/>
    <w:rsid w:val="00F268D4"/>
    <w:rsid w:val="00F2699B"/>
    <w:rsid w:val="00F269C2"/>
    <w:rsid w:val="00F273A6"/>
    <w:rsid w:val="00F30393"/>
    <w:rsid w:val="00F31176"/>
    <w:rsid w:val="00F34792"/>
    <w:rsid w:val="00F35A1F"/>
    <w:rsid w:val="00F35B9D"/>
    <w:rsid w:val="00F36600"/>
    <w:rsid w:val="00F36EA0"/>
    <w:rsid w:val="00F3768F"/>
    <w:rsid w:val="00F37868"/>
    <w:rsid w:val="00F40978"/>
    <w:rsid w:val="00F42346"/>
    <w:rsid w:val="00F426C3"/>
    <w:rsid w:val="00F42876"/>
    <w:rsid w:val="00F42E18"/>
    <w:rsid w:val="00F444FD"/>
    <w:rsid w:val="00F44567"/>
    <w:rsid w:val="00F45101"/>
    <w:rsid w:val="00F452C6"/>
    <w:rsid w:val="00F45C2D"/>
    <w:rsid w:val="00F50C6B"/>
    <w:rsid w:val="00F51A34"/>
    <w:rsid w:val="00F520E2"/>
    <w:rsid w:val="00F5237D"/>
    <w:rsid w:val="00F527AF"/>
    <w:rsid w:val="00F53C31"/>
    <w:rsid w:val="00F53E9C"/>
    <w:rsid w:val="00F54BD8"/>
    <w:rsid w:val="00F5509B"/>
    <w:rsid w:val="00F55A2F"/>
    <w:rsid w:val="00F55D76"/>
    <w:rsid w:val="00F57830"/>
    <w:rsid w:val="00F57D67"/>
    <w:rsid w:val="00F608D8"/>
    <w:rsid w:val="00F61882"/>
    <w:rsid w:val="00F619D6"/>
    <w:rsid w:val="00F632C4"/>
    <w:rsid w:val="00F66809"/>
    <w:rsid w:val="00F66EB5"/>
    <w:rsid w:val="00F6734B"/>
    <w:rsid w:val="00F712F6"/>
    <w:rsid w:val="00F718FB"/>
    <w:rsid w:val="00F72993"/>
    <w:rsid w:val="00F73B58"/>
    <w:rsid w:val="00F74172"/>
    <w:rsid w:val="00F74693"/>
    <w:rsid w:val="00F762AA"/>
    <w:rsid w:val="00F763A6"/>
    <w:rsid w:val="00F8033E"/>
    <w:rsid w:val="00F81C4A"/>
    <w:rsid w:val="00F8315C"/>
    <w:rsid w:val="00F83357"/>
    <w:rsid w:val="00F83505"/>
    <w:rsid w:val="00F852D0"/>
    <w:rsid w:val="00F87167"/>
    <w:rsid w:val="00F902C8"/>
    <w:rsid w:val="00F9053D"/>
    <w:rsid w:val="00F90780"/>
    <w:rsid w:val="00F908F8"/>
    <w:rsid w:val="00F90BA8"/>
    <w:rsid w:val="00F91828"/>
    <w:rsid w:val="00F96916"/>
    <w:rsid w:val="00F96E5A"/>
    <w:rsid w:val="00F971F9"/>
    <w:rsid w:val="00F97D41"/>
    <w:rsid w:val="00FA0242"/>
    <w:rsid w:val="00FA02EF"/>
    <w:rsid w:val="00FA0665"/>
    <w:rsid w:val="00FA1F15"/>
    <w:rsid w:val="00FA2AD9"/>
    <w:rsid w:val="00FA314D"/>
    <w:rsid w:val="00FA32E2"/>
    <w:rsid w:val="00FA4F23"/>
    <w:rsid w:val="00FA51CE"/>
    <w:rsid w:val="00FA6355"/>
    <w:rsid w:val="00FA6451"/>
    <w:rsid w:val="00FA7598"/>
    <w:rsid w:val="00FA7EB2"/>
    <w:rsid w:val="00FB03E1"/>
    <w:rsid w:val="00FB1515"/>
    <w:rsid w:val="00FB2367"/>
    <w:rsid w:val="00FB2A8C"/>
    <w:rsid w:val="00FB2BC1"/>
    <w:rsid w:val="00FB3D77"/>
    <w:rsid w:val="00FB6B47"/>
    <w:rsid w:val="00FB6F8F"/>
    <w:rsid w:val="00FC0C52"/>
    <w:rsid w:val="00FC1281"/>
    <w:rsid w:val="00FC2095"/>
    <w:rsid w:val="00FC6105"/>
    <w:rsid w:val="00FC6CF7"/>
    <w:rsid w:val="00FC708A"/>
    <w:rsid w:val="00FD0096"/>
    <w:rsid w:val="00FD1B37"/>
    <w:rsid w:val="00FD2AE9"/>
    <w:rsid w:val="00FD7D16"/>
    <w:rsid w:val="00FE034E"/>
    <w:rsid w:val="00FE1F75"/>
    <w:rsid w:val="00FE4F08"/>
    <w:rsid w:val="00FE6B0C"/>
    <w:rsid w:val="00FF4A0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72E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CCD"/>
    <w:pPr>
      <w:bidi/>
      <w:spacing w:line="360" w:lineRule="auto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ListParagraph">
    <w:name w:val="List Paragraph"/>
    <w:basedOn w:val="Normal"/>
    <w:uiPriority w:val="34"/>
    <w:qFormat/>
    <w:rsid w:val="009F5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9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9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509B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9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948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FootnoteText">
    <w:name w:val="footnote text"/>
    <w:basedOn w:val="Normal"/>
    <w:link w:val="FootnoteTextChar"/>
    <w:semiHidden/>
    <w:unhideWhenUsed/>
    <w:rsid w:val="003179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FootnoteReference">
    <w:name w:val="footnote reference"/>
    <w:basedOn w:val="DefaultParagraphFont"/>
    <w:semiHidden/>
    <w:unhideWhenUsed/>
    <w:rsid w:val="0031794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0AE3"/>
    <w:pPr>
      <w:bidi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0AE3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8314F"/>
    <w:pPr>
      <w:bidi/>
      <w:spacing w:line="360" w:lineRule="auto"/>
      <w:ind w:right="-10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8314F"/>
    <w:rPr>
      <w:rFonts w:ascii="Arial" w:eastAsia="Times New Roman" w:hAnsi="Arial" w:cs="Arial"/>
      <w:b/>
      <w:bCs/>
      <w:sz w:val="28"/>
      <w:szCs w:val="28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7A3CCD"/>
    <w:rPr>
      <w:rFonts w:ascii="Arial" w:eastAsia="Times New Roman" w:hAnsi="Arial" w:cs="Arial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i.org.il/publications/regularpublications/statistic_bulletin/bulletin2025/" TargetMode="External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53D7-FACA-4E8F-8253-FD27259D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894</Words>
  <Characters>4474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2026-03-22T08:24:00Z</dcterms:created>
  <dcterms:modified xsi:type="dcterms:W3CDTF">2026-03-22T08:24:00Z</dcterms:modified>
</cp:coreProperties>
</file>