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621EE8">
              <w:rPr>
                <w:rFonts w:asciiTheme="minorHAnsi" w:hAnsiTheme="minorHAnsi" w:cstheme="minorHAnsi"/>
                <w:noProof/>
                <w:rtl/>
              </w:rPr>
              <w:t>‏ט"ו תמוז,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621EE8">
              <w:rPr>
                <w:rFonts w:asciiTheme="minorHAnsi" w:hAnsiTheme="minorHAnsi" w:cstheme="minorHAnsi"/>
                <w:noProof/>
                <w:rtl/>
              </w:rPr>
              <w:t>‏30 יוני,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621EE8" w:rsidRPr="00621EE8" w:rsidRDefault="00621EE8" w:rsidP="00621EE8">
      <w:pPr>
        <w:jc w:val="center"/>
        <w:rPr>
          <w:rFonts w:asciiTheme="minorHAnsi" w:hAnsiTheme="minorHAnsi" w:cstheme="minorHAnsi"/>
          <w:b/>
          <w:bCs/>
          <w:sz w:val="28"/>
          <w:szCs w:val="28"/>
        </w:rPr>
      </w:pPr>
      <w:r w:rsidRPr="00621EE8">
        <w:rPr>
          <w:rFonts w:asciiTheme="minorHAnsi" w:hAnsiTheme="minorHAnsi" w:cstheme="minorHAnsi"/>
          <w:b/>
          <w:bCs/>
          <w:sz w:val="28"/>
          <w:szCs w:val="28"/>
          <w:rtl/>
        </w:rPr>
        <w:t xml:space="preserve">צעד משמעותי לקידום כניסת שחקנים חדשים למערכת הבנקאית: </w:t>
      </w:r>
      <w:bookmarkStart w:id="0" w:name="_GoBack"/>
      <w:r w:rsidRPr="00621EE8">
        <w:rPr>
          <w:rFonts w:asciiTheme="minorHAnsi" w:hAnsiTheme="minorHAnsi" w:cstheme="minorHAnsi"/>
          <w:b/>
          <w:bCs/>
          <w:sz w:val="28"/>
          <w:szCs w:val="28"/>
          <w:rtl/>
        </w:rPr>
        <w:t>הפיקוח על הבנקים מפרסם הוראת ניהול בנקאי תקין חדשה העוסקת בהתאמות לבנקים קטנים וחדשים</w:t>
      </w:r>
      <w:bookmarkEnd w:id="0"/>
    </w:p>
    <w:p w:rsidR="00621EE8" w:rsidRPr="00621EE8" w:rsidRDefault="00621EE8" w:rsidP="00621EE8">
      <w:pPr>
        <w:spacing w:before="120" w:after="120"/>
        <w:jc w:val="right"/>
        <w:rPr>
          <w:rFonts w:asciiTheme="minorHAnsi" w:hAnsiTheme="minorHAnsi" w:cstheme="minorHAnsi"/>
        </w:rPr>
      </w:pPr>
      <w:r w:rsidRPr="00621EE8">
        <w:rPr>
          <w:rFonts w:asciiTheme="minorHAnsi" w:hAnsiTheme="minorHAnsi" w:cstheme="minorHAnsi"/>
          <w:rtl/>
        </w:rPr>
        <w:t>הפיקוח על הבנקים פרסם היום הוראת ניהול בנקאי תקין חדשה שמספרה 490, בנושא "מסגרת פיקוחית לבנקים קטנים וחדשים". ההוראה מתאימה את דרישות האסדרה והפיקוח להיקף פעילותו של התאגיד הבנקאי ולחשיבותו המערכתית, תוך שמירה על יציבות המערכת הבנקאית, הוגנות כלפי הלקוחות ומתן שירות נאות. ההוראה גובשה בהמשך להליך החקיקה להגברת התחרות במערכת הבנקאית למגזר הקמעונאי, שהתבצע בשיתוף עם משרד האוצר, ומהווה צעד משמעותי במהלכי בנק ישראל להסרת חסמי כניסה ולעידוד כניסתם של שחקנים חדשים למערכת הבנקאית</w:t>
      </w:r>
      <w:r w:rsidRPr="00621EE8">
        <w:rPr>
          <w:rFonts w:asciiTheme="minorHAnsi" w:hAnsiTheme="minorHAnsi" w:cstheme="minorHAnsi"/>
        </w:rPr>
        <w:t>.</w:t>
      </w:r>
    </w:p>
    <w:p w:rsidR="00621EE8" w:rsidRPr="00621EE8" w:rsidRDefault="00621EE8" w:rsidP="00621EE8">
      <w:pPr>
        <w:spacing w:before="120" w:after="120"/>
        <w:jc w:val="right"/>
        <w:rPr>
          <w:rFonts w:asciiTheme="minorHAnsi" w:hAnsiTheme="minorHAnsi" w:cstheme="minorHAnsi"/>
          <w:rtl/>
        </w:rPr>
      </w:pPr>
      <w:r w:rsidRPr="00621EE8">
        <w:rPr>
          <w:rFonts w:asciiTheme="minorHAnsi" w:hAnsiTheme="minorHAnsi" w:cstheme="minorHAnsi"/>
          <w:b/>
          <w:bCs/>
          <w:rtl/>
        </w:rPr>
        <w:t>דני חחיאשוילי, המפקח על הבנקים בבנק ישראל</w:t>
      </w:r>
      <w:r w:rsidRPr="00621EE8">
        <w:rPr>
          <w:rFonts w:asciiTheme="minorHAnsi" w:hAnsiTheme="minorHAnsi" w:cstheme="minorHAnsi"/>
          <w:rtl/>
        </w:rPr>
        <w:t>: "פרסום ההוראה מהווה בשורה משמעותית לציבור בישראל, וצפוי לתמוך בכניסתם של בנקים חדשים למערכת, אשר יציעו מוצרים ושירותים חדשניים ויתרמו להגברת התחרות במערכת הבנקאית</w:t>
      </w:r>
      <w:r w:rsidRPr="00621EE8">
        <w:rPr>
          <w:rFonts w:asciiTheme="minorHAnsi" w:hAnsiTheme="minorHAnsi" w:cstheme="minorHAnsi"/>
        </w:rPr>
        <w:t>.</w:t>
      </w:r>
      <w:r w:rsidRPr="00621EE8">
        <w:rPr>
          <w:rFonts w:asciiTheme="minorHAnsi" w:hAnsiTheme="minorHAnsi" w:cstheme="minorHAnsi"/>
          <w:rtl/>
        </w:rPr>
        <w:t xml:space="preserve"> הפיקוח על הבנקים ימשיך לפעול לקידום סביבה רגולטורית מאוזנת, המעודדת תחרות וחדשנות במערכת הבנקאית, לצד הגנה על כספי המפקידים ושמירה על יציבות המערכת הבנקאית".</w:t>
      </w:r>
    </w:p>
    <w:p w:rsidR="00621EE8" w:rsidRPr="00621EE8" w:rsidRDefault="00621EE8" w:rsidP="00621EE8">
      <w:pPr>
        <w:spacing w:before="120" w:after="120"/>
        <w:jc w:val="right"/>
        <w:rPr>
          <w:rFonts w:asciiTheme="minorHAnsi" w:hAnsiTheme="minorHAnsi" w:cstheme="minorHAnsi"/>
          <w:rtl/>
        </w:rPr>
      </w:pPr>
      <w:r w:rsidRPr="00621EE8">
        <w:rPr>
          <w:rFonts w:asciiTheme="minorHAnsi" w:hAnsiTheme="minorHAnsi" w:cstheme="minorHAnsi"/>
          <w:rtl/>
        </w:rPr>
        <w:t>ההוראה מאמצת גישה פיקוחית מדורגת בהתאם לעקרון המידתיות של ועדת באזל. ההוראה מחליפה את הוראת ניהול בנקאי תקין מספר 480, שפורסמה בשנת 2020 ועסקה בהתאמות לתאגיד בנקאי חדש ולתאגיד בנקאי בהקמה, מרחיבה את היקף ההתאמות שניתנו עד כה, ומחילה מסגרת רחבה ומקיפה יותר שתחול גם על בנקים קיימים בהתאם למאפייניהם</w:t>
      </w:r>
      <w:r w:rsidRPr="00621EE8">
        <w:rPr>
          <w:rFonts w:asciiTheme="minorHAnsi" w:hAnsiTheme="minorHAnsi" w:cstheme="minorHAnsi"/>
        </w:rPr>
        <w:t>.</w:t>
      </w:r>
      <w:r w:rsidRPr="00621EE8">
        <w:rPr>
          <w:rFonts w:asciiTheme="minorHAnsi" w:hAnsiTheme="minorHAnsi" w:cstheme="minorHAnsi"/>
          <w:rtl/>
        </w:rPr>
        <w:t xml:space="preserve"> </w:t>
      </w:r>
    </w:p>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b/>
          <w:bCs/>
          <w:rtl/>
        </w:rPr>
        <w:t>מדרגות הקבע הפיקוחיות שנקבעו בהוראה</w:t>
      </w:r>
      <w:r w:rsidRPr="00621EE8">
        <w:rPr>
          <w:rFonts w:asciiTheme="minorHAnsi" w:hAnsiTheme="minorHAnsi" w:cstheme="minorHAnsi"/>
          <w:rtl/>
        </w:rPr>
        <w:t>:</w:t>
      </w:r>
    </w:p>
    <w:tbl>
      <w:tblPr>
        <w:tblStyle w:val="ListTable3-Accent1"/>
        <w:bidiVisual/>
        <w:tblW w:w="7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713"/>
        <w:gridCol w:w="2977"/>
        <w:gridCol w:w="2982"/>
      </w:tblGrid>
      <w:tr w:rsidR="00621EE8" w:rsidRPr="00621EE8" w:rsidTr="006F461F">
        <w:trPr>
          <w:cnfStyle w:val="100000000000" w:firstRow="1" w:lastRow="0" w:firstColumn="0" w:lastColumn="0" w:oddVBand="0" w:evenVBand="0" w:oddHBand="0" w:evenHBand="0" w:firstRowFirstColumn="0" w:firstRowLastColumn="0" w:lastRowFirstColumn="0" w:lastRowLastColumn="0"/>
          <w:trHeight w:val="1400"/>
          <w:jc w:val="center"/>
        </w:trPr>
        <w:tc>
          <w:tcPr>
            <w:tcW w:w="1713" w:type="dxa"/>
            <w:shd w:val="clear" w:color="auto" w:fill="004D82"/>
            <w:vAlign w:val="center"/>
            <w:hideMark/>
          </w:tcPr>
          <w:p w:rsidR="00621EE8" w:rsidRPr="00621EE8" w:rsidRDefault="00621EE8" w:rsidP="00621EE8">
            <w:pPr>
              <w:jc w:val="right"/>
              <w:rPr>
                <w:rFonts w:asciiTheme="minorHAnsi" w:hAnsiTheme="minorHAnsi" w:cstheme="minorHAnsi"/>
              </w:rPr>
            </w:pPr>
            <w:r w:rsidRPr="00621EE8">
              <w:rPr>
                <w:rFonts w:asciiTheme="minorHAnsi" w:hAnsiTheme="minorHAnsi" w:cstheme="minorHAnsi"/>
                <w:rtl/>
              </w:rPr>
              <w:t>המדרגה</w:t>
            </w:r>
          </w:p>
        </w:tc>
        <w:tc>
          <w:tcPr>
            <w:tcW w:w="2977" w:type="dxa"/>
            <w:shd w:val="clear" w:color="auto" w:fill="004D82"/>
            <w:vAlign w:val="center"/>
            <w:hideMark/>
          </w:tcPr>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rtl/>
              </w:rPr>
              <w:t>הגבלה בהתאם להיקף הנכסים</w:t>
            </w:r>
          </w:p>
        </w:tc>
        <w:tc>
          <w:tcPr>
            <w:tcW w:w="2982" w:type="dxa"/>
            <w:shd w:val="clear" w:color="auto" w:fill="004D82"/>
            <w:vAlign w:val="center"/>
            <w:hideMark/>
          </w:tcPr>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rtl/>
              </w:rPr>
              <w:t>מעבר למדרגת קבע הבאה</w:t>
            </w:r>
          </w:p>
        </w:tc>
      </w:tr>
      <w:tr w:rsidR="00621EE8" w:rsidRPr="00621EE8" w:rsidTr="006F461F">
        <w:trPr>
          <w:cnfStyle w:val="000000100000" w:firstRow="0" w:lastRow="0" w:firstColumn="0" w:lastColumn="0" w:oddVBand="0" w:evenVBand="0" w:oddHBand="1" w:evenHBand="0" w:firstRowFirstColumn="0" w:firstRowLastColumn="0" w:lastRowFirstColumn="0" w:lastRowLastColumn="0"/>
          <w:trHeight w:val="463"/>
          <w:jc w:val="center"/>
        </w:trPr>
        <w:tc>
          <w:tcPr>
            <w:tcW w:w="1713" w:type="dxa"/>
            <w:tcBorders>
              <w:top w:val="none" w:sz="0" w:space="0" w:color="auto"/>
              <w:bottom w:val="none" w:sz="0" w:space="0" w:color="auto"/>
            </w:tcBorders>
            <w:vAlign w:val="center"/>
            <w:hideMark/>
          </w:tcPr>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b/>
                <w:bCs/>
                <w:rtl/>
              </w:rPr>
              <w:t>מדרגת קבע 1</w:t>
            </w:r>
          </w:p>
        </w:tc>
        <w:tc>
          <w:tcPr>
            <w:tcW w:w="2977" w:type="dxa"/>
            <w:tcBorders>
              <w:top w:val="none" w:sz="0" w:space="0" w:color="auto"/>
              <w:bottom w:val="none" w:sz="0" w:space="0" w:color="auto"/>
            </w:tcBorders>
            <w:vAlign w:val="center"/>
            <w:hideMark/>
          </w:tcPr>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rtl/>
              </w:rPr>
              <w:t xml:space="preserve">סך הנכסים של הבנק מגיע עד 15 מיליארד ש"ח. </w:t>
            </w:r>
          </w:p>
        </w:tc>
        <w:tc>
          <w:tcPr>
            <w:tcW w:w="2982" w:type="dxa"/>
            <w:tcBorders>
              <w:top w:val="none" w:sz="0" w:space="0" w:color="auto"/>
              <w:bottom w:val="none" w:sz="0" w:space="0" w:color="auto"/>
            </w:tcBorders>
            <w:vAlign w:val="center"/>
            <w:hideMark/>
          </w:tcPr>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rtl/>
              </w:rPr>
              <w:t>כאשר סך הנכסים של הבנק מגיע ל-15 מיליארד ש"ח, המפקח ישקול לתת לבנק תקופת מעבר למדרגת קבע 2 לתקופה של עד שנתיים.</w:t>
            </w:r>
          </w:p>
        </w:tc>
      </w:tr>
      <w:tr w:rsidR="00621EE8" w:rsidRPr="00621EE8" w:rsidTr="006F461F">
        <w:trPr>
          <w:trHeight w:val="413"/>
          <w:jc w:val="center"/>
        </w:trPr>
        <w:tc>
          <w:tcPr>
            <w:tcW w:w="1713" w:type="dxa"/>
            <w:vAlign w:val="center"/>
            <w:hideMark/>
          </w:tcPr>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b/>
                <w:bCs/>
                <w:rtl/>
              </w:rPr>
              <w:t>מדרגת קבע 2</w:t>
            </w:r>
          </w:p>
        </w:tc>
        <w:tc>
          <w:tcPr>
            <w:tcW w:w="2977" w:type="dxa"/>
            <w:vAlign w:val="center"/>
            <w:hideMark/>
          </w:tcPr>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rtl/>
              </w:rPr>
              <w:t xml:space="preserve">סך הנכסים של הבנק עולה על 15 מיליארד ש"ח ונמוך מ-50 מיליארד ש"ח. </w:t>
            </w:r>
          </w:p>
        </w:tc>
        <w:tc>
          <w:tcPr>
            <w:tcW w:w="2982" w:type="dxa"/>
            <w:vAlign w:val="center"/>
            <w:hideMark/>
          </w:tcPr>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rtl/>
              </w:rPr>
              <w:t>כאשר סך הנכסים של הבנק מגיע ל-50 מיליארד ש"ח, המפקח ישקול לתת לבנק תקופת מעבר למדרגת קבע 3 לתקופה של עד שנתיים.</w:t>
            </w:r>
          </w:p>
        </w:tc>
      </w:tr>
      <w:tr w:rsidR="00621EE8" w:rsidRPr="00621EE8" w:rsidTr="006F461F">
        <w:trPr>
          <w:cnfStyle w:val="000000100000" w:firstRow="0" w:lastRow="0" w:firstColumn="0" w:lastColumn="0" w:oddVBand="0" w:evenVBand="0" w:oddHBand="1" w:evenHBand="0" w:firstRowFirstColumn="0" w:firstRowLastColumn="0" w:lastRowFirstColumn="0" w:lastRowLastColumn="0"/>
          <w:trHeight w:val="418"/>
          <w:jc w:val="center"/>
        </w:trPr>
        <w:tc>
          <w:tcPr>
            <w:tcW w:w="1713" w:type="dxa"/>
            <w:tcBorders>
              <w:top w:val="none" w:sz="0" w:space="0" w:color="auto"/>
              <w:bottom w:val="none" w:sz="0" w:space="0" w:color="auto"/>
            </w:tcBorders>
            <w:vAlign w:val="center"/>
            <w:hideMark/>
          </w:tcPr>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b/>
                <w:bCs/>
                <w:rtl/>
              </w:rPr>
              <w:lastRenderedPageBreak/>
              <w:t>מדרגת קבע 3</w:t>
            </w:r>
          </w:p>
        </w:tc>
        <w:tc>
          <w:tcPr>
            <w:tcW w:w="2977" w:type="dxa"/>
            <w:tcBorders>
              <w:top w:val="none" w:sz="0" w:space="0" w:color="auto"/>
              <w:bottom w:val="none" w:sz="0" w:space="0" w:color="auto"/>
            </w:tcBorders>
            <w:vAlign w:val="center"/>
            <w:hideMark/>
          </w:tcPr>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rtl/>
              </w:rPr>
              <w:t xml:space="preserve">סך הנכסים של הבנק עולה על 50 מיליארד ש"ח. </w:t>
            </w:r>
          </w:p>
        </w:tc>
        <w:tc>
          <w:tcPr>
            <w:tcW w:w="2982" w:type="dxa"/>
            <w:tcBorders>
              <w:top w:val="none" w:sz="0" w:space="0" w:color="auto"/>
              <w:bottom w:val="none" w:sz="0" w:space="0" w:color="auto"/>
            </w:tcBorders>
            <w:vAlign w:val="center"/>
            <w:hideMark/>
          </w:tcPr>
          <w:p w:rsidR="00621EE8" w:rsidRPr="00621EE8" w:rsidRDefault="00621EE8" w:rsidP="00621EE8">
            <w:pPr>
              <w:jc w:val="right"/>
              <w:rPr>
                <w:rFonts w:asciiTheme="minorHAnsi" w:hAnsiTheme="minorHAnsi" w:cstheme="minorHAnsi"/>
                <w:rtl/>
              </w:rPr>
            </w:pPr>
          </w:p>
        </w:tc>
      </w:tr>
    </w:tbl>
    <w:p w:rsidR="00621EE8" w:rsidRPr="00621EE8" w:rsidRDefault="00621EE8" w:rsidP="00621EE8">
      <w:pPr>
        <w:jc w:val="right"/>
        <w:rPr>
          <w:rFonts w:asciiTheme="minorHAnsi" w:hAnsiTheme="minorHAnsi" w:cstheme="minorHAnsi"/>
          <w:rtl/>
        </w:rPr>
      </w:pPr>
    </w:p>
    <w:p w:rsidR="00621EE8" w:rsidRPr="00621EE8" w:rsidRDefault="00621EE8" w:rsidP="00621EE8">
      <w:pPr>
        <w:spacing w:before="120" w:after="120"/>
        <w:jc w:val="right"/>
        <w:rPr>
          <w:rFonts w:asciiTheme="minorHAnsi" w:hAnsiTheme="minorHAnsi" w:cstheme="minorHAnsi"/>
          <w:rtl/>
        </w:rPr>
      </w:pPr>
      <w:r w:rsidRPr="00621EE8">
        <w:rPr>
          <w:rFonts w:asciiTheme="minorHAnsi" w:hAnsiTheme="minorHAnsi" w:cstheme="minorHAnsi"/>
          <w:rtl/>
        </w:rPr>
        <w:t>בנוסף, ההוראה כוללת שלב היערכות לבנק חדש שקיבל רישיון, במטרה לאפשר יישום הדרגתי של הדרישות הרגולטוריות החלות עליו בהתאם למפורט בטבלה שלהלן:</w:t>
      </w:r>
    </w:p>
    <w:tbl>
      <w:tblPr>
        <w:bidiVisual/>
        <w:tblW w:w="8785" w:type="dxa"/>
        <w:tblInd w:w="2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560"/>
        <w:gridCol w:w="1985"/>
        <w:gridCol w:w="2410"/>
        <w:gridCol w:w="2830"/>
      </w:tblGrid>
      <w:tr w:rsidR="00621EE8" w:rsidRPr="00621EE8" w:rsidTr="006F461F">
        <w:trPr>
          <w:trHeight w:val="468"/>
        </w:trPr>
        <w:tc>
          <w:tcPr>
            <w:tcW w:w="1560" w:type="dxa"/>
            <w:shd w:val="clear" w:color="auto" w:fill="004D82"/>
            <w:tcMar>
              <w:top w:w="72" w:type="dxa"/>
              <w:left w:w="144" w:type="dxa"/>
              <w:bottom w:w="72" w:type="dxa"/>
              <w:right w:w="144" w:type="dxa"/>
            </w:tcMar>
            <w:vAlign w:val="center"/>
            <w:hideMark/>
          </w:tcPr>
          <w:p w:rsidR="00621EE8" w:rsidRPr="00621EE8" w:rsidRDefault="00621EE8" w:rsidP="00621EE8">
            <w:pPr>
              <w:jc w:val="right"/>
              <w:rPr>
                <w:rFonts w:asciiTheme="minorHAnsi" w:hAnsiTheme="minorHAnsi" w:cstheme="minorHAnsi"/>
              </w:rPr>
            </w:pPr>
            <w:r w:rsidRPr="00621EE8">
              <w:rPr>
                <w:rFonts w:asciiTheme="minorHAnsi" w:hAnsiTheme="minorHAnsi" w:cstheme="minorHAnsi"/>
                <w:b/>
                <w:bCs/>
                <w:rtl/>
              </w:rPr>
              <w:t>השלב</w:t>
            </w:r>
          </w:p>
        </w:tc>
        <w:tc>
          <w:tcPr>
            <w:tcW w:w="1985" w:type="dxa"/>
            <w:shd w:val="clear" w:color="auto" w:fill="004D82"/>
            <w:tcMar>
              <w:top w:w="72" w:type="dxa"/>
              <w:left w:w="144" w:type="dxa"/>
              <w:bottom w:w="72" w:type="dxa"/>
              <w:right w:w="144" w:type="dxa"/>
            </w:tcMar>
            <w:vAlign w:val="center"/>
            <w:hideMark/>
          </w:tcPr>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b/>
                <w:bCs/>
                <w:rtl/>
              </w:rPr>
              <w:t>על מי חל</w:t>
            </w:r>
          </w:p>
        </w:tc>
        <w:tc>
          <w:tcPr>
            <w:tcW w:w="2410" w:type="dxa"/>
            <w:shd w:val="clear" w:color="auto" w:fill="004D82"/>
            <w:tcMar>
              <w:top w:w="72" w:type="dxa"/>
              <w:left w:w="144" w:type="dxa"/>
              <w:bottom w:w="72" w:type="dxa"/>
              <w:right w:w="144" w:type="dxa"/>
            </w:tcMar>
            <w:vAlign w:val="center"/>
            <w:hideMark/>
          </w:tcPr>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b/>
                <w:bCs/>
                <w:rtl/>
              </w:rPr>
              <w:t>הגבלות על הפעילות</w:t>
            </w:r>
          </w:p>
        </w:tc>
        <w:tc>
          <w:tcPr>
            <w:tcW w:w="2830" w:type="dxa"/>
            <w:shd w:val="clear" w:color="auto" w:fill="004D82"/>
            <w:tcMar>
              <w:top w:w="72" w:type="dxa"/>
              <w:left w:w="144" w:type="dxa"/>
              <w:bottom w:w="72" w:type="dxa"/>
              <w:right w:w="144" w:type="dxa"/>
            </w:tcMar>
            <w:vAlign w:val="center"/>
            <w:hideMark/>
          </w:tcPr>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b/>
                <w:bCs/>
                <w:rtl/>
              </w:rPr>
              <w:t>הגבלה על משך הזמן</w:t>
            </w:r>
          </w:p>
        </w:tc>
      </w:tr>
      <w:tr w:rsidR="00621EE8" w:rsidRPr="00621EE8" w:rsidTr="006F461F">
        <w:trPr>
          <w:trHeight w:val="755"/>
        </w:trPr>
        <w:tc>
          <w:tcPr>
            <w:tcW w:w="1560" w:type="dxa"/>
            <w:shd w:val="clear" w:color="auto" w:fill="FFFFFF" w:themeFill="background1"/>
            <w:tcMar>
              <w:top w:w="72" w:type="dxa"/>
              <w:left w:w="144" w:type="dxa"/>
              <w:bottom w:w="72" w:type="dxa"/>
              <w:right w:w="144" w:type="dxa"/>
            </w:tcMar>
            <w:vAlign w:val="center"/>
            <w:hideMark/>
          </w:tcPr>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b/>
                <w:bCs/>
                <w:rtl/>
              </w:rPr>
              <w:t>שלב היערכות למדרגת קבע 1</w:t>
            </w:r>
          </w:p>
        </w:tc>
        <w:tc>
          <w:tcPr>
            <w:tcW w:w="1985" w:type="dxa"/>
            <w:shd w:val="clear" w:color="auto" w:fill="FFFFFF" w:themeFill="background1"/>
            <w:tcMar>
              <w:top w:w="72" w:type="dxa"/>
              <w:left w:w="144" w:type="dxa"/>
              <w:bottom w:w="72" w:type="dxa"/>
              <w:right w:w="144" w:type="dxa"/>
            </w:tcMar>
            <w:vAlign w:val="center"/>
            <w:hideMark/>
          </w:tcPr>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rtl/>
              </w:rPr>
              <w:t>תאגיד שקיבל רישיון בנק ועתיד להיכנס למדרגת קבע 1.</w:t>
            </w:r>
          </w:p>
        </w:tc>
        <w:tc>
          <w:tcPr>
            <w:tcW w:w="2410" w:type="dxa"/>
            <w:shd w:val="clear" w:color="auto" w:fill="FFFFFF" w:themeFill="background1"/>
            <w:tcMar>
              <w:top w:w="72" w:type="dxa"/>
              <w:left w:w="144" w:type="dxa"/>
              <w:bottom w:w="72" w:type="dxa"/>
              <w:right w:w="144" w:type="dxa"/>
            </w:tcMar>
            <w:vAlign w:val="center"/>
            <w:hideMark/>
          </w:tcPr>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rtl/>
              </w:rPr>
              <w:t>סך הנכסים של הבנק מגיע עד 15 מיליארד ש"ח, וסך הפיקדונות של הבנק מגיע עד 2 מיליארד ש"ח.</w:t>
            </w:r>
          </w:p>
        </w:tc>
        <w:tc>
          <w:tcPr>
            <w:tcW w:w="2830" w:type="dxa"/>
            <w:shd w:val="clear" w:color="auto" w:fill="FFFFFF" w:themeFill="background1"/>
            <w:tcMar>
              <w:top w:w="72" w:type="dxa"/>
              <w:left w:w="144" w:type="dxa"/>
              <w:bottom w:w="72" w:type="dxa"/>
              <w:right w:w="144" w:type="dxa"/>
            </w:tcMar>
            <w:vAlign w:val="center"/>
            <w:hideMark/>
          </w:tcPr>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rtl/>
              </w:rPr>
              <w:t xml:space="preserve">השלב יימשך עד 3 שנים. </w:t>
            </w:r>
          </w:p>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rtl/>
              </w:rPr>
              <w:t>המפקח ישקול להאריך את השלב עד שנתיים נוספות, ובלבד שהיקף הפיקדונות לא יעלה על 5 מיליארד ש"ח.</w:t>
            </w:r>
          </w:p>
        </w:tc>
      </w:tr>
      <w:tr w:rsidR="00621EE8" w:rsidRPr="00621EE8" w:rsidTr="006F461F">
        <w:trPr>
          <w:trHeight w:val="923"/>
        </w:trPr>
        <w:tc>
          <w:tcPr>
            <w:tcW w:w="1560" w:type="dxa"/>
            <w:shd w:val="clear" w:color="auto" w:fill="FFFFFF" w:themeFill="background1"/>
            <w:tcMar>
              <w:top w:w="72" w:type="dxa"/>
              <w:left w:w="144" w:type="dxa"/>
              <w:bottom w:w="72" w:type="dxa"/>
              <w:right w:w="144" w:type="dxa"/>
            </w:tcMar>
            <w:vAlign w:val="center"/>
            <w:hideMark/>
          </w:tcPr>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b/>
                <w:bCs/>
                <w:rtl/>
              </w:rPr>
              <w:t>שלב היערכות למדרגת קבע 2</w:t>
            </w:r>
          </w:p>
        </w:tc>
        <w:tc>
          <w:tcPr>
            <w:tcW w:w="1985" w:type="dxa"/>
            <w:shd w:val="clear" w:color="auto" w:fill="FFFFFF" w:themeFill="background1"/>
            <w:tcMar>
              <w:top w:w="72" w:type="dxa"/>
              <w:left w:w="144" w:type="dxa"/>
              <w:bottom w:w="72" w:type="dxa"/>
              <w:right w:w="144" w:type="dxa"/>
            </w:tcMar>
            <w:vAlign w:val="center"/>
            <w:hideMark/>
          </w:tcPr>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rtl/>
              </w:rPr>
              <w:t>תאגיד שקיבל רישיון בנק ועתיד להיכנס למדרגת קבע 2.</w:t>
            </w:r>
          </w:p>
        </w:tc>
        <w:tc>
          <w:tcPr>
            <w:tcW w:w="2410" w:type="dxa"/>
            <w:shd w:val="clear" w:color="auto" w:fill="FFFFFF" w:themeFill="background1"/>
            <w:tcMar>
              <w:top w:w="72" w:type="dxa"/>
              <w:left w:w="144" w:type="dxa"/>
              <w:bottom w:w="72" w:type="dxa"/>
              <w:right w:w="144" w:type="dxa"/>
            </w:tcMar>
            <w:vAlign w:val="center"/>
            <w:hideMark/>
          </w:tcPr>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rtl/>
              </w:rPr>
              <w:t xml:space="preserve">סך הנכסים של הבנק עולה על 15 מיליארד ש"ח ונמוך מ-50 מיליארד ש"ח. </w:t>
            </w:r>
          </w:p>
        </w:tc>
        <w:tc>
          <w:tcPr>
            <w:tcW w:w="2830" w:type="dxa"/>
            <w:shd w:val="clear" w:color="auto" w:fill="FFFFFF" w:themeFill="background1"/>
            <w:tcMar>
              <w:top w:w="72" w:type="dxa"/>
              <w:left w:w="144" w:type="dxa"/>
              <w:bottom w:w="72" w:type="dxa"/>
              <w:right w:w="144" w:type="dxa"/>
            </w:tcMar>
            <w:vAlign w:val="center"/>
            <w:hideMark/>
          </w:tcPr>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rtl/>
              </w:rPr>
              <w:t xml:space="preserve">השלב יימשך עד 3 שנים. </w:t>
            </w:r>
          </w:p>
          <w:p w:rsidR="00621EE8" w:rsidRPr="00621EE8" w:rsidRDefault="00621EE8" w:rsidP="00621EE8">
            <w:pPr>
              <w:jc w:val="right"/>
              <w:rPr>
                <w:rFonts w:asciiTheme="minorHAnsi" w:hAnsiTheme="minorHAnsi" w:cstheme="minorHAnsi"/>
                <w:rtl/>
              </w:rPr>
            </w:pPr>
            <w:r w:rsidRPr="00621EE8">
              <w:rPr>
                <w:rFonts w:asciiTheme="minorHAnsi" w:hAnsiTheme="minorHAnsi" w:cstheme="minorHAnsi"/>
                <w:rtl/>
              </w:rPr>
              <w:t>המפקח ישקול להאריך את השלב עד שנתיים נוספות.</w:t>
            </w:r>
          </w:p>
        </w:tc>
      </w:tr>
    </w:tbl>
    <w:p w:rsidR="00621EE8" w:rsidRPr="00621EE8" w:rsidRDefault="00621EE8" w:rsidP="00621EE8">
      <w:pPr>
        <w:jc w:val="right"/>
        <w:rPr>
          <w:rFonts w:asciiTheme="minorHAnsi" w:hAnsiTheme="minorHAnsi" w:cstheme="minorHAnsi"/>
          <w:rtl/>
        </w:rPr>
      </w:pPr>
    </w:p>
    <w:p w:rsidR="00621EE8" w:rsidRPr="00621EE8" w:rsidRDefault="00621EE8" w:rsidP="00621EE8">
      <w:pPr>
        <w:spacing w:before="120" w:after="120"/>
        <w:jc w:val="right"/>
        <w:rPr>
          <w:rFonts w:asciiTheme="minorHAnsi" w:hAnsiTheme="minorHAnsi" w:cstheme="minorHAnsi"/>
          <w:rtl/>
        </w:rPr>
      </w:pPr>
    </w:p>
    <w:p w:rsidR="00621EE8" w:rsidRPr="00621EE8" w:rsidRDefault="00621EE8" w:rsidP="00621EE8">
      <w:pPr>
        <w:spacing w:before="120" w:after="120"/>
        <w:jc w:val="right"/>
        <w:rPr>
          <w:rFonts w:asciiTheme="minorHAnsi" w:hAnsiTheme="minorHAnsi" w:cstheme="minorHAnsi"/>
          <w:rtl/>
        </w:rPr>
      </w:pPr>
      <w:r w:rsidRPr="00621EE8">
        <w:rPr>
          <w:rFonts w:asciiTheme="minorHAnsi" w:hAnsiTheme="minorHAnsi" w:cstheme="minorHAnsi"/>
          <w:rtl/>
        </w:rPr>
        <w:t>ההוראה קובעת התאמות והקלות משמעותיות לבנקים קטנים וחדשים במגוון תחומים, ובעיקרן: בדרישות הון ומינוף, בדרישות נזילות ואופן חישובן, במגבלות על ריכוזיות ענפית ולפי גודל לווה, בהיקף ובהרכב הדירקטוריון, אפשרות לאיחוד פונקציות במבנה הארגוני ולהסתייעות במיקור חוץ, התאמות בכלים לניהול סיכונים וכן אפשרות ליישום מודלים עסקיים גמישים המתאימים לבנקים קטנים ולבנקים דיגיטליים.</w:t>
      </w:r>
    </w:p>
    <w:p w:rsidR="00621EE8" w:rsidRPr="00621EE8" w:rsidRDefault="00621EE8" w:rsidP="00621EE8">
      <w:pPr>
        <w:spacing w:before="120" w:after="120"/>
        <w:jc w:val="right"/>
        <w:rPr>
          <w:rFonts w:asciiTheme="minorHAnsi" w:hAnsiTheme="minorHAnsi" w:cstheme="minorHAnsi"/>
        </w:rPr>
      </w:pPr>
      <w:r w:rsidRPr="00621EE8">
        <w:rPr>
          <w:rFonts w:asciiTheme="minorHAnsi" w:hAnsiTheme="minorHAnsi" w:cstheme="minorHAnsi"/>
          <w:rtl/>
        </w:rPr>
        <w:t>פרסום ההוראה מצטרף לשורת צעדים שקידם בנק ישראל בשנים האחרונות לחיזוק כוח הלקוח, להגברת השקיפות ולהסרת חסמי מעבר במערכת הבנקאית, ובהם ניוד חשבונות בנקים ("מעבר בקליק"), קידום הבנקאות הפתוחה, ליווי תהליכי הקמה של בנקים חדשים, הקמת מאגר נתוני אשראי ופרסום מידע השוואתי על ריביות באתר "קו המשווה".</w:t>
      </w:r>
    </w:p>
    <w:p w:rsidR="00621EE8" w:rsidRPr="00621EE8" w:rsidRDefault="00621EE8" w:rsidP="00621EE8">
      <w:pPr>
        <w:jc w:val="right"/>
        <w:rPr>
          <w:rFonts w:asciiTheme="minorHAnsi" w:hAnsiTheme="minorHAnsi" w:cstheme="minorHAnsi"/>
          <w:rtl/>
        </w:rPr>
      </w:pPr>
    </w:p>
    <w:p w:rsidR="00621EE8" w:rsidRPr="00621EE8" w:rsidRDefault="00621EE8" w:rsidP="00621EE8">
      <w:pPr>
        <w:jc w:val="right"/>
        <w:rPr>
          <w:rFonts w:asciiTheme="minorHAnsi" w:hAnsiTheme="minorHAnsi" w:cstheme="minorHAnsi"/>
          <w:rtl/>
        </w:rPr>
      </w:pPr>
    </w:p>
    <w:p w:rsidR="00621EE8" w:rsidRPr="00621EE8" w:rsidRDefault="00621EE8" w:rsidP="00621EE8">
      <w:pPr>
        <w:jc w:val="right"/>
        <w:rPr>
          <w:rFonts w:asciiTheme="minorHAnsi" w:hAnsiTheme="minorHAnsi" w:cstheme="minorHAnsi"/>
          <w:rtl/>
        </w:rPr>
      </w:pPr>
    </w:p>
    <w:p w:rsidR="003E7478" w:rsidRPr="00621EE8" w:rsidRDefault="003E7478" w:rsidP="00FE77A7">
      <w:pPr>
        <w:bidi/>
        <w:rPr>
          <w:rFonts w:asciiTheme="minorHAnsi" w:hAnsiTheme="minorHAnsi" w:cstheme="minorHAnsi"/>
        </w:rPr>
      </w:pPr>
    </w:p>
    <w:sectPr w:rsidR="003E7478" w:rsidRPr="00621EE8" w:rsidSect="00CC2499">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21EE8"/>
    <w:rsid w:val="00632CD2"/>
    <w:rsid w:val="006344CC"/>
    <w:rsid w:val="0063559D"/>
    <w:rsid w:val="0063690B"/>
    <w:rsid w:val="00640309"/>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1761"/>
    <w:rsid w:val="00AB37A4"/>
    <w:rsid w:val="00AC35CD"/>
    <w:rsid w:val="00AE7479"/>
    <w:rsid w:val="00AF1FA7"/>
    <w:rsid w:val="00B02A8E"/>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E77A7"/>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 w:type="table" w:styleId="ListTable3-Accent1">
    <w:name w:val="List Table 3 Accent 1"/>
    <w:basedOn w:val="TableNormal"/>
    <w:uiPriority w:val="48"/>
    <w:rsid w:val="00621EE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2740</Characters>
  <Application>Microsoft Office Word</Application>
  <DocSecurity>0</DocSecurity>
  <Lines>22</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2026-06-30T12:09:00Z</dcterms:created>
  <dcterms:modified xsi:type="dcterms:W3CDTF">2026-06-30T12:09:00Z</dcterms:modified>
</cp:coreProperties>
</file>