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370" w:type="dxa"/>
        <w:jc w:val="center"/>
        <w:tblLayout w:type="fixed"/>
        <w:tblLook w:val="0000" w:firstRow="0" w:lastRow="0" w:firstColumn="0" w:lastColumn="0" w:noHBand="0" w:noVBand="0"/>
      </w:tblPr>
      <w:tblGrid>
        <w:gridCol w:w="2690"/>
        <w:gridCol w:w="2596"/>
        <w:gridCol w:w="3084"/>
      </w:tblGrid>
      <w:tr w:rsidR="0051240D" w:rsidRPr="00D16BE4" w:rsidTr="00D16BE4">
        <w:trPr>
          <w:trHeight w:val="1701"/>
          <w:jc w:val="center"/>
        </w:trPr>
        <w:tc>
          <w:tcPr>
            <w:tcW w:w="2690" w:type="dxa"/>
            <w:tcBorders>
              <w:top w:val="nil"/>
              <w:left w:val="nil"/>
              <w:bottom w:val="nil"/>
              <w:right w:val="nil"/>
            </w:tcBorders>
            <w:vAlign w:val="center"/>
          </w:tcPr>
          <w:p w:rsidR="0051240D" w:rsidRPr="00D16BE4" w:rsidRDefault="0051240D" w:rsidP="0051240D">
            <w:pPr>
              <w:rPr>
                <w:rFonts w:cstheme="minorHAnsi"/>
                <w:b/>
                <w:bCs/>
                <w:sz w:val="24"/>
                <w:szCs w:val="24"/>
                <w:rtl/>
              </w:rPr>
            </w:pPr>
            <w:r w:rsidRPr="00D16BE4">
              <w:rPr>
                <w:rFonts w:cstheme="minorHAnsi"/>
                <w:b/>
                <w:bCs/>
                <w:sz w:val="24"/>
                <w:szCs w:val="24"/>
                <w:rtl/>
              </w:rPr>
              <w:t>בנק ישראל</w:t>
            </w:r>
          </w:p>
          <w:p w:rsidR="0051240D" w:rsidRPr="00D16BE4" w:rsidRDefault="0051240D" w:rsidP="0051240D">
            <w:pPr>
              <w:spacing w:line="360" w:lineRule="auto"/>
              <w:ind w:right="-101"/>
              <w:jc w:val="both"/>
              <w:rPr>
                <w:rFonts w:cstheme="minorHAnsi"/>
                <w:sz w:val="24"/>
                <w:szCs w:val="24"/>
              </w:rPr>
            </w:pPr>
            <w:r w:rsidRPr="00D16BE4">
              <w:rPr>
                <w:rFonts w:cstheme="minorHAnsi"/>
                <w:sz w:val="24"/>
                <w:szCs w:val="24"/>
                <w:rtl/>
              </w:rPr>
              <w:t>דוברות והסברה כלכלית</w:t>
            </w:r>
          </w:p>
        </w:tc>
        <w:tc>
          <w:tcPr>
            <w:tcW w:w="2596" w:type="dxa"/>
            <w:tcBorders>
              <w:top w:val="nil"/>
              <w:left w:val="nil"/>
              <w:bottom w:val="nil"/>
              <w:right w:val="nil"/>
            </w:tcBorders>
          </w:tcPr>
          <w:p w:rsidR="0051240D" w:rsidRPr="00D16BE4" w:rsidRDefault="00D16BE4" w:rsidP="0051240D">
            <w:pPr>
              <w:jc w:val="both"/>
              <w:rPr>
                <w:rFonts w:cstheme="minorHAnsi"/>
                <w:sz w:val="24"/>
                <w:szCs w:val="24"/>
              </w:rPr>
            </w:pPr>
            <w:r w:rsidRPr="00D16BE4">
              <w:rPr>
                <w:rFonts w:cstheme="minorHAnsi"/>
                <w:noProof/>
                <w:sz w:val="24"/>
                <w:szCs w:val="24"/>
              </w:rPr>
              <w:drawing>
                <wp:anchor distT="0" distB="0" distL="114300" distR="114300" simplePos="0" relativeHeight="251726848" behindDoc="1" locked="0" layoutInCell="1" allowOverlap="1">
                  <wp:simplePos x="0" y="0"/>
                  <wp:positionH relativeFrom="column">
                    <wp:posOffset>-28575</wp:posOffset>
                  </wp:positionH>
                  <wp:positionV relativeFrom="paragraph">
                    <wp:posOffset>0</wp:posOffset>
                  </wp:positionV>
                  <wp:extent cx="914400" cy="914400"/>
                  <wp:effectExtent l="0" t="0" r="0" b="0"/>
                  <wp:wrapTight wrapText="bothSides">
                    <wp:wrapPolygon edited="0">
                      <wp:start x="7200" y="900"/>
                      <wp:lineTo x="4500" y="3600"/>
                      <wp:lineTo x="900" y="7650"/>
                      <wp:lineTo x="900" y="9900"/>
                      <wp:lineTo x="2250" y="16200"/>
                      <wp:lineTo x="7200" y="19800"/>
                      <wp:lineTo x="9000" y="20700"/>
                      <wp:lineTo x="11250" y="20700"/>
                      <wp:lineTo x="13500" y="19800"/>
                      <wp:lineTo x="18900" y="16200"/>
                      <wp:lineTo x="20700" y="7650"/>
                      <wp:lineTo x="16200" y="3150"/>
                      <wp:lineTo x="13050" y="900"/>
                      <wp:lineTo x="7200" y="90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tc>
        <w:tc>
          <w:tcPr>
            <w:tcW w:w="3084" w:type="dxa"/>
            <w:tcBorders>
              <w:top w:val="nil"/>
              <w:left w:val="nil"/>
              <w:bottom w:val="nil"/>
              <w:right w:val="nil"/>
            </w:tcBorders>
            <w:vAlign w:val="center"/>
          </w:tcPr>
          <w:p w:rsidR="0051240D" w:rsidRPr="00D16BE4" w:rsidRDefault="0051240D" w:rsidP="009611EA">
            <w:pPr>
              <w:jc w:val="right"/>
              <w:rPr>
                <w:rFonts w:cstheme="minorHAnsi"/>
                <w:sz w:val="24"/>
                <w:szCs w:val="24"/>
                <w:rtl/>
              </w:rPr>
            </w:pPr>
            <w:r w:rsidRPr="00D16BE4">
              <w:rPr>
                <w:rFonts w:cstheme="minorHAnsi"/>
                <w:sz w:val="24"/>
                <w:szCs w:val="24"/>
                <w:highlight w:val="green"/>
                <w:rtl/>
              </w:rPr>
              <w:t>‏</w:t>
            </w:r>
            <w:r w:rsidRPr="00D16BE4">
              <w:rPr>
                <w:rFonts w:cstheme="minorHAnsi"/>
                <w:sz w:val="24"/>
                <w:szCs w:val="24"/>
                <w:rtl/>
              </w:rPr>
              <w:t xml:space="preserve">ירושלים, </w:t>
            </w:r>
            <w:r w:rsidRPr="00D16BE4">
              <w:rPr>
                <w:rFonts w:cstheme="minorHAnsi"/>
                <w:sz w:val="24"/>
                <w:szCs w:val="24"/>
                <w:rtl/>
              </w:rPr>
              <w:fldChar w:fldCharType="begin"/>
            </w:r>
            <w:r w:rsidRPr="00D16BE4">
              <w:rPr>
                <w:rFonts w:cstheme="minorHAnsi"/>
                <w:sz w:val="24"/>
                <w:szCs w:val="24"/>
                <w:rtl/>
              </w:rPr>
              <w:instrText xml:space="preserve"> </w:instrText>
            </w:r>
            <w:r w:rsidRPr="00D16BE4">
              <w:rPr>
                <w:rFonts w:cstheme="minorHAnsi"/>
                <w:sz w:val="24"/>
                <w:szCs w:val="24"/>
              </w:rPr>
              <w:instrText>DATE</w:instrText>
            </w:r>
            <w:r w:rsidRPr="00D16BE4">
              <w:rPr>
                <w:rFonts w:cstheme="minorHAnsi"/>
                <w:sz w:val="24"/>
                <w:szCs w:val="24"/>
                <w:rtl/>
              </w:rPr>
              <w:instrText xml:space="preserve"> \@ "</w:instrText>
            </w:r>
            <w:r w:rsidRPr="00D16BE4">
              <w:rPr>
                <w:rFonts w:cstheme="minorHAnsi"/>
                <w:sz w:val="24"/>
                <w:szCs w:val="24"/>
              </w:rPr>
              <w:instrText>d MMMM, yyyy" \h</w:instrText>
            </w:r>
            <w:r w:rsidRPr="00D16BE4">
              <w:rPr>
                <w:rFonts w:cstheme="minorHAnsi"/>
                <w:sz w:val="24"/>
                <w:szCs w:val="24"/>
                <w:rtl/>
              </w:rPr>
              <w:instrText xml:space="preserve"> </w:instrText>
            </w:r>
            <w:r w:rsidRPr="00D16BE4">
              <w:rPr>
                <w:rFonts w:cstheme="minorHAnsi"/>
                <w:sz w:val="24"/>
                <w:szCs w:val="24"/>
                <w:rtl/>
              </w:rPr>
              <w:fldChar w:fldCharType="separate"/>
            </w:r>
            <w:r w:rsidR="00D16BE4" w:rsidRPr="00D16BE4">
              <w:rPr>
                <w:rFonts w:cstheme="minorHAnsi"/>
                <w:noProof/>
                <w:sz w:val="24"/>
                <w:szCs w:val="24"/>
                <w:rtl/>
              </w:rPr>
              <w:t>‏כ"ז אדר, תשפ"ו</w:t>
            </w:r>
            <w:r w:rsidRPr="00D16BE4">
              <w:rPr>
                <w:rFonts w:cstheme="minorHAnsi"/>
                <w:sz w:val="24"/>
                <w:szCs w:val="24"/>
                <w:rtl/>
              </w:rPr>
              <w:fldChar w:fldCharType="end"/>
            </w:r>
          </w:p>
          <w:p w:rsidR="0051240D" w:rsidRPr="00D16BE4" w:rsidRDefault="0051240D" w:rsidP="009611EA">
            <w:pPr>
              <w:spacing w:line="480" w:lineRule="auto"/>
              <w:jc w:val="right"/>
              <w:rPr>
                <w:rFonts w:cstheme="minorHAnsi"/>
                <w:sz w:val="24"/>
                <w:szCs w:val="24"/>
              </w:rPr>
            </w:pPr>
            <w:r w:rsidRPr="00D16BE4">
              <w:rPr>
                <w:rFonts w:cstheme="minorHAnsi"/>
                <w:sz w:val="24"/>
                <w:szCs w:val="24"/>
                <w:rtl/>
              </w:rPr>
              <w:fldChar w:fldCharType="begin"/>
            </w:r>
            <w:r w:rsidRPr="00D16BE4">
              <w:rPr>
                <w:rFonts w:cstheme="minorHAnsi"/>
                <w:sz w:val="24"/>
                <w:szCs w:val="24"/>
                <w:rtl/>
              </w:rPr>
              <w:instrText xml:space="preserve"> </w:instrText>
            </w:r>
            <w:r w:rsidRPr="00D16BE4">
              <w:rPr>
                <w:rFonts w:cstheme="minorHAnsi"/>
                <w:sz w:val="24"/>
                <w:szCs w:val="24"/>
              </w:rPr>
              <w:instrText>DATE</w:instrText>
            </w:r>
            <w:r w:rsidRPr="00D16BE4">
              <w:rPr>
                <w:rFonts w:cstheme="minorHAnsi"/>
                <w:sz w:val="24"/>
                <w:szCs w:val="24"/>
                <w:rtl/>
              </w:rPr>
              <w:instrText xml:space="preserve"> \@ "</w:instrText>
            </w:r>
            <w:r w:rsidRPr="00D16BE4">
              <w:rPr>
                <w:rFonts w:cstheme="minorHAnsi"/>
                <w:sz w:val="24"/>
                <w:szCs w:val="24"/>
              </w:rPr>
              <w:instrText>d MMMM, yyyy</w:instrText>
            </w:r>
            <w:r w:rsidRPr="00D16BE4">
              <w:rPr>
                <w:rFonts w:cstheme="minorHAnsi"/>
                <w:sz w:val="24"/>
                <w:szCs w:val="24"/>
                <w:rtl/>
              </w:rPr>
              <w:instrText xml:space="preserve">" </w:instrText>
            </w:r>
            <w:r w:rsidRPr="00D16BE4">
              <w:rPr>
                <w:rFonts w:cstheme="minorHAnsi"/>
                <w:sz w:val="24"/>
                <w:szCs w:val="24"/>
                <w:rtl/>
              </w:rPr>
              <w:fldChar w:fldCharType="separate"/>
            </w:r>
            <w:r w:rsidR="00D16BE4" w:rsidRPr="00D16BE4">
              <w:rPr>
                <w:rFonts w:cstheme="minorHAnsi"/>
                <w:noProof/>
                <w:sz w:val="24"/>
                <w:szCs w:val="24"/>
                <w:rtl/>
              </w:rPr>
              <w:t>‏16 מרץ, 2026</w:t>
            </w:r>
            <w:r w:rsidRPr="00D16BE4">
              <w:rPr>
                <w:rFonts w:cstheme="minorHAnsi"/>
                <w:sz w:val="24"/>
                <w:szCs w:val="24"/>
                <w:rtl/>
              </w:rPr>
              <w:fldChar w:fldCharType="end"/>
            </w:r>
          </w:p>
        </w:tc>
      </w:tr>
    </w:tbl>
    <w:p w:rsidR="00D16BE4" w:rsidRPr="00D16BE4" w:rsidRDefault="00D16BE4" w:rsidP="00D16BE4">
      <w:pPr>
        <w:rPr>
          <w:rFonts w:cstheme="minorHAnsi"/>
          <w:sz w:val="24"/>
          <w:szCs w:val="24"/>
          <w:rtl/>
        </w:rPr>
      </w:pPr>
      <w:r w:rsidRPr="00D16BE4">
        <w:rPr>
          <w:rFonts w:cs="Calibri"/>
          <w:sz w:val="24"/>
          <w:szCs w:val="24"/>
          <w:rtl/>
        </w:rPr>
        <w:t>הודעה לעיתונות:</w:t>
      </w:r>
    </w:p>
    <w:p w:rsidR="00F62F43" w:rsidRDefault="00964D0D" w:rsidP="00087734">
      <w:pPr>
        <w:jc w:val="center"/>
        <w:rPr>
          <w:rFonts w:cstheme="minorHAnsi"/>
          <w:b/>
          <w:bCs/>
          <w:sz w:val="28"/>
          <w:szCs w:val="28"/>
          <w:rtl/>
        </w:rPr>
      </w:pPr>
      <w:bookmarkStart w:id="0" w:name="_GoBack"/>
      <w:r w:rsidRPr="002604CC">
        <w:rPr>
          <w:rFonts w:cstheme="minorHAnsi"/>
          <w:b/>
          <w:bCs/>
          <w:sz w:val="28"/>
          <w:szCs w:val="28"/>
          <w:rtl/>
        </w:rPr>
        <w:t xml:space="preserve">החטיבה למידע ולסטטיסטיקה בבנק ישראל מפרסמת היום את </w:t>
      </w:r>
      <w:r w:rsidR="00316DB3" w:rsidRPr="002604CC">
        <w:rPr>
          <w:rFonts w:cstheme="minorHAnsi"/>
          <w:b/>
          <w:bCs/>
          <w:sz w:val="28"/>
          <w:szCs w:val="28"/>
          <w:rtl/>
        </w:rPr>
        <w:t xml:space="preserve">דו"ח </w:t>
      </w:r>
      <w:r w:rsidR="00F62F43" w:rsidRPr="002604CC">
        <w:rPr>
          <w:rFonts w:cstheme="minorHAnsi"/>
          <w:b/>
          <w:bCs/>
          <w:sz w:val="28"/>
          <w:szCs w:val="28"/>
          <w:rtl/>
        </w:rPr>
        <w:t>'מבט סטטיסטי</w:t>
      </w:r>
      <w:r w:rsidR="00316DB3" w:rsidRPr="002604CC">
        <w:rPr>
          <w:rFonts w:cstheme="minorHAnsi"/>
          <w:b/>
          <w:bCs/>
          <w:sz w:val="28"/>
          <w:szCs w:val="28"/>
          <w:rtl/>
        </w:rPr>
        <w:t>' לשנת</w:t>
      </w:r>
      <w:r w:rsidR="00F62F43" w:rsidRPr="002604CC">
        <w:rPr>
          <w:rFonts w:cstheme="minorHAnsi"/>
          <w:b/>
          <w:bCs/>
          <w:sz w:val="28"/>
          <w:szCs w:val="28"/>
          <w:rtl/>
        </w:rPr>
        <w:t xml:space="preserve"> </w:t>
      </w:r>
      <w:r w:rsidR="00087734" w:rsidRPr="002604CC">
        <w:rPr>
          <w:rFonts w:cstheme="minorHAnsi" w:hint="cs"/>
          <w:b/>
          <w:bCs/>
          <w:sz w:val="28"/>
          <w:szCs w:val="28"/>
          <w:rtl/>
        </w:rPr>
        <w:t>2025</w:t>
      </w:r>
    </w:p>
    <w:bookmarkEnd w:id="0"/>
    <w:p w:rsidR="007C64D9" w:rsidRDefault="00087734" w:rsidP="00C10774">
      <w:pPr>
        <w:spacing w:line="360" w:lineRule="auto"/>
        <w:jc w:val="both"/>
        <w:rPr>
          <w:rFonts w:cstheme="minorHAnsi"/>
          <w:sz w:val="24"/>
          <w:szCs w:val="24"/>
          <w:rtl/>
        </w:rPr>
      </w:pPr>
      <w:r>
        <w:rPr>
          <w:rFonts w:cstheme="minorHAnsi" w:hint="cs"/>
          <w:sz w:val="24"/>
          <w:szCs w:val="24"/>
          <w:rtl/>
        </w:rPr>
        <w:t>דו"ח 'מבט סטטיסטי' שמתפרסם היום סוקר את ההתפתחויות המרכזיות בסטטיסטיקה הפיננסית של המשק</w:t>
      </w:r>
      <w:r w:rsidR="00E277CA">
        <w:rPr>
          <w:rFonts w:cstheme="minorHAnsi" w:hint="cs"/>
          <w:sz w:val="24"/>
          <w:szCs w:val="24"/>
          <w:rtl/>
        </w:rPr>
        <w:t xml:space="preserve"> בשנה החולפת.</w:t>
      </w:r>
      <w:r w:rsidR="00C10774">
        <w:rPr>
          <w:rFonts w:cstheme="minorHAnsi" w:hint="cs"/>
          <w:sz w:val="24"/>
          <w:szCs w:val="24"/>
          <w:rtl/>
        </w:rPr>
        <w:t xml:space="preserve"> </w:t>
      </w:r>
      <w:r>
        <w:rPr>
          <w:rFonts w:cstheme="minorHAnsi" w:hint="cs"/>
          <w:sz w:val="24"/>
          <w:szCs w:val="24"/>
          <w:rtl/>
        </w:rPr>
        <w:t>חלקו הראשון של הדו"ח עוסק בארבעה תחומים מרכזיים: תיק ה</w:t>
      </w:r>
      <w:r w:rsidR="002604CC">
        <w:rPr>
          <w:rFonts w:cstheme="minorHAnsi" w:hint="cs"/>
          <w:sz w:val="24"/>
          <w:szCs w:val="24"/>
          <w:rtl/>
        </w:rPr>
        <w:t>נכ</w:t>
      </w:r>
      <w:r>
        <w:rPr>
          <w:rFonts w:cstheme="minorHAnsi" w:hint="cs"/>
          <w:sz w:val="24"/>
          <w:szCs w:val="24"/>
          <w:rtl/>
        </w:rPr>
        <w:t>סים הפיננסיים של הציבור, החוב של המגזר הפרטי הלא-פיננסי, פעילות המשק מול חו"ל ופעילות המגזרים העיקריים במטבע חוץ.</w:t>
      </w:r>
    </w:p>
    <w:p w:rsidR="00C10774" w:rsidRDefault="00087734" w:rsidP="00C10774">
      <w:pPr>
        <w:spacing w:line="360" w:lineRule="auto"/>
        <w:jc w:val="both"/>
        <w:rPr>
          <w:rFonts w:cstheme="minorHAnsi"/>
          <w:sz w:val="24"/>
          <w:szCs w:val="24"/>
          <w:rtl/>
        </w:rPr>
      </w:pPr>
      <w:r>
        <w:rPr>
          <w:rFonts w:cstheme="minorHAnsi" w:hint="cs"/>
          <w:sz w:val="24"/>
          <w:szCs w:val="24"/>
          <w:rtl/>
        </w:rPr>
        <w:t>בחלקו השני של הדו"ח מוצגות שלוש עבודות מחקר ומתודולוגיה: סקר קציני אשראי בישראל, החוב החיצוני הציבורי ברוטו בראי הזמן ומאפייני הפעילות של משקי הבית בני"ע בחו"ל.</w:t>
      </w:r>
    </w:p>
    <w:p w:rsidR="00716312" w:rsidRPr="002604CC" w:rsidRDefault="00087734" w:rsidP="00E277CA">
      <w:pPr>
        <w:spacing w:line="360" w:lineRule="auto"/>
        <w:jc w:val="both"/>
        <w:rPr>
          <w:rFonts w:cstheme="minorHAnsi"/>
          <w:b/>
          <w:bCs/>
          <w:sz w:val="24"/>
          <w:szCs w:val="24"/>
          <w:rtl/>
        </w:rPr>
      </w:pPr>
      <w:r w:rsidRPr="002604CC">
        <w:rPr>
          <w:rFonts w:cstheme="minorHAnsi" w:hint="cs"/>
          <w:b/>
          <w:bCs/>
          <w:sz w:val="24"/>
          <w:szCs w:val="24"/>
          <w:rtl/>
        </w:rPr>
        <w:t xml:space="preserve">חלק </w:t>
      </w:r>
      <w:r w:rsidR="00E277CA" w:rsidRPr="002604CC">
        <w:rPr>
          <w:rFonts w:cstheme="minorHAnsi" w:hint="cs"/>
          <w:b/>
          <w:bCs/>
          <w:sz w:val="24"/>
          <w:szCs w:val="24"/>
          <w:rtl/>
        </w:rPr>
        <w:t>ראשון</w:t>
      </w:r>
      <w:r w:rsidRPr="002604CC">
        <w:rPr>
          <w:rFonts w:cstheme="minorHAnsi" w:hint="cs"/>
          <w:b/>
          <w:bCs/>
          <w:sz w:val="24"/>
          <w:szCs w:val="24"/>
          <w:rtl/>
        </w:rPr>
        <w:t xml:space="preserve"> </w:t>
      </w:r>
      <w:r w:rsidRPr="002604CC">
        <w:rPr>
          <w:rFonts w:cstheme="minorHAnsi"/>
          <w:b/>
          <w:bCs/>
          <w:sz w:val="24"/>
          <w:szCs w:val="24"/>
          <w:rtl/>
        </w:rPr>
        <w:t>–</w:t>
      </w:r>
      <w:r w:rsidRPr="002604CC">
        <w:rPr>
          <w:rFonts w:cstheme="minorHAnsi" w:hint="cs"/>
          <w:b/>
          <w:bCs/>
          <w:sz w:val="24"/>
          <w:szCs w:val="24"/>
          <w:rtl/>
        </w:rPr>
        <w:t xml:space="preserve"> ההתפתחויות המרכזיות בסטטיסטיקה הפיננסית של המשק:</w:t>
      </w:r>
    </w:p>
    <w:tbl>
      <w:tblPr>
        <w:tblStyle w:val="TableGrid"/>
        <w:bidiVisual/>
        <w:tblW w:w="0" w:type="auto"/>
        <w:tblLook w:val="04A0" w:firstRow="1" w:lastRow="0" w:firstColumn="1" w:lastColumn="0" w:noHBand="0" w:noVBand="1"/>
      </w:tblPr>
      <w:tblGrid>
        <w:gridCol w:w="5655"/>
        <w:gridCol w:w="4476"/>
      </w:tblGrid>
      <w:tr w:rsidR="00E277CA" w:rsidRPr="00313159" w:rsidTr="00115C95">
        <w:trPr>
          <w:trHeight w:val="767"/>
        </w:trPr>
        <w:tc>
          <w:tcPr>
            <w:tcW w:w="9614" w:type="dxa"/>
            <w:gridSpan w:val="2"/>
            <w:tcBorders>
              <w:bottom w:val="nil"/>
            </w:tcBorders>
          </w:tcPr>
          <w:p w:rsidR="00E277CA" w:rsidRPr="00313159" w:rsidRDefault="00E277CA" w:rsidP="00E55769">
            <w:pPr>
              <w:pStyle w:val="ListParagraph"/>
              <w:numPr>
                <w:ilvl w:val="0"/>
                <w:numId w:val="42"/>
              </w:numPr>
              <w:jc w:val="center"/>
              <w:rPr>
                <w:rFonts w:ascii="Assistant" w:hAnsi="Assistant" w:cs="Assistant"/>
                <w:b/>
                <w:bCs/>
                <w:rtl/>
              </w:rPr>
            </w:pPr>
            <w:r w:rsidRPr="00313159">
              <w:rPr>
                <w:rFonts w:ascii="Assistant" w:hAnsi="Assistant" w:cs="Assistant"/>
                <w:b/>
                <w:bCs/>
                <w:rtl/>
              </w:rPr>
              <w:t>תיק הנכסים הפיננסיים של הציבור</w:t>
            </w:r>
          </w:p>
        </w:tc>
      </w:tr>
      <w:tr w:rsidR="00E277CA" w:rsidRPr="00D16BE4" w:rsidTr="00115C95">
        <w:tc>
          <w:tcPr>
            <w:tcW w:w="5655" w:type="dxa"/>
            <w:tcBorders>
              <w:top w:val="nil"/>
              <w:right w:val="nil"/>
            </w:tcBorders>
          </w:tcPr>
          <w:p w:rsidR="00C10774" w:rsidRPr="00D16BE4" w:rsidRDefault="00C10774" w:rsidP="00C10774">
            <w:pPr>
              <w:pStyle w:val="NoSpacing"/>
              <w:spacing w:line="360" w:lineRule="auto"/>
              <w:ind w:left="425" w:right="371"/>
              <w:jc w:val="both"/>
              <w:rPr>
                <w:rFonts w:cstheme="minorHAnsi"/>
                <w:color w:val="000000" w:themeColor="text1"/>
              </w:rPr>
            </w:pPr>
          </w:p>
          <w:p w:rsidR="00E277CA" w:rsidRPr="00D16BE4" w:rsidRDefault="005E47B4" w:rsidP="006870CC">
            <w:pPr>
              <w:pStyle w:val="NoSpacing"/>
              <w:numPr>
                <w:ilvl w:val="0"/>
                <w:numId w:val="34"/>
              </w:numPr>
              <w:spacing w:line="360" w:lineRule="auto"/>
              <w:ind w:left="425" w:right="371" w:hanging="425"/>
              <w:jc w:val="both"/>
              <w:rPr>
                <w:rFonts w:cstheme="minorHAnsi"/>
                <w:color w:val="000000" w:themeColor="text1"/>
                <w:rtl/>
              </w:rPr>
            </w:pPr>
            <w:r w:rsidRPr="00D16BE4">
              <w:rPr>
                <w:rFonts w:cstheme="minorHAnsi"/>
                <w:color w:val="000000" w:themeColor="text1"/>
                <w:rtl/>
              </w:rPr>
              <w:t xml:space="preserve">בשנת 2025 עלתה </w:t>
            </w:r>
            <w:r w:rsidR="00E277CA" w:rsidRPr="00D16BE4">
              <w:rPr>
                <w:rFonts w:cstheme="minorHAnsi"/>
                <w:color w:val="000000" w:themeColor="text1"/>
                <w:rtl/>
              </w:rPr>
              <w:t>יתרת תיק הנכסים שבידי הציבור בכ-</w:t>
            </w:r>
            <w:r w:rsidR="00E55769" w:rsidRPr="00D16BE4">
              <w:rPr>
                <w:rFonts w:cstheme="minorHAnsi"/>
                <w:color w:val="000000" w:themeColor="text1"/>
                <w:rtl/>
              </w:rPr>
              <w:t>15</w:t>
            </w:r>
            <w:r w:rsidR="00E277CA" w:rsidRPr="00D16BE4">
              <w:rPr>
                <w:rFonts w:cstheme="minorHAnsi"/>
                <w:color w:val="000000" w:themeColor="text1"/>
                <w:rtl/>
              </w:rPr>
              <w:t>.5</w:t>
            </w:r>
            <w:r w:rsidR="00743983" w:rsidRPr="00D16BE4">
              <w:rPr>
                <w:rFonts w:cstheme="minorHAnsi"/>
                <w:color w:val="000000" w:themeColor="text1"/>
                <w:rtl/>
              </w:rPr>
              <w:t>%</w:t>
            </w:r>
            <w:r w:rsidR="00E55769" w:rsidRPr="00D16BE4">
              <w:rPr>
                <w:rFonts w:cstheme="minorHAnsi"/>
                <w:color w:val="000000" w:themeColor="text1"/>
                <w:rtl/>
              </w:rPr>
              <w:t xml:space="preserve"> (</w:t>
            </w:r>
            <w:r w:rsidR="00E55769" w:rsidRPr="00D16BE4">
              <w:rPr>
                <w:rFonts w:cstheme="minorHAnsi"/>
                <w:sz w:val="21"/>
                <w:szCs w:val="21"/>
                <w:rtl/>
              </w:rPr>
              <w:t>כ-963 מיליארדי</w:t>
            </w:r>
            <w:r w:rsidR="00E277CA" w:rsidRPr="00D16BE4">
              <w:rPr>
                <w:rFonts w:cstheme="minorHAnsi"/>
                <w:color w:val="000000" w:themeColor="text1"/>
                <w:rtl/>
              </w:rPr>
              <w:t xml:space="preserve"> ₪), והגיעה לכ-</w:t>
            </w:r>
            <w:r w:rsidR="00E55769" w:rsidRPr="00D16BE4">
              <w:rPr>
                <w:rFonts w:cstheme="minorHAnsi"/>
                <w:color w:val="000000" w:themeColor="text1"/>
                <w:rtl/>
              </w:rPr>
              <w:t>7.2</w:t>
            </w:r>
            <w:r w:rsidR="00E277CA" w:rsidRPr="00D16BE4">
              <w:rPr>
                <w:rFonts w:cstheme="minorHAnsi"/>
                <w:color w:val="000000" w:themeColor="text1"/>
                <w:rtl/>
              </w:rPr>
              <w:t xml:space="preserve"> טריליון ₪,</w:t>
            </w:r>
            <w:r w:rsidRPr="00D16BE4">
              <w:rPr>
                <w:rFonts w:cstheme="minorHAnsi"/>
                <w:color w:val="000000" w:themeColor="text1"/>
                <w:rtl/>
              </w:rPr>
              <w:t xml:space="preserve"> שיעור הגידול של התיק בשנת 2025 היה</w:t>
            </w:r>
            <w:r w:rsidR="00C10774" w:rsidRPr="00D16BE4">
              <w:rPr>
                <w:rFonts w:cstheme="minorHAnsi"/>
                <w:color w:val="000000" w:themeColor="text1"/>
                <w:rtl/>
              </w:rPr>
              <w:t xml:space="preserve"> </w:t>
            </w:r>
            <w:r w:rsidRPr="00D16BE4">
              <w:rPr>
                <w:rFonts w:cstheme="minorHAnsi"/>
                <w:color w:val="000000" w:themeColor="text1"/>
                <w:rtl/>
              </w:rPr>
              <w:t>גבוה בהשוואה לממוצע בעשור האחרון (כ-7% בממוצע שנתי).</w:t>
            </w:r>
            <w:r w:rsidR="00E277CA" w:rsidRPr="00D16BE4">
              <w:rPr>
                <w:rFonts w:cstheme="minorHAnsi"/>
                <w:color w:val="000000" w:themeColor="text1"/>
                <w:rtl/>
              </w:rPr>
              <w:t xml:space="preserve"> </w:t>
            </w:r>
          </w:p>
          <w:p w:rsidR="00C10774" w:rsidRPr="00D16BE4" w:rsidRDefault="00C10774" w:rsidP="00C10774">
            <w:pPr>
              <w:pStyle w:val="NoSpacing"/>
              <w:spacing w:line="360" w:lineRule="auto"/>
              <w:ind w:left="360" w:right="371"/>
              <w:jc w:val="both"/>
              <w:rPr>
                <w:rFonts w:cstheme="minorHAnsi"/>
                <w:color w:val="000000" w:themeColor="text1"/>
              </w:rPr>
            </w:pPr>
          </w:p>
          <w:p w:rsidR="00C10774" w:rsidRPr="00D16BE4" w:rsidRDefault="00C10774" w:rsidP="00C10774">
            <w:pPr>
              <w:pStyle w:val="NoSpacing"/>
              <w:spacing w:line="360" w:lineRule="auto"/>
              <w:ind w:left="360" w:right="371"/>
              <w:jc w:val="both"/>
              <w:rPr>
                <w:rFonts w:cstheme="minorHAnsi"/>
                <w:color w:val="000000" w:themeColor="text1"/>
              </w:rPr>
            </w:pPr>
          </w:p>
          <w:p w:rsidR="00C10774" w:rsidRPr="00D16BE4" w:rsidRDefault="00C10774" w:rsidP="00C10774">
            <w:pPr>
              <w:pStyle w:val="NoSpacing"/>
              <w:spacing w:line="360" w:lineRule="auto"/>
              <w:ind w:right="371"/>
              <w:jc w:val="both"/>
              <w:rPr>
                <w:rFonts w:cstheme="minorHAnsi"/>
                <w:color w:val="000000" w:themeColor="text1"/>
              </w:rPr>
            </w:pPr>
          </w:p>
          <w:p w:rsidR="00C10774" w:rsidRPr="00D16BE4" w:rsidRDefault="00C10774" w:rsidP="00C10774">
            <w:pPr>
              <w:pStyle w:val="NoSpacing"/>
              <w:spacing w:line="360" w:lineRule="auto"/>
              <w:ind w:left="360" w:right="371"/>
              <w:jc w:val="both"/>
              <w:rPr>
                <w:rFonts w:cstheme="minorHAnsi"/>
                <w:color w:val="000000" w:themeColor="text1"/>
              </w:rPr>
            </w:pPr>
          </w:p>
          <w:p w:rsidR="00C10774" w:rsidRPr="00D16BE4" w:rsidRDefault="00C10774" w:rsidP="00C10774">
            <w:pPr>
              <w:pStyle w:val="NoSpacing"/>
              <w:spacing w:line="360" w:lineRule="auto"/>
              <w:ind w:left="360" w:right="371"/>
              <w:jc w:val="both"/>
              <w:rPr>
                <w:rFonts w:cstheme="minorHAnsi"/>
                <w:color w:val="000000" w:themeColor="text1"/>
              </w:rPr>
            </w:pPr>
          </w:p>
          <w:p w:rsidR="00C10774" w:rsidRPr="00D16BE4" w:rsidRDefault="00C10774" w:rsidP="00C10774">
            <w:pPr>
              <w:pStyle w:val="NoSpacing"/>
              <w:spacing w:line="360" w:lineRule="auto"/>
              <w:ind w:left="360" w:right="371"/>
              <w:jc w:val="both"/>
              <w:rPr>
                <w:rFonts w:cstheme="minorHAnsi"/>
                <w:color w:val="000000" w:themeColor="text1"/>
              </w:rPr>
            </w:pPr>
          </w:p>
          <w:p w:rsidR="00E277CA" w:rsidRPr="00D16BE4" w:rsidRDefault="00C10774" w:rsidP="00E55769">
            <w:pPr>
              <w:pStyle w:val="NoSpacing"/>
              <w:numPr>
                <w:ilvl w:val="0"/>
                <w:numId w:val="34"/>
              </w:numPr>
              <w:spacing w:line="360" w:lineRule="auto"/>
              <w:ind w:right="371"/>
              <w:jc w:val="both"/>
              <w:rPr>
                <w:rFonts w:cstheme="minorHAnsi"/>
                <w:color w:val="000000" w:themeColor="text1"/>
              </w:rPr>
            </w:pPr>
            <w:r w:rsidRPr="00D16BE4">
              <w:rPr>
                <w:rFonts w:cstheme="minorHAnsi"/>
                <w:color w:val="000000" w:themeColor="text1"/>
                <w:rtl/>
              </w:rPr>
              <w:t>ר</w:t>
            </w:r>
            <w:r w:rsidR="00E277CA" w:rsidRPr="00D16BE4">
              <w:rPr>
                <w:rFonts w:cstheme="minorHAnsi"/>
                <w:color w:val="000000" w:themeColor="text1"/>
                <w:rtl/>
              </w:rPr>
              <w:t>כיב המניות בישראל עלה ב-</w:t>
            </w:r>
            <w:r w:rsidR="00E55769" w:rsidRPr="00D16BE4">
              <w:rPr>
                <w:rFonts w:cstheme="minorHAnsi"/>
                <w:color w:val="000000" w:themeColor="text1"/>
                <w:rtl/>
              </w:rPr>
              <w:t>459</w:t>
            </w:r>
            <w:r w:rsidR="00E277CA" w:rsidRPr="00D16BE4">
              <w:rPr>
                <w:rFonts w:cstheme="minorHAnsi"/>
                <w:color w:val="000000" w:themeColor="text1"/>
                <w:rtl/>
              </w:rPr>
              <w:t xml:space="preserve"> מיליארד ₪, לצד גידול של </w:t>
            </w:r>
            <w:r w:rsidR="00E55769" w:rsidRPr="00D16BE4">
              <w:rPr>
                <w:rFonts w:cstheme="minorHAnsi"/>
                <w:color w:val="000000" w:themeColor="text1"/>
                <w:rtl/>
              </w:rPr>
              <w:t>כ-211</w:t>
            </w:r>
            <w:r w:rsidR="00E277CA" w:rsidRPr="00D16BE4">
              <w:rPr>
                <w:rFonts w:cstheme="minorHAnsi"/>
                <w:color w:val="000000" w:themeColor="text1"/>
                <w:rtl/>
              </w:rPr>
              <w:t xml:space="preserve"> מיליארד ₪ במזומן ופ</w:t>
            </w:r>
            <w:r w:rsidR="00E55769" w:rsidRPr="00D16BE4">
              <w:rPr>
                <w:rFonts w:cstheme="minorHAnsi"/>
                <w:color w:val="000000" w:themeColor="text1"/>
                <w:rtl/>
              </w:rPr>
              <w:t>י</w:t>
            </w:r>
            <w:r w:rsidR="00E277CA" w:rsidRPr="00D16BE4">
              <w:rPr>
                <w:rFonts w:cstheme="minorHAnsi"/>
                <w:color w:val="000000" w:themeColor="text1"/>
                <w:rtl/>
              </w:rPr>
              <w:t>קדונות</w:t>
            </w:r>
            <w:r w:rsidR="005E47B4" w:rsidRPr="00D16BE4">
              <w:rPr>
                <w:rFonts w:cstheme="minorHAnsi"/>
                <w:color w:val="000000" w:themeColor="text1"/>
                <w:rtl/>
              </w:rPr>
              <w:t>.</w:t>
            </w:r>
          </w:p>
          <w:p w:rsidR="00E277CA" w:rsidRPr="00D16BE4" w:rsidRDefault="00E277CA" w:rsidP="00D433C6">
            <w:pPr>
              <w:pStyle w:val="NoSpacing"/>
              <w:numPr>
                <w:ilvl w:val="0"/>
                <w:numId w:val="34"/>
              </w:numPr>
              <w:spacing w:line="360" w:lineRule="auto"/>
              <w:ind w:right="371"/>
              <w:jc w:val="both"/>
              <w:rPr>
                <w:rFonts w:cstheme="minorHAnsi"/>
                <w:color w:val="000000" w:themeColor="text1"/>
                <w:rtl/>
              </w:rPr>
            </w:pPr>
            <w:r w:rsidRPr="00D16BE4">
              <w:rPr>
                <w:rFonts w:cstheme="minorHAnsi"/>
                <w:color w:val="000000" w:themeColor="text1"/>
                <w:rtl/>
              </w:rPr>
              <w:t>יתרות נכסי קרנות הנאמנות הגיעו לשיא של 757 מיליארד ₪.</w:t>
            </w:r>
          </w:p>
        </w:tc>
        <w:tc>
          <w:tcPr>
            <w:tcW w:w="3959" w:type="dxa"/>
            <w:tcBorders>
              <w:top w:val="nil"/>
              <w:left w:val="nil"/>
            </w:tcBorders>
          </w:tcPr>
          <w:p w:rsidR="00E277CA" w:rsidRPr="00D16BE4" w:rsidRDefault="00185A7B" w:rsidP="00CE65B8">
            <w:pPr>
              <w:jc w:val="both"/>
              <w:rPr>
                <w:rFonts w:eastAsiaTheme="majorEastAsia" w:cstheme="minorHAnsi"/>
                <w:sz w:val="20"/>
                <w:szCs w:val="20"/>
                <w:rtl/>
              </w:rPr>
            </w:pPr>
            <w:r w:rsidRPr="00D16BE4">
              <w:rPr>
                <w:rFonts w:eastAsiaTheme="majorEastAsia" w:cstheme="minorHAnsi"/>
                <w:b/>
                <w:bCs/>
                <w:sz w:val="20"/>
                <w:szCs w:val="20"/>
                <w:rtl/>
              </w:rPr>
              <w:t>איור א-1</w:t>
            </w:r>
            <w:r w:rsidR="00E277CA" w:rsidRPr="00D16BE4">
              <w:rPr>
                <w:rFonts w:eastAsiaTheme="majorEastAsia" w:cstheme="minorHAnsi"/>
                <w:b/>
                <w:bCs/>
                <w:sz w:val="20"/>
                <w:szCs w:val="20"/>
                <w:rtl/>
              </w:rPr>
              <w:t xml:space="preserve">: יתרת תיק הנכסים </w:t>
            </w:r>
          </w:p>
          <w:p w:rsidR="00E55769" w:rsidRPr="00D16BE4" w:rsidRDefault="00E55769" w:rsidP="00E55769">
            <w:pPr>
              <w:jc w:val="both"/>
              <w:rPr>
                <w:rFonts w:cstheme="minorHAnsi"/>
                <w:noProof/>
                <w:sz w:val="18"/>
                <w:szCs w:val="18"/>
                <w:rtl/>
              </w:rPr>
            </w:pPr>
            <w:r w:rsidRPr="00D16BE4">
              <w:rPr>
                <w:rFonts w:eastAsiaTheme="majorEastAsia" w:cstheme="minorHAnsi"/>
                <w:noProof/>
                <w:sz w:val="21"/>
                <w:szCs w:val="21"/>
              </w:rPr>
              <w:drawing>
                <wp:anchor distT="0" distB="0" distL="114300" distR="114300" simplePos="0" relativeHeight="251723776" behindDoc="0" locked="0" layoutInCell="1" allowOverlap="1" wp14:anchorId="71671ECC" wp14:editId="1C1578C4">
                  <wp:simplePos x="0" y="0"/>
                  <wp:positionH relativeFrom="column">
                    <wp:posOffset>1270</wp:posOffset>
                  </wp:positionH>
                  <wp:positionV relativeFrom="paragraph">
                    <wp:posOffset>225425</wp:posOffset>
                  </wp:positionV>
                  <wp:extent cx="2700000" cy="1641845"/>
                  <wp:effectExtent l="0" t="0" r="5715" b="0"/>
                  <wp:wrapSquare wrapText="bothSides"/>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00" cy="1641845"/>
                          </a:xfrm>
                          <a:prstGeom prst="rect">
                            <a:avLst/>
                          </a:prstGeom>
                          <a:noFill/>
                        </pic:spPr>
                      </pic:pic>
                    </a:graphicData>
                  </a:graphic>
                </wp:anchor>
              </w:drawing>
            </w:r>
            <w:r w:rsidR="00E277CA" w:rsidRPr="00D16BE4">
              <w:rPr>
                <w:rFonts w:eastAsiaTheme="majorEastAsia" w:cstheme="minorHAnsi"/>
                <w:sz w:val="18"/>
                <w:szCs w:val="18"/>
                <w:rtl/>
              </w:rPr>
              <w:t>יתרה בטריליוני ש"ח (קו) ושיעור שינוי שנתי (עמודות)</w:t>
            </w:r>
          </w:p>
          <w:p w:rsidR="00E277CA" w:rsidRPr="00D16BE4" w:rsidRDefault="00E277CA" w:rsidP="00CE65B8">
            <w:pPr>
              <w:rPr>
                <w:rFonts w:cstheme="minorHAnsi"/>
                <w:rtl/>
              </w:rPr>
            </w:pPr>
            <w:r w:rsidRPr="00D16BE4">
              <w:rPr>
                <w:rFonts w:cstheme="minorHAnsi"/>
                <w:noProof/>
                <w:sz w:val="16"/>
                <w:szCs w:val="16"/>
                <w:rtl/>
              </w:rPr>
              <w:t>המקור: עיבודי בנק ישראל</w:t>
            </w:r>
          </w:p>
          <w:p w:rsidR="007C64D9" w:rsidRPr="00D16BE4" w:rsidRDefault="007C64D9" w:rsidP="00CE65B8">
            <w:pPr>
              <w:rPr>
                <w:rFonts w:cstheme="minorHAnsi"/>
                <w:rtl/>
              </w:rPr>
            </w:pPr>
          </w:p>
          <w:p w:rsidR="007C64D9" w:rsidRPr="00D16BE4" w:rsidRDefault="007C64D9" w:rsidP="00CE65B8">
            <w:pPr>
              <w:rPr>
                <w:rFonts w:cstheme="minorHAnsi"/>
                <w:rtl/>
              </w:rPr>
            </w:pPr>
          </w:p>
          <w:p w:rsidR="007C64D9" w:rsidRPr="00D16BE4" w:rsidRDefault="007C64D9" w:rsidP="007C64D9">
            <w:pPr>
              <w:ind w:right="-112"/>
              <w:rPr>
                <w:rFonts w:eastAsiaTheme="majorEastAsia" w:cstheme="minorHAnsi"/>
                <w:b/>
                <w:bCs/>
                <w:sz w:val="21"/>
                <w:szCs w:val="21"/>
                <w:rtl/>
              </w:rPr>
            </w:pPr>
            <w:r w:rsidRPr="00D16BE4">
              <w:rPr>
                <w:rFonts w:eastAsiaTheme="majorEastAsia" w:cstheme="minorHAnsi"/>
                <w:b/>
                <w:bCs/>
                <w:sz w:val="21"/>
                <w:szCs w:val="21"/>
                <w:rtl/>
              </w:rPr>
              <w:t>איור א'-2: שינוי ביתרת הנכסים בתיק בשנת 2025</w:t>
            </w:r>
          </w:p>
          <w:p w:rsidR="007C64D9" w:rsidRPr="00D16BE4" w:rsidRDefault="007C64D9" w:rsidP="007C64D9">
            <w:pPr>
              <w:spacing w:after="180"/>
              <w:ind w:right="-113"/>
              <w:rPr>
                <w:rFonts w:eastAsiaTheme="majorEastAsia" w:cstheme="minorHAnsi"/>
                <w:sz w:val="18"/>
                <w:szCs w:val="18"/>
                <w:rtl/>
              </w:rPr>
            </w:pPr>
            <w:r w:rsidRPr="00D16BE4">
              <w:rPr>
                <w:rFonts w:eastAsiaTheme="majorEastAsia" w:cstheme="minorHAnsi"/>
                <w:noProof/>
                <w:sz w:val="18"/>
                <w:szCs w:val="18"/>
              </w:rPr>
              <w:drawing>
                <wp:anchor distT="0" distB="0" distL="114300" distR="114300" simplePos="0" relativeHeight="251725824" behindDoc="0" locked="0" layoutInCell="1" allowOverlap="1" wp14:anchorId="100CD41D" wp14:editId="57321375">
                  <wp:simplePos x="0" y="0"/>
                  <wp:positionH relativeFrom="column">
                    <wp:posOffset>121920</wp:posOffset>
                  </wp:positionH>
                  <wp:positionV relativeFrom="paragraph">
                    <wp:posOffset>163195</wp:posOffset>
                  </wp:positionV>
                  <wp:extent cx="2346960" cy="1398270"/>
                  <wp:effectExtent l="0" t="0" r="0" b="0"/>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960" cy="1398270"/>
                          </a:xfrm>
                          <a:prstGeom prst="rect">
                            <a:avLst/>
                          </a:prstGeom>
                          <a:noFill/>
                        </pic:spPr>
                      </pic:pic>
                    </a:graphicData>
                  </a:graphic>
                  <wp14:sizeRelH relativeFrom="margin">
                    <wp14:pctWidth>0</wp14:pctWidth>
                  </wp14:sizeRelH>
                  <wp14:sizeRelV relativeFrom="margin">
                    <wp14:pctHeight>0</wp14:pctHeight>
                  </wp14:sizeRelV>
                </wp:anchor>
              </w:drawing>
            </w:r>
            <w:r w:rsidRPr="00D16BE4">
              <w:rPr>
                <w:rFonts w:eastAsiaTheme="majorEastAsia" w:cstheme="minorHAnsi"/>
                <w:sz w:val="18"/>
                <w:szCs w:val="18"/>
                <w:rtl/>
              </w:rPr>
              <w:t>שינוי במיליארדי ש"ח (עמודות) ושינוי באחוזים (בועות)</w:t>
            </w:r>
          </w:p>
          <w:p w:rsidR="007C64D9" w:rsidRPr="00D16BE4" w:rsidRDefault="007C64D9" w:rsidP="007C64D9">
            <w:pPr>
              <w:ind w:right="-112"/>
              <w:rPr>
                <w:rFonts w:eastAsiaTheme="majorEastAsia" w:cstheme="minorHAnsi"/>
                <w:b/>
                <w:bCs/>
                <w:sz w:val="16"/>
                <w:szCs w:val="16"/>
                <w:rtl/>
              </w:rPr>
            </w:pPr>
            <w:r w:rsidRPr="00D16BE4">
              <w:rPr>
                <w:rFonts w:eastAsiaTheme="majorEastAsia" w:cstheme="minorHAnsi"/>
                <w:sz w:val="16"/>
                <w:szCs w:val="16"/>
                <w:rtl/>
              </w:rPr>
              <w:t xml:space="preserve">*נכסים אחרים - </w:t>
            </w:r>
            <w:r w:rsidRPr="00D16BE4">
              <w:rPr>
                <w:rFonts w:cstheme="minorHAnsi"/>
                <w:sz w:val="16"/>
                <w:szCs w:val="16"/>
                <w:rtl/>
              </w:rPr>
              <w:t>נכסים המנוהלים בידי המוסדיים וכוללים מניות לא סחירות, הלוואות, תיקי משכנתאות, זכויות מקרקעין ונגזרים.</w:t>
            </w:r>
          </w:p>
          <w:p w:rsidR="007C64D9" w:rsidRPr="00D16BE4" w:rsidRDefault="007C64D9" w:rsidP="007C64D9">
            <w:pPr>
              <w:ind w:right="-112"/>
              <w:rPr>
                <w:rFonts w:eastAsiaTheme="majorEastAsia" w:cstheme="minorHAnsi"/>
                <w:b/>
                <w:bCs/>
                <w:sz w:val="16"/>
                <w:szCs w:val="16"/>
                <w:rtl/>
              </w:rPr>
            </w:pPr>
            <w:r w:rsidRPr="00D16BE4">
              <w:rPr>
                <w:rFonts w:cstheme="minorHAnsi"/>
                <w:noProof/>
                <w:sz w:val="16"/>
                <w:szCs w:val="16"/>
                <w:rtl/>
              </w:rPr>
              <w:t>המקור: נתוני ועיבודי בנק ישראל.</w:t>
            </w:r>
          </w:p>
          <w:p w:rsidR="007C64D9" w:rsidRPr="00D16BE4" w:rsidRDefault="007C64D9" w:rsidP="00CE65B8">
            <w:pPr>
              <w:rPr>
                <w:rFonts w:cstheme="minorHAnsi"/>
                <w:rtl/>
              </w:rPr>
            </w:pPr>
          </w:p>
        </w:tc>
      </w:tr>
    </w:tbl>
    <w:p w:rsidR="007C64D9" w:rsidRPr="00D16BE4" w:rsidRDefault="007C64D9">
      <w:pPr>
        <w:bidi w:val="0"/>
        <w:rPr>
          <w:rFonts w:cstheme="minorHAnsi"/>
          <w:b/>
          <w:bCs/>
          <w:sz w:val="24"/>
          <w:szCs w:val="24"/>
          <w:rtl/>
        </w:rPr>
      </w:pPr>
      <w:r w:rsidRPr="00D16BE4">
        <w:rPr>
          <w:rFonts w:cstheme="minorHAnsi"/>
          <w:b/>
          <w:bCs/>
          <w:sz w:val="24"/>
          <w:szCs w:val="24"/>
          <w:rtl/>
        </w:rPr>
        <w:br w:type="page"/>
      </w:r>
    </w:p>
    <w:p w:rsidR="001504F0" w:rsidRPr="00D16BE4" w:rsidRDefault="001504F0" w:rsidP="00DD735B">
      <w:pPr>
        <w:spacing w:line="360" w:lineRule="auto"/>
        <w:jc w:val="both"/>
        <w:rPr>
          <w:rFonts w:cstheme="minorHAnsi"/>
          <w:b/>
          <w:bCs/>
          <w:sz w:val="24"/>
          <w:szCs w:val="24"/>
          <w:rtl/>
        </w:rPr>
      </w:pPr>
    </w:p>
    <w:tbl>
      <w:tblPr>
        <w:tblStyle w:val="TableGrid"/>
        <w:tblpPr w:vertAnchor="text" w:horzAnchor="margin" w:tblpX="-328" w:tblpY="1"/>
        <w:bidiVisual/>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tblGrid>
      <w:tr w:rsidR="002C4239" w:rsidRPr="00D16BE4" w:rsidTr="002C4239">
        <w:tc>
          <w:tcPr>
            <w:tcW w:w="5184" w:type="dxa"/>
          </w:tcPr>
          <w:p w:rsidR="002C4239" w:rsidRPr="00D16BE4" w:rsidRDefault="002C4239" w:rsidP="002C4239">
            <w:pPr>
              <w:spacing w:line="360" w:lineRule="auto"/>
              <w:ind w:left="1109"/>
              <w:jc w:val="both"/>
              <w:rPr>
                <w:rFonts w:cstheme="minorHAnsi"/>
                <w:sz w:val="24"/>
                <w:szCs w:val="24"/>
                <w:rtl/>
              </w:rPr>
            </w:pPr>
            <w:r w:rsidRPr="00D16BE4">
              <w:rPr>
                <w:rFonts w:cstheme="minorHAnsi"/>
                <w:noProof/>
                <w:sz w:val="24"/>
                <w:szCs w:val="24"/>
                <w:rtl/>
              </w:rPr>
              <w:t xml:space="preserve"> </w:t>
            </w:r>
          </w:p>
        </w:tc>
      </w:tr>
    </w:tbl>
    <w:tbl>
      <w:tblPr>
        <w:tblStyle w:val="TableGrid"/>
        <w:bidiVisual/>
        <w:tblW w:w="0" w:type="auto"/>
        <w:tblLook w:val="04A0" w:firstRow="1" w:lastRow="0" w:firstColumn="1" w:lastColumn="0" w:noHBand="0" w:noVBand="1"/>
      </w:tblPr>
      <w:tblGrid>
        <w:gridCol w:w="5067"/>
        <w:gridCol w:w="4669"/>
      </w:tblGrid>
      <w:tr w:rsidR="00E277CA" w:rsidRPr="00D16BE4" w:rsidTr="00115C95">
        <w:trPr>
          <w:trHeight w:val="985"/>
        </w:trPr>
        <w:tc>
          <w:tcPr>
            <w:tcW w:w="9736" w:type="dxa"/>
            <w:gridSpan w:val="2"/>
            <w:tcBorders>
              <w:top w:val="single" w:sz="4" w:space="0" w:color="auto"/>
              <w:bottom w:val="nil"/>
            </w:tcBorders>
          </w:tcPr>
          <w:p w:rsidR="00E277CA" w:rsidRPr="00D16BE4" w:rsidRDefault="00E277CA" w:rsidP="001E6C98">
            <w:pPr>
              <w:pStyle w:val="ListParagraph"/>
              <w:numPr>
                <w:ilvl w:val="0"/>
                <w:numId w:val="42"/>
              </w:numPr>
              <w:jc w:val="center"/>
              <w:rPr>
                <w:rFonts w:cstheme="minorHAnsi"/>
                <w:b/>
                <w:bCs/>
                <w:rtl/>
              </w:rPr>
            </w:pPr>
            <w:r w:rsidRPr="00D16BE4">
              <w:rPr>
                <w:rFonts w:cstheme="minorHAnsi"/>
                <w:b/>
                <w:bCs/>
                <w:rtl/>
              </w:rPr>
              <w:t>החוב של המגזר הפרטי הלא-פיננסי</w:t>
            </w:r>
          </w:p>
        </w:tc>
      </w:tr>
      <w:tr w:rsidR="00185A7B" w:rsidRPr="00D16BE4" w:rsidTr="00115C95">
        <w:trPr>
          <w:trHeight w:val="7791"/>
        </w:trPr>
        <w:tc>
          <w:tcPr>
            <w:tcW w:w="5067" w:type="dxa"/>
            <w:tcBorders>
              <w:top w:val="nil"/>
              <w:right w:val="nil"/>
            </w:tcBorders>
          </w:tcPr>
          <w:p w:rsidR="00893EFE" w:rsidRPr="00D16BE4" w:rsidRDefault="00893EFE" w:rsidP="00EE2AE8">
            <w:pPr>
              <w:pStyle w:val="NoSpacing"/>
              <w:numPr>
                <w:ilvl w:val="0"/>
                <w:numId w:val="34"/>
              </w:numPr>
              <w:spacing w:line="360" w:lineRule="auto"/>
              <w:ind w:left="416" w:right="371" w:hanging="416"/>
              <w:jc w:val="both"/>
              <w:rPr>
                <w:rFonts w:cstheme="minorHAnsi"/>
                <w:color w:val="000000" w:themeColor="text1"/>
                <w:rtl/>
              </w:rPr>
            </w:pPr>
            <w:r w:rsidRPr="00D16BE4">
              <w:rPr>
                <w:rFonts w:cstheme="minorHAnsi"/>
                <w:color w:val="000000" w:themeColor="text1"/>
                <w:rtl/>
              </w:rPr>
              <w:t>יתרת החוב של המגזר הפרטי הלא-פיננסי עלתה במהלך 2025 בכ-204 מיליארד ש"ח (9%), היקף הגבוה מזה שנרשם בשנה הקודמת</w:t>
            </w:r>
            <w:r w:rsidR="00EE2AE8" w:rsidRPr="00D16BE4">
              <w:rPr>
                <w:rFonts w:cstheme="minorHAnsi"/>
                <w:color w:val="000000" w:themeColor="text1"/>
                <w:rtl/>
              </w:rPr>
              <w:t>, ועמדה בסופה על כ-2.5 טריליון ₪</w:t>
            </w:r>
            <w:r w:rsidRPr="00D16BE4">
              <w:rPr>
                <w:rFonts w:cstheme="minorHAnsi"/>
                <w:color w:val="000000" w:themeColor="text1"/>
                <w:rtl/>
              </w:rPr>
              <w:t xml:space="preserve">. </w:t>
            </w:r>
          </w:p>
          <w:p w:rsidR="00E277CA" w:rsidRPr="00D16BE4" w:rsidRDefault="005E47B4" w:rsidP="00893EFE">
            <w:pPr>
              <w:pStyle w:val="NoSpacing"/>
              <w:numPr>
                <w:ilvl w:val="0"/>
                <w:numId w:val="34"/>
              </w:numPr>
              <w:spacing w:line="360" w:lineRule="auto"/>
              <w:ind w:left="416" w:right="371" w:hanging="416"/>
              <w:jc w:val="both"/>
              <w:rPr>
                <w:rFonts w:cstheme="minorHAnsi"/>
                <w:color w:val="000000" w:themeColor="text1"/>
              </w:rPr>
            </w:pPr>
            <w:r w:rsidRPr="00D16BE4">
              <w:rPr>
                <w:rFonts w:cstheme="minorHAnsi"/>
                <w:color w:val="000000" w:themeColor="text1"/>
                <w:rtl/>
              </w:rPr>
              <w:t>שיעור הגידול ביתרת החוב של המגזר</w:t>
            </w:r>
            <w:r w:rsidR="00E277CA" w:rsidRPr="00D16BE4">
              <w:rPr>
                <w:rFonts w:cstheme="minorHAnsi"/>
                <w:color w:val="000000" w:themeColor="text1"/>
                <w:rtl/>
              </w:rPr>
              <w:t xml:space="preserve"> העסקי עלה ב-1</w:t>
            </w:r>
            <w:r w:rsidR="00D00647" w:rsidRPr="00D16BE4">
              <w:rPr>
                <w:rFonts w:cstheme="minorHAnsi"/>
                <w:color w:val="000000" w:themeColor="text1"/>
                <w:rtl/>
              </w:rPr>
              <w:t>1</w:t>
            </w:r>
            <w:r w:rsidR="00E277CA" w:rsidRPr="00D16BE4">
              <w:rPr>
                <w:rFonts w:cstheme="minorHAnsi"/>
                <w:color w:val="000000" w:themeColor="text1"/>
                <w:rtl/>
              </w:rPr>
              <w:t xml:space="preserve">% </w:t>
            </w:r>
            <w:r w:rsidRPr="00D16BE4">
              <w:rPr>
                <w:rFonts w:cstheme="minorHAnsi"/>
                <w:color w:val="000000" w:themeColor="text1"/>
                <w:rtl/>
              </w:rPr>
              <w:t>(גבוה משיעור ה</w:t>
            </w:r>
            <w:r w:rsidR="00EE2AE8" w:rsidRPr="00D16BE4">
              <w:rPr>
                <w:rFonts w:cstheme="minorHAnsi"/>
                <w:color w:val="000000" w:themeColor="text1"/>
                <w:rtl/>
              </w:rPr>
              <w:t xml:space="preserve">גידול הממוצע בעשור האחרון - 6%), </w:t>
            </w:r>
            <w:r w:rsidR="00EE2AE8" w:rsidRPr="00D16BE4">
              <w:rPr>
                <w:rFonts w:cstheme="minorHAnsi"/>
                <w:sz w:val="21"/>
                <w:szCs w:val="21"/>
                <w:rtl/>
              </w:rPr>
              <w:t>בעיקר כתוצאה מגיוסי חוב נטו שהתרכזו באפיקי ההלוואות הבנקאיות והאג"ח הסחירות בארץ.</w:t>
            </w:r>
          </w:p>
          <w:p w:rsidR="00E277CA" w:rsidRPr="00D16BE4" w:rsidRDefault="00E277CA" w:rsidP="00893EFE">
            <w:pPr>
              <w:pStyle w:val="NoSpacing"/>
              <w:numPr>
                <w:ilvl w:val="0"/>
                <w:numId w:val="34"/>
              </w:numPr>
              <w:spacing w:line="360" w:lineRule="auto"/>
              <w:ind w:left="416" w:right="371" w:hanging="416"/>
              <w:jc w:val="both"/>
              <w:rPr>
                <w:rFonts w:cstheme="minorHAnsi"/>
                <w:color w:val="000000" w:themeColor="text1"/>
              </w:rPr>
            </w:pPr>
            <w:r w:rsidRPr="00D16BE4">
              <w:rPr>
                <w:rFonts w:cstheme="minorHAnsi"/>
                <w:color w:val="000000" w:themeColor="text1"/>
                <w:rtl/>
              </w:rPr>
              <w:t>עיקר הגידול בחוב העסקי נרשם בענפי הנדל"ן והבינוי</w:t>
            </w:r>
            <w:r w:rsidR="00115C95" w:rsidRPr="00D16BE4">
              <w:rPr>
                <w:rFonts w:cstheme="minorHAnsi"/>
                <w:color w:val="000000" w:themeColor="text1"/>
                <w:rtl/>
              </w:rPr>
              <w:t xml:space="preserve"> ש</w:t>
            </w:r>
            <w:r w:rsidR="005E47B4" w:rsidRPr="00D16BE4">
              <w:rPr>
                <w:rFonts w:cstheme="minorHAnsi"/>
                <w:color w:val="000000" w:themeColor="text1"/>
                <w:rtl/>
              </w:rPr>
              <w:t>הגיע ל</w:t>
            </w:r>
            <w:r w:rsidRPr="00D16BE4">
              <w:rPr>
                <w:rFonts w:cstheme="minorHAnsi"/>
                <w:color w:val="000000" w:themeColor="text1"/>
                <w:rtl/>
              </w:rPr>
              <w:t>-534 מיליארד ₪</w:t>
            </w:r>
            <w:r w:rsidR="00D00647" w:rsidRPr="00D16BE4">
              <w:rPr>
                <w:rFonts w:cstheme="minorHAnsi"/>
                <w:color w:val="000000" w:themeColor="text1"/>
                <w:rtl/>
              </w:rPr>
              <w:t xml:space="preserve"> בספטמבר 2025</w:t>
            </w:r>
            <w:r w:rsidRPr="00D16BE4">
              <w:rPr>
                <w:rFonts w:cstheme="minorHAnsi"/>
                <w:color w:val="000000" w:themeColor="text1"/>
                <w:rtl/>
              </w:rPr>
              <w:t>,</w:t>
            </w:r>
            <w:r w:rsidR="00115C95" w:rsidRPr="00D16BE4">
              <w:rPr>
                <w:rFonts w:cstheme="minorHAnsi"/>
                <w:color w:val="000000" w:themeColor="text1"/>
                <w:rtl/>
              </w:rPr>
              <w:t xml:space="preserve"> המהווים 36% מהחוב העסקי.</w:t>
            </w:r>
          </w:p>
          <w:p w:rsidR="00E277CA" w:rsidRPr="00D16BE4" w:rsidRDefault="00185A7B" w:rsidP="006870CC">
            <w:pPr>
              <w:pStyle w:val="NoSpacing"/>
              <w:numPr>
                <w:ilvl w:val="0"/>
                <w:numId w:val="34"/>
              </w:numPr>
              <w:spacing w:line="360" w:lineRule="auto"/>
              <w:ind w:left="416" w:right="371" w:hanging="416"/>
              <w:jc w:val="both"/>
              <w:rPr>
                <w:rFonts w:cstheme="minorHAnsi"/>
                <w:color w:val="000000" w:themeColor="text1"/>
              </w:rPr>
            </w:pPr>
            <w:r w:rsidRPr="00D16BE4">
              <w:rPr>
                <w:rFonts w:cstheme="minorHAnsi"/>
                <w:color w:val="000000" w:themeColor="text1"/>
                <w:rtl/>
              </w:rPr>
              <w:t>יתרת החוב של משקי הבית (לדיור ושלא-לדיור) עלתה במהלך שנת 2025 בהיקף של כ-57 מיליארדי ₪ (7%</w:t>
            </w:r>
            <w:r w:rsidR="00743983" w:rsidRPr="00D16BE4">
              <w:rPr>
                <w:rFonts w:cstheme="minorHAnsi"/>
                <w:color w:val="000000" w:themeColor="text1"/>
                <w:rtl/>
              </w:rPr>
              <w:t>, בדומה לשיעור הגידול הממוצע בעשור האחרון</w:t>
            </w:r>
            <w:r w:rsidRPr="00D16BE4">
              <w:rPr>
                <w:rFonts w:cstheme="minorHAnsi"/>
                <w:color w:val="000000" w:themeColor="text1"/>
                <w:rtl/>
              </w:rPr>
              <w:t>) לכ-903 מיליארדי ₪. חוב משקי הבית לדיור המשיך להוות את עיקר החוב - 72%.</w:t>
            </w:r>
            <w:r w:rsidR="002B7174" w:rsidRPr="00D16BE4">
              <w:rPr>
                <w:rFonts w:cstheme="minorHAnsi"/>
                <w:color w:val="000000" w:themeColor="text1"/>
                <w:rtl/>
              </w:rPr>
              <w:t xml:space="preserve"> מקור העלייה בחוב לדיור היה בנטילת משכנתאות, אם כי במהלך השנה נרשמה התייצבות בקצב הגידול.</w:t>
            </w:r>
          </w:p>
          <w:p w:rsidR="00185A7B" w:rsidRPr="00D16BE4" w:rsidRDefault="00185A7B" w:rsidP="00893EFE">
            <w:pPr>
              <w:pStyle w:val="NoSpacing"/>
              <w:numPr>
                <w:ilvl w:val="0"/>
                <w:numId w:val="34"/>
              </w:numPr>
              <w:spacing w:line="360" w:lineRule="auto"/>
              <w:ind w:left="416" w:right="371" w:hanging="416"/>
              <w:jc w:val="both"/>
              <w:rPr>
                <w:rFonts w:cstheme="minorHAnsi"/>
                <w:color w:val="000000" w:themeColor="text1"/>
                <w:rtl/>
              </w:rPr>
            </w:pPr>
            <w:r w:rsidRPr="00D16BE4">
              <w:rPr>
                <w:rFonts w:cstheme="minorHAnsi"/>
                <w:color w:val="000000" w:themeColor="text1"/>
                <w:rtl/>
              </w:rPr>
              <w:t xml:space="preserve">היקף המשכנתאות החדשות שנטלו משקי הבית מהבנקים בשנת 2025 הסתכם בכ-106 </w:t>
            </w:r>
            <w:r w:rsidR="00743983" w:rsidRPr="00D16BE4">
              <w:rPr>
                <w:rFonts w:cstheme="minorHAnsi"/>
                <w:color w:val="000000" w:themeColor="text1"/>
                <w:rtl/>
              </w:rPr>
              <w:t>מיליארדי</w:t>
            </w:r>
            <w:r w:rsidRPr="00D16BE4">
              <w:rPr>
                <w:rFonts w:cstheme="minorHAnsi"/>
                <w:color w:val="000000" w:themeColor="text1"/>
                <w:rtl/>
              </w:rPr>
              <w:t xml:space="preserve"> ₪, גבוה מ</w:t>
            </w:r>
            <w:r w:rsidR="00D00647" w:rsidRPr="00D16BE4">
              <w:rPr>
                <w:rFonts w:cstheme="minorHAnsi"/>
                <w:color w:val="000000" w:themeColor="text1"/>
                <w:rtl/>
              </w:rPr>
              <w:t>רוב</w:t>
            </w:r>
            <w:r w:rsidR="00070950" w:rsidRPr="00D16BE4">
              <w:rPr>
                <w:rFonts w:cstheme="minorHAnsi"/>
                <w:color w:val="000000" w:themeColor="text1"/>
                <w:rtl/>
              </w:rPr>
              <w:t xml:space="preserve"> השנים הקודמות.</w:t>
            </w:r>
          </w:p>
        </w:tc>
        <w:tc>
          <w:tcPr>
            <w:tcW w:w="4669" w:type="dxa"/>
            <w:tcBorders>
              <w:top w:val="nil"/>
              <w:left w:val="nil"/>
            </w:tcBorders>
          </w:tcPr>
          <w:p w:rsidR="00185A7B" w:rsidRPr="00D16BE4" w:rsidRDefault="00E277CA" w:rsidP="00CE65B8">
            <w:pPr>
              <w:jc w:val="both"/>
              <w:rPr>
                <w:rFonts w:eastAsiaTheme="majorEastAsia" w:cstheme="minorHAnsi"/>
                <w:b/>
                <w:bCs/>
                <w:sz w:val="20"/>
                <w:szCs w:val="20"/>
                <w:rtl/>
              </w:rPr>
            </w:pPr>
            <w:r w:rsidRPr="00D16BE4">
              <w:rPr>
                <w:rFonts w:eastAsiaTheme="majorEastAsia" w:cstheme="minorHAnsi"/>
                <w:b/>
                <w:bCs/>
                <w:sz w:val="20"/>
                <w:szCs w:val="20"/>
                <w:rtl/>
              </w:rPr>
              <w:t xml:space="preserve">איור </w:t>
            </w:r>
            <w:r w:rsidR="00185A7B" w:rsidRPr="00D16BE4">
              <w:rPr>
                <w:rFonts w:eastAsiaTheme="majorEastAsia" w:cstheme="minorHAnsi"/>
                <w:b/>
                <w:bCs/>
                <w:sz w:val="20"/>
                <w:szCs w:val="20"/>
                <w:rtl/>
              </w:rPr>
              <w:t>ב-1:</w:t>
            </w:r>
            <w:r w:rsidRPr="00D16BE4">
              <w:rPr>
                <w:rFonts w:eastAsiaTheme="majorEastAsia" w:cstheme="minorHAnsi"/>
                <w:b/>
                <w:bCs/>
                <w:sz w:val="20"/>
                <w:szCs w:val="20"/>
                <w:rtl/>
              </w:rPr>
              <w:t xml:space="preserve"> יתרת </w:t>
            </w:r>
            <w:r w:rsidR="00185A7B" w:rsidRPr="00D16BE4">
              <w:rPr>
                <w:rFonts w:eastAsiaTheme="majorEastAsia" w:cstheme="minorHAnsi"/>
                <w:b/>
                <w:bCs/>
                <w:sz w:val="20"/>
                <w:szCs w:val="20"/>
                <w:rtl/>
              </w:rPr>
              <w:t>החוב של המגזר הפרטי הלא-פיננסי</w:t>
            </w:r>
          </w:p>
          <w:p w:rsidR="00185A7B" w:rsidRPr="00D16BE4" w:rsidRDefault="00D00647" w:rsidP="00D00647">
            <w:pPr>
              <w:rPr>
                <w:rFonts w:cstheme="minorHAnsi"/>
                <w:noProof/>
                <w:sz w:val="18"/>
                <w:szCs w:val="18"/>
                <w:rtl/>
              </w:rPr>
            </w:pPr>
            <w:r w:rsidRPr="00D16BE4">
              <w:rPr>
                <w:rFonts w:eastAsiaTheme="majorEastAsia" w:cstheme="minorHAnsi"/>
                <w:noProof/>
                <w:sz w:val="16"/>
                <w:szCs w:val="16"/>
                <w:rtl/>
              </w:rPr>
              <w:drawing>
                <wp:anchor distT="0" distB="0" distL="114300" distR="114300" simplePos="0" relativeHeight="251715584" behindDoc="0" locked="0" layoutInCell="1" allowOverlap="1" wp14:anchorId="2EF6A2F6" wp14:editId="46D67D46">
                  <wp:simplePos x="0" y="0"/>
                  <wp:positionH relativeFrom="column">
                    <wp:posOffset>121963</wp:posOffset>
                  </wp:positionH>
                  <wp:positionV relativeFrom="paragraph">
                    <wp:posOffset>155614</wp:posOffset>
                  </wp:positionV>
                  <wp:extent cx="2700000" cy="1620000"/>
                  <wp:effectExtent l="0" t="0" r="5715" b="0"/>
                  <wp:wrapTopAndBottom/>
                  <wp:docPr id="6" name="תמונה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6BE4">
              <w:rPr>
                <w:rFonts w:eastAsiaTheme="majorEastAsia" w:cstheme="minorHAnsi"/>
                <w:sz w:val="18"/>
                <w:szCs w:val="18"/>
                <w:rtl/>
              </w:rPr>
              <w:t>ב</w:t>
            </w:r>
            <w:r w:rsidR="00185A7B" w:rsidRPr="00D16BE4">
              <w:rPr>
                <w:rFonts w:eastAsiaTheme="majorEastAsia" w:cstheme="minorHAnsi"/>
                <w:sz w:val="18"/>
                <w:szCs w:val="18"/>
                <w:rtl/>
              </w:rPr>
              <w:t xml:space="preserve">מיליארדי </w:t>
            </w:r>
            <w:r w:rsidR="0040348C" w:rsidRPr="00D16BE4">
              <w:rPr>
                <w:rFonts w:eastAsiaTheme="majorEastAsia" w:cstheme="minorHAnsi"/>
                <w:sz w:val="18"/>
                <w:szCs w:val="18"/>
                <w:rtl/>
              </w:rPr>
              <w:t>₪</w:t>
            </w:r>
            <w:r w:rsidR="0040348C" w:rsidRPr="00D16BE4">
              <w:rPr>
                <w:rFonts w:cstheme="minorHAnsi"/>
                <w:noProof/>
                <w:rtl/>
              </w:rPr>
              <w:t xml:space="preserve"> </w:t>
            </w:r>
            <w:r w:rsidRPr="00D16BE4">
              <w:rPr>
                <w:rFonts w:eastAsiaTheme="majorEastAsia" w:cstheme="minorHAnsi"/>
                <w:noProof/>
                <w:sz w:val="16"/>
                <w:szCs w:val="16"/>
                <w:rtl/>
              </w:rPr>
              <w:t xml:space="preserve"> </w:t>
            </w:r>
          </w:p>
          <w:p w:rsidR="00E277CA" w:rsidRPr="00D16BE4" w:rsidRDefault="00E277CA" w:rsidP="00CE65B8">
            <w:pPr>
              <w:jc w:val="both"/>
              <w:rPr>
                <w:rFonts w:cstheme="minorHAnsi"/>
                <w:noProof/>
                <w:sz w:val="16"/>
                <w:szCs w:val="16"/>
                <w:rtl/>
              </w:rPr>
            </w:pPr>
            <w:r w:rsidRPr="00D16BE4">
              <w:rPr>
                <w:rFonts w:eastAsiaTheme="majorEastAsia" w:cstheme="minorHAnsi"/>
                <w:b/>
                <w:bCs/>
                <w:sz w:val="18"/>
                <w:szCs w:val="18"/>
                <w:rtl/>
              </w:rPr>
              <w:t xml:space="preserve"> </w:t>
            </w:r>
            <w:r w:rsidRPr="00D16BE4">
              <w:rPr>
                <w:rFonts w:cstheme="minorHAnsi"/>
                <w:noProof/>
                <w:sz w:val="16"/>
                <w:szCs w:val="16"/>
                <w:rtl/>
              </w:rPr>
              <w:t xml:space="preserve">המקור: </w:t>
            </w:r>
            <w:r w:rsidR="00185A7B" w:rsidRPr="00D16BE4">
              <w:rPr>
                <w:rFonts w:cstheme="minorHAnsi"/>
                <w:noProof/>
                <w:sz w:val="16"/>
                <w:szCs w:val="16"/>
                <w:rtl/>
              </w:rPr>
              <w:t>דיווחים לבנק ישראל, הבורסה לני"ע ועיבודי בנק ישראל.</w:t>
            </w:r>
          </w:p>
          <w:p w:rsidR="00185A7B" w:rsidRPr="00D16BE4" w:rsidRDefault="00185A7B" w:rsidP="00185A7B">
            <w:pPr>
              <w:spacing w:line="360" w:lineRule="auto"/>
              <w:jc w:val="both"/>
              <w:rPr>
                <w:rFonts w:cstheme="minorHAnsi"/>
                <w:rtl/>
              </w:rPr>
            </w:pPr>
          </w:p>
          <w:p w:rsidR="00185A7B" w:rsidRPr="00D16BE4" w:rsidRDefault="00185A7B" w:rsidP="00CE65B8">
            <w:pPr>
              <w:jc w:val="both"/>
              <w:rPr>
                <w:rFonts w:eastAsiaTheme="majorEastAsia" w:cstheme="minorHAnsi"/>
                <w:b/>
                <w:bCs/>
                <w:sz w:val="20"/>
                <w:szCs w:val="20"/>
                <w:rtl/>
              </w:rPr>
            </w:pPr>
            <w:r w:rsidRPr="00D16BE4">
              <w:rPr>
                <w:rFonts w:eastAsiaTheme="majorEastAsia" w:cstheme="minorHAnsi"/>
                <w:b/>
                <w:bCs/>
                <w:sz w:val="20"/>
                <w:szCs w:val="20"/>
                <w:rtl/>
              </w:rPr>
              <w:t>איור ב-</w:t>
            </w:r>
            <w:r w:rsidR="00115C95" w:rsidRPr="00D16BE4">
              <w:rPr>
                <w:rFonts w:eastAsiaTheme="majorEastAsia" w:cstheme="minorHAnsi"/>
                <w:b/>
                <w:bCs/>
                <w:sz w:val="20"/>
                <w:szCs w:val="20"/>
                <w:rtl/>
              </w:rPr>
              <w:t>2</w:t>
            </w:r>
            <w:r w:rsidRPr="00D16BE4">
              <w:rPr>
                <w:rFonts w:eastAsiaTheme="majorEastAsia" w:cstheme="minorHAnsi"/>
                <w:b/>
                <w:bCs/>
                <w:sz w:val="20"/>
                <w:szCs w:val="20"/>
                <w:rtl/>
              </w:rPr>
              <w:t>: יתרת החוב של משקי הבית, לדיור ולא-לדיור</w:t>
            </w:r>
          </w:p>
          <w:p w:rsidR="00185A7B" w:rsidRPr="00D16BE4" w:rsidRDefault="00D00647" w:rsidP="00CE65B8">
            <w:pPr>
              <w:rPr>
                <w:rFonts w:cstheme="minorHAnsi"/>
                <w:noProof/>
                <w:sz w:val="18"/>
                <w:szCs w:val="18"/>
                <w:rtl/>
              </w:rPr>
            </w:pPr>
            <w:r w:rsidRPr="00D16BE4">
              <w:rPr>
                <w:rFonts w:eastAsiaTheme="majorEastAsia" w:cstheme="minorHAnsi"/>
                <w:noProof/>
                <w:sz w:val="16"/>
                <w:szCs w:val="16"/>
                <w:rtl/>
              </w:rPr>
              <w:drawing>
                <wp:anchor distT="0" distB="0" distL="114300" distR="114300" simplePos="0" relativeHeight="251717632" behindDoc="0" locked="0" layoutInCell="1" allowOverlap="1" wp14:anchorId="798FC448" wp14:editId="1B69E868">
                  <wp:simplePos x="0" y="0"/>
                  <wp:positionH relativeFrom="column">
                    <wp:posOffset>173990</wp:posOffset>
                  </wp:positionH>
                  <wp:positionV relativeFrom="paragraph">
                    <wp:posOffset>180975</wp:posOffset>
                  </wp:positionV>
                  <wp:extent cx="2627630" cy="1598295"/>
                  <wp:effectExtent l="0" t="0" r="1270" b="1905"/>
                  <wp:wrapTopAndBottom/>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7630"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6BE4">
              <w:rPr>
                <w:rFonts w:cstheme="minorHAnsi"/>
                <w:noProof/>
                <w:sz w:val="18"/>
                <w:szCs w:val="18"/>
                <w:rtl/>
              </w:rPr>
              <w:t>ב</w:t>
            </w:r>
            <w:r w:rsidR="00185A7B" w:rsidRPr="00D16BE4">
              <w:rPr>
                <w:rFonts w:cstheme="minorHAnsi"/>
                <w:noProof/>
                <w:sz w:val="18"/>
                <w:szCs w:val="18"/>
                <w:rtl/>
              </w:rPr>
              <w:t>מיליארדי ש"ח</w:t>
            </w:r>
            <w:r w:rsidR="00185A7B" w:rsidRPr="00D16BE4">
              <w:rPr>
                <w:rFonts w:cstheme="minorHAnsi"/>
                <w:noProof/>
              </w:rPr>
              <w:t xml:space="preserve"> </w:t>
            </w:r>
          </w:p>
          <w:p w:rsidR="00185A7B" w:rsidRPr="00D16BE4" w:rsidRDefault="00185A7B" w:rsidP="00CE65B8">
            <w:pPr>
              <w:jc w:val="both"/>
              <w:rPr>
                <w:rFonts w:cstheme="minorHAnsi"/>
                <w:noProof/>
                <w:sz w:val="16"/>
                <w:szCs w:val="16"/>
                <w:rtl/>
              </w:rPr>
            </w:pPr>
            <w:r w:rsidRPr="00D16BE4">
              <w:rPr>
                <w:rFonts w:eastAsiaTheme="majorEastAsia" w:cstheme="minorHAnsi"/>
                <w:b/>
                <w:bCs/>
                <w:sz w:val="18"/>
                <w:szCs w:val="18"/>
                <w:rtl/>
              </w:rPr>
              <w:t xml:space="preserve"> </w:t>
            </w:r>
            <w:r w:rsidRPr="00D16BE4">
              <w:rPr>
                <w:rFonts w:cstheme="minorHAnsi"/>
                <w:noProof/>
                <w:sz w:val="16"/>
                <w:szCs w:val="16"/>
                <w:rtl/>
              </w:rPr>
              <w:t>המקור: דיווחים לבנק ישראל ועיבודי בנק ישראל.</w:t>
            </w:r>
          </w:p>
          <w:p w:rsidR="00185A7B" w:rsidRPr="00D16BE4" w:rsidRDefault="00185A7B" w:rsidP="00185A7B">
            <w:pPr>
              <w:spacing w:line="360" w:lineRule="auto"/>
              <w:jc w:val="both"/>
              <w:rPr>
                <w:rFonts w:cstheme="minorHAnsi"/>
                <w:rtl/>
              </w:rPr>
            </w:pPr>
          </w:p>
        </w:tc>
      </w:tr>
    </w:tbl>
    <w:p w:rsidR="00115C95" w:rsidRPr="00D16BE4" w:rsidRDefault="00115C95" w:rsidP="00DD735B">
      <w:pPr>
        <w:spacing w:line="360" w:lineRule="auto"/>
        <w:jc w:val="both"/>
        <w:rPr>
          <w:rFonts w:cstheme="minorHAnsi"/>
          <w:sz w:val="24"/>
          <w:szCs w:val="24"/>
          <w:rtl/>
        </w:rPr>
      </w:pPr>
      <w:r w:rsidRPr="00D16BE4">
        <w:rPr>
          <w:rFonts w:cstheme="minorHAnsi"/>
          <w:sz w:val="24"/>
          <w:szCs w:val="24"/>
          <w:rtl/>
        </w:rPr>
        <w:br/>
      </w:r>
      <w:r w:rsidRPr="00D16BE4">
        <w:rPr>
          <w:rFonts w:cstheme="minorHAnsi"/>
          <w:sz w:val="24"/>
          <w:szCs w:val="24"/>
          <w:rtl/>
        </w:rPr>
        <w:br/>
      </w:r>
    </w:p>
    <w:p w:rsidR="00115C95" w:rsidRPr="00D16BE4" w:rsidRDefault="00115C95">
      <w:pPr>
        <w:bidi w:val="0"/>
        <w:rPr>
          <w:rFonts w:cstheme="minorHAnsi"/>
          <w:sz w:val="24"/>
          <w:szCs w:val="24"/>
          <w:rtl/>
        </w:rPr>
      </w:pPr>
      <w:r w:rsidRPr="00D16BE4">
        <w:rPr>
          <w:rFonts w:cstheme="minorHAnsi"/>
          <w:sz w:val="24"/>
          <w:szCs w:val="24"/>
          <w:rtl/>
        </w:rPr>
        <w:br w:type="page"/>
      </w:r>
    </w:p>
    <w:tbl>
      <w:tblPr>
        <w:tblStyle w:val="TableGrid"/>
        <w:bidiVisual/>
        <w:tblW w:w="0" w:type="auto"/>
        <w:tblLook w:val="04A0" w:firstRow="1" w:lastRow="0" w:firstColumn="1" w:lastColumn="0" w:noHBand="0" w:noVBand="1"/>
      </w:tblPr>
      <w:tblGrid>
        <w:gridCol w:w="5067"/>
        <w:gridCol w:w="4669"/>
      </w:tblGrid>
      <w:tr w:rsidR="00115C95" w:rsidRPr="00D16BE4" w:rsidTr="001E6C98">
        <w:trPr>
          <w:trHeight w:val="985"/>
        </w:trPr>
        <w:tc>
          <w:tcPr>
            <w:tcW w:w="9736" w:type="dxa"/>
            <w:gridSpan w:val="2"/>
            <w:tcBorders>
              <w:top w:val="single" w:sz="4" w:space="0" w:color="auto"/>
              <w:bottom w:val="nil"/>
            </w:tcBorders>
          </w:tcPr>
          <w:p w:rsidR="00115C95" w:rsidRPr="00D16BE4" w:rsidRDefault="00115C95" w:rsidP="001E6C98">
            <w:pPr>
              <w:pStyle w:val="ListParagraph"/>
              <w:numPr>
                <w:ilvl w:val="0"/>
                <w:numId w:val="42"/>
              </w:numPr>
              <w:jc w:val="center"/>
              <w:rPr>
                <w:rFonts w:cstheme="minorHAnsi"/>
                <w:b/>
                <w:bCs/>
                <w:rtl/>
              </w:rPr>
            </w:pPr>
            <w:r w:rsidRPr="00D16BE4">
              <w:rPr>
                <w:rFonts w:cstheme="minorHAnsi"/>
                <w:b/>
                <w:bCs/>
                <w:rtl/>
              </w:rPr>
              <w:lastRenderedPageBreak/>
              <w:t>פעילות המשק מול חו"ל</w:t>
            </w:r>
          </w:p>
        </w:tc>
      </w:tr>
      <w:tr w:rsidR="00115C95" w:rsidRPr="00D16BE4" w:rsidTr="001E6C98">
        <w:trPr>
          <w:trHeight w:val="7791"/>
        </w:trPr>
        <w:tc>
          <w:tcPr>
            <w:tcW w:w="5067" w:type="dxa"/>
            <w:tcBorders>
              <w:top w:val="nil"/>
              <w:right w:val="nil"/>
            </w:tcBorders>
          </w:tcPr>
          <w:p w:rsidR="00115C95" w:rsidRPr="00D16BE4" w:rsidRDefault="00743983" w:rsidP="00743983">
            <w:pPr>
              <w:pStyle w:val="NoSpacing"/>
              <w:numPr>
                <w:ilvl w:val="0"/>
                <w:numId w:val="34"/>
              </w:numPr>
              <w:spacing w:line="360" w:lineRule="auto"/>
              <w:ind w:left="416" w:right="371" w:hanging="416"/>
              <w:jc w:val="both"/>
              <w:rPr>
                <w:rFonts w:cstheme="minorHAnsi"/>
                <w:color w:val="000000" w:themeColor="text1"/>
              </w:rPr>
            </w:pPr>
            <w:r w:rsidRPr="00D16BE4">
              <w:rPr>
                <w:rFonts w:cstheme="minorHAnsi"/>
                <w:color w:val="000000" w:themeColor="text1"/>
                <w:rtl/>
              </w:rPr>
              <w:t>יתרת</w:t>
            </w:r>
            <w:r w:rsidR="00622199" w:rsidRPr="00D16BE4">
              <w:rPr>
                <w:rFonts w:cstheme="minorHAnsi"/>
                <w:color w:val="000000" w:themeColor="text1"/>
                <w:rtl/>
              </w:rPr>
              <w:t xml:space="preserve"> הנכסים של </w:t>
            </w:r>
            <w:r w:rsidR="001D2F07" w:rsidRPr="00D16BE4">
              <w:rPr>
                <w:rFonts w:cstheme="minorHAnsi"/>
                <w:color w:val="000000" w:themeColor="text1"/>
                <w:rtl/>
              </w:rPr>
              <w:t>ישראל</w:t>
            </w:r>
            <w:r w:rsidR="00D00647" w:rsidRPr="00D16BE4">
              <w:rPr>
                <w:rFonts w:cstheme="minorHAnsi"/>
                <w:color w:val="000000" w:themeColor="text1"/>
                <w:rtl/>
              </w:rPr>
              <w:t xml:space="preserve"> </w:t>
            </w:r>
            <w:r w:rsidR="00622199" w:rsidRPr="00D16BE4">
              <w:rPr>
                <w:rFonts w:cstheme="minorHAnsi"/>
                <w:color w:val="000000" w:themeColor="text1"/>
                <w:rtl/>
              </w:rPr>
              <w:t>בחו"ל על</w:t>
            </w:r>
            <w:r w:rsidRPr="00D16BE4">
              <w:rPr>
                <w:rFonts w:cstheme="minorHAnsi"/>
                <w:color w:val="000000" w:themeColor="text1"/>
                <w:rtl/>
              </w:rPr>
              <w:t>תה</w:t>
            </w:r>
            <w:r w:rsidR="00622199" w:rsidRPr="00D16BE4">
              <w:rPr>
                <w:rFonts w:cstheme="minorHAnsi"/>
                <w:color w:val="000000" w:themeColor="text1"/>
                <w:rtl/>
              </w:rPr>
              <w:t xml:space="preserve"> בשנת 2025 ב-</w:t>
            </w:r>
            <w:r w:rsidR="00D00647" w:rsidRPr="00D16BE4">
              <w:rPr>
                <w:rFonts w:cstheme="minorHAnsi"/>
                <w:color w:val="000000" w:themeColor="text1"/>
                <w:rtl/>
              </w:rPr>
              <w:t>17</w:t>
            </w:r>
            <w:r w:rsidR="00622199" w:rsidRPr="00D16BE4">
              <w:rPr>
                <w:rFonts w:cstheme="minorHAnsi"/>
                <w:color w:val="000000" w:themeColor="text1"/>
                <w:rtl/>
              </w:rPr>
              <w:t>% והגיעו ל-</w:t>
            </w:r>
            <w:r w:rsidR="00D00647" w:rsidRPr="00D16BE4">
              <w:rPr>
                <w:rFonts w:cstheme="minorHAnsi"/>
                <w:color w:val="000000" w:themeColor="text1"/>
                <w:rtl/>
              </w:rPr>
              <w:t>915</w:t>
            </w:r>
            <w:r w:rsidR="00622199" w:rsidRPr="00D16BE4">
              <w:rPr>
                <w:rFonts w:cstheme="minorHAnsi"/>
                <w:color w:val="000000" w:themeColor="text1"/>
                <w:rtl/>
              </w:rPr>
              <w:t xml:space="preserve"> מיליארד דולר, יתרות ההתחייבויות של ישראל לחו"ל עלו אף הן ב-</w:t>
            </w:r>
            <w:r w:rsidR="001D2F07" w:rsidRPr="00D16BE4">
              <w:rPr>
                <w:rFonts w:cstheme="minorHAnsi"/>
                <w:color w:val="000000" w:themeColor="text1"/>
                <w:rtl/>
              </w:rPr>
              <w:t>18</w:t>
            </w:r>
            <w:r w:rsidR="00622199" w:rsidRPr="00D16BE4">
              <w:rPr>
                <w:rFonts w:cstheme="minorHAnsi"/>
                <w:color w:val="000000" w:themeColor="text1"/>
                <w:rtl/>
              </w:rPr>
              <w:t xml:space="preserve">% לרמה של </w:t>
            </w:r>
            <w:r w:rsidR="001D2F07" w:rsidRPr="00D16BE4">
              <w:rPr>
                <w:rFonts w:cstheme="minorHAnsi"/>
                <w:color w:val="000000" w:themeColor="text1"/>
                <w:rtl/>
              </w:rPr>
              <w:t>652</w:t>
            </w:r>
            <w:r w:rsidR="00622199" w:rsidRPr="00D16BE4">
              <w:rPr>
                <w:rFonts w:cstheme="minorHAnsi"/>
                <w:color w:val="000000" w:themeColor="text1"/>
                <w:rtl/>
              </w:rPr>
              <w:t xml:space="preserve"> מיליארד דולר.</w:t>
            </w:r>
          </w:p>
          <w:p w:rsidR="00115C95" w:rsidRPr="00D16BE4" w:rsidRDefault="00622199" w:rsidP="001D2F07">
            <w:pPr>
              <w:pStyle w:val="NoSpacing"/>
              <w:numPr>
                <w:ilvl w:val="0"/>
                <w:numId w:val="34"/>
              </w:numPr>
              <w:spacing w:line="360" w:lineRule="auto"/>
              <w:ind w:right="371"/>
              <w:jc w:val="both"/>
              <w:rPr>
                <w:rFonts w:cstheme="minorHAnsi"/>
                <w:color w:val="000000" w:themeColor="text1"/>
              </w:rPr>
            </w:pPr>
            <w:r w:rsidRPr="00D16BE4">
              <w:rPr>
                <w:rFonts w:cstheme="minorHAnsi"/>
                <w:color w:val="000000" w:themeColor="text1"/>
                <w:rtl/>
              </w:rPr>
              <w:t>השקעות נטו של תושבי חוץ בישראל הסתכמו ב-</w:t>
            </w:r>
            <w:r w:rsidR="001D2F07" w:rsidRPr="00D16BE4">
              <w:rPr>
                <w:rFonts w:cstheme="minorHAnsi"/>
                <w:color w:val="000000" w:themeColor="text1"/>
                <w:rtl/>
              </w:rPr>
              <w:t>39</w:t>
            </w:r>
            <w:r w:rsidRPr="00D16BE4">
              <w:rPr>
                <w:rFonts w:cstheme="minorHAnsi"/>
                <w:color w:val="000000" w:themeColor="text1"/>
                <w:rtl/>
              </w:rPr>
              <w:t xml:space="preserve"> מיליארד דולר, מתוכן </w:t>
            </w:r>
            <w:r w:rsidR="001D2F07" w:rsidRPr="00D16BE4">
              <w:rPr>
                <w:rFonts w:cstheme="minorHAnsi"/>
                <w:color w:val="000000" w:themeColor="text1"/>
                <w:rtl/>
              </w:rPr>
              <w:t>26</w:t>
            </w:r>
            <w:r w:rsidRPr="00D16BE4">
              <w:rPr>
                <w:rFonts w:cstheme="minorHAnsi"/>
                <w:color w:val="000000" w:themeColor="text1"/>
                <w:rtl/>
              </w:rPr>
              <w:t xml:space="preserve"> מיליארד דולר השקעות ישירות. ישראלים השקיעו נטו </w:t>
            </w:r>
            <w:r w:rsidR="001D2F07" w:rsidRPr="00D16BE4">
              <w:rPr>
                <w:rFonts w:cstheme="minorHAnsi"/>
                <w:color w:val="000000" w:themeColor="text1"/>
                <w:rtl/>
              </w:rPr>
              <w:t>56</w:t>
            </w:r>
            <w:r w:rsidRPr="00D16BE4">
              <w:rPr>
                <w:rFonts w:cstheme="minorHAnsi"/>
                <w:color w:val="000000" w:themeColor="text1"/>
                <w:rtl/>
              </w:rPr>
              <w:t xml:space="preserve"> מיליארד דולר בחו"ל.</w:t>
            </w:r>
          </w:p>
          <w:p w:rsidR="00115C95" w:rsidRPr="00D16BE4" w:rsidRDefault="00CE65B8" w:rsidP="001D2F07">
            <w:pPr>
              <w:pStyle w:val="NoSpacing"/>
              <w:numPr>
                <w:ilvl w:val="0"/>
                <w:numId w:val="34"/>
              </w:numPr>
              <w:spacing w:line="360" w:lineRule="auto"/>
              <w:ind w:right="371"/>
              <w:jc w:val="both"/>
              <w:rPr>
                <w:rFonts w:cstheme="minorHAnsi"/>
                <w:color w:val="000000" w:themeColor="text1"/>
                <w:rtl/>
              </w:rPr>
            </w:pPr>
            <w:r w:rsidRPr="00D16BE4">
              <w:rPr>
                <w:rFonts w:cstheme="minorHAnsi"/>
                <w:color w:val="000000" w:themeColor="text1"/>
                <w:rtl/>
              </w:rPr>
              <w:t>השקעות נטו של משקי הבית (כולל קרנות נאמנות) נרשמו בכל סוגי ההשקעות ובעיקר בתיק ניירות הערך למסחר בהיקף של כ-</w:t>
            </w:r>
            <w:r w:rsidR="001D2F07" w:rsidRPr="00D16BE4">
              <w:rPr>
                <w:rFonts w:cstheme="minorHAnsi"/>
                <w:color w:val="000000" w:themeColor="text1"/>
                <w:rtl/>
              </w:rPr>
              <w:t>9</w:t>
            </w:r>
            <w:r w:rsidRPr="00D16BE4">
              <w:rPr>
                <w:rFonts w:cstheme="minorHAnsi"/>
                <w:color w:val="000000" w:themeColor="text1"/>
                <w:rtl/>
              </w:rPr>
              <w:t xml:space="preserve"> מיליארדי דולרים.</w:t>
            </w:r>
          </w:p>
        </w:tc>
        <w:tc>
          <w:tcPr>
            <w:tcW w:w="4669" w:type="dxa"/>
            <w:tcBorders>
              <w:top w:val="nil"/>
              <w:left w:val="nil"/>
            </w:tcBorders>
          </w:tcPr>
          <w:p w:rsidR="00115C95" w:rsidRPr="00D16BE4" w:rsidRDefault="00115C95" w:rsidP="00CE65B8">
            <w:pPr>
              <w:jc w:val="both"/>
              <w:rPr>
                <w:rFonts w:eastAsiaTheme="majorEastAsia" w:cstheme="minorHAnsi"/>
                <w:b/>
                <w:bCs/>
                <w:sz w:val="20"/>
                <w:szCs w:val="20"/>
                <w:rtl/>
              </w:rPr>
            </w:pPr>
            <w:r w:rsidRPr="00D16BE4">
              <w:rPr>
                <w:rFonts w:eastAsiaTheme="majorEastAsia" w:cstheme="minorHAnsi"/>
                <w:b/>
                <w:bCs/>
                <w:sz w:val="20"/>
                <w:szCs w:val="20"/>
                <w:rtl/>
              </w:rPr>
              <w:t xml:space="preserve">איור </w:t>
            </w:r>
            <w:r w:rsidR="00CE65B8" w:rsidRPr="00D16BE4">
              <w:rPr>
                <w:rFonts w:eastAsiaTheme="majorEastAsia" w:cstheme="minorHAnsi"/>
                <w:b/>
                <w:bCs/>
                <w:sz w:val="20"/>
                <w:szCs w:val="20"/>
                <w:rtl/>
              </w:rPr>
              <w:t>ג</w:t>
            </w:r>
            <w:r w:rsidRPr="00D16BE4">
              <w:rPr>
                <w:rFonts w:eastAsiaTheme="majorEastAsia" w:cstheme="minorHAnsi"/>
                <w:b/>
                <w:bCs/>
                <w:sz w:val="20"/>
                <w:szCs w:val="20"/>
                <w:rtl/>
              </w:rPr>
              <w:t xml:space="preserve">-1: </w:t>
            </w:r>
            <w:r w:rsidR="00CE65B8" w:rsidRPr="00D16BE4">
              <w:rPr>
                <w:rFonts w:eastAsiaTheme="majorEastAsia" w:cstheme="minorHAnsi"/>
                <w:b/>
                <w:bCs/>
                <w:sz w:val="20"/>
                <w:szCs w:val="20"/>
                <w:rtl/>
              </w:rPr>
              <w:t>השקעות נטו של תושבי חוץ בישראל, לפי סוג השקעה</w:t>
            </w:r>
          </w:p>
          <w:p w:rsidR="00115C95" w:rsidRPr="00D16BE4" w:rsidRDefault="001D2F07" w:rsidP="00CE65B8">
            <w:pPr>
              <w:rPr>
                <w:rFonts w:cstheme="minorHAnsi"/>
                <w:noProof/>
                <w:sz w:val="18"/>
                <w:szCs w:val="18"/>
                <w:rtl/>
              </w:rPr>
            </w:pPr>
            <w:r w:rsidRPr="00D16BE4">
              <w:rPr>
                <w:rFonts w:eastAsia="Times New Roman" w:cstheme="minorHAnsi"/>
                <w:noProof/>
                <w:color w:val="000000"/>
                <w:sz w:val="21"/>
                <w:szCs w:val="21"/>
              </w:rPr>
              <w:drawing>
                <wp:anchor distT="0" distB="0" distL="114300" distR="114300" simplePos="0" relativeHeight="251719680" behindDoc="0" locked="0" layoutInCell="1" allowOverlap="1" wp14:anchorId="569EF121" wp14:editId="2A9560D9">
                  <wp:simplePos x="0" y="0"/>
                  <wp:positionH relativeFrom="column">
                    <wp:posOffset>101023</wp:posOffset>
                  </wp:positionH>
                  <wp:positionV relativeFrom="paragraph">
                    <wp:posOffset>169273</wp:posOffset>
                  </wp:positionV>
                  <wp:extent cx="2700000" cy="1620000"/>
                  <wp:effectExtent l="0" t="0" r="5715" b="0"/>
                  <wp:wrapTopAndBottom/>
                  <wp:docPr id="20" name="תמונה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6BE4">
              <w:rPr>
                <w:rFonts w:eastAsiaTheme="majorEastAsia" w:cstheme="minorHAnsi"/>
                <w:sz w:val="18"/>
                <w:szCs w:val="18"/>
                <w:rtl/>
              </w:rPr>
              <w:t>ב</w:t>
            </w:r>
            <w:r w:rsidR="00115C95" w:rsidRPr="00D16BE4">
              <w:rPr>
                <w:rFonts w:eastAsiaTheme="majorEastAsia" w:cstheme="minorHAnsi"/>
                <w:sz w:val="18"/>
                <w:szCs w:val="18"/>
                <w:rtl/>
              </w:rPr>
              <w:t xml:space="preserve">מיליארדי </w:t>
            </w:r>
            <w:r w:rsidR="00CE65B8" w:rsidRPr="00D16BE4">
              <w:rPr>
                <w:rFonts w:eastAsiaTheme="majorEastAsia" w:cstheme="minorHAnsi"/>
                <w:sz w:val="18"/>
                <w:szCs w:val="18"/>
                <w:rtl/>
              </w:rPr>
              <w:t>דולרים</w:t>
            </w:r>
          </w:p>
          <w:p w:rsidR="00115C95" w:rsidRPr="00D16BE4" w:rsidRDefault="00115C95" w:rsidP="00CE65B8">
            <w:pPr>
              <w:jc w:val="both"/>
              <w:rPr>
                <w:rFonts w:cstheme="minorHAnsi"/>
                <w:noProof/>
                <w:sz w:val="16"/>
                <w:szCs w:val="16"/>
                <w:rtl/>
              </w:rPr>
            </w:pPr>
            <w:r w:rsidRPr="00D16BE4">
              <w:rPr>
                <w:rFonts w:eastAsiaTheme="majorEastAsia" w:cstheme="minorHAnsi"/>
                <w:b/>
                <w:bCs/>
                <w:sz w:val="18"/>
                <w:szCs w:val="18"/>
                <w:rtl/>
              </w:rPr>
              <w:t xml:space="preserve"> </w:t>
            </w:r>
            <w:r w:rsidRPr="00D16BE4">
              <w:rPr>
                <w:rFonts w:cstheme="minorHAnsi"/>
                <w:noProof/>
                <w:sz w:val="16"/>
                <w:szCs w:val="16"/>
                <w:rtl/>
              </w:rPr>
              <w:t xml:space="preserve">המקור: </w:t>
            </w:r>
            <w:r w:rsidR="00CE65B8" w:rsidRPr="00D16BE4">
              <w:rPr>
                <w:rFonts w:cstheme="minorHAnsi"/>
                <w:noProof/>
                <w:sz w:val="16"/>
                <w:szCs w:val="16"/>
                <w:rtl/>
              </w:rPr>
              <w:t>נתוני ועיבודי</w:t>
            </w:r>
            <w:r w:rsidRPr="00D16BE4">
              <w:rPr>
                <w:rFonts w:cstheme="minorHAnsi"/>
                <w:noProof/>
                <w:sz w:val="16"/>
                <w:szCs w:val="16"/>
                <w:rtl/>
              </w:rPr>
              <w:t xml:space="preserve"> בנק ישראל.</w:t>
            </w:r>
          </w:p>
          <w:p w:rsidR="00115C95" w:rsidRPr="00D16BE4" w:rsidRDefault="00115C95" w:rsidP="001E6C98">
            <w:pPr>
              <w:spacing w:line="360" w:lineRule="auto"/>
              <w:jc w:val="both"/>
              <w:rPr>
                <w:rFonts w:cstheme="minorHAnsi"/>
                <w:rtl/>
              </w:rPr>
            </w:pPr>
          </w:p>
          <w:p w:rsidR="00115C95" w:rsidRPr="00D16BE4" w:rsidRDefault="00115C95" w:rsidP="00CE65B8">
            <w:pPr>
              <w:jc w:val="both"/>
              <w:rPr>
                <w:rFonts w:eastAsiaTheme="majorEastAsia" w:cstheme="minorHAnsi"/>
                <w:b/>
                <w:bCs/>
                <w:sz w:val="20"/>
                <w:szCs w:val="20"/>
                <w:rtl/>
              </w:rPr>
            </w:pPr>
            <w:r w:rsidRPr="00D16BE4">
              <w:rPr>
                <w:rFonts w:eastAsiaTheme="majorEastAsia" w:cstheme="minorHAnsi"/>
                <w:b/>
                <w:bCs/>
                <w:sz w:val="20"/>
                <w:szCs w:val="20"/>
                <w:rtl/>
              </w:rPr>
              <w:t xml:space="preserve">איור </w:t>
            </w:r>
            <w:r w:rsidR="00CE65B8" w:rsidRPr="00D16BE4">
              <w:rPr>
                <w:rFonts w:eastAsiaTheme="majorEastAsia" w:cstheme="minorHAnsi"/>
                <w:b/>
                <w:bCs/>
                <w:sz w:val="20"/>
                <w:szCs w:val="20"/>
                <w:rtl/>
              </w:rPr>
              <w:t>ג-</w:t>
            </w:r>
            <w:r w:rsidRPr="00D16BE4">
              <w:rPr>
                <w:rFonts w:eastAsiaTheme="majorEastAsia" w:cstheme="minorHAnsi"/>
                <w:b/>
                <w:bCs/>
                <w:sz w:val="20"/>
                <w:szCs w:val="20"/>
                <w:rtl/>
              </w:rPr>
              <w:t xml:space="preserve">2: </w:t>
            </w:r>
            <w:r w:rsidR="001D2F07" w:rsidRPr="00D16BE4">
              <w:rPr>
                <w:rFonts w:eastAsiaTheme="majorEastAsia" w:cstheme="minorHAnsi"/>
                <w:b/>
                <w:bCs/>
                <w:sz w:val="20"/>
                <w:szCs w:val="20"/>
                <w:rtl/>
              </w:rPr>
              <w:t xml:space="preserve">פעילות משקי </w:t>
            </w:r>
            <w:r w:rsidR="00CE65B8" w:rsidRPr="00D16BE4">
              <w:rPr>
                <w:rFonts w:eastAsiaTheme="majorEastAsia" w:cstheme="minorHAnsi"/>
                <w:b/>
                <w:bCs/>
                <w:sz w:val="20"/>
                <w:szCs w:val="20"/>
                <w:rtl/>
              </w:rPr>
              <w:t>בית* מול חו"ל</w:t>
            </w:r>
          </w:p>
          <w:p w:rsidR="00115C95" w:rsidRPr="00D16BE4" w:rsidRDefault="001D2F07" w:rsidP="00CE65B8">
            <w:pPr>
              <w:rPr>
                <w:rFonts w:cstheme="minorHAnsi"/>
                <w:noProof/>
                <w:sz w:val="18"/>
                <w:szCs w:val="18"/>
                <w:rtl/>
              </w:rPr>
            </w:pPr>
            <w:r w:rsidRPr="00D16BE4">
              <w:rPr>
                <w:rFonts w:cstheme="minorHAnsi"/>
                <w:noProof/>
                <w:sz w:val="18"/>
                <w:szCs w:val="18"/>
                <w:rtl/>
              </w:rPr>
              <w:t>ב</w:t>
            </w:r>
            <w:r w:rsidR="00CE65B8" w:rsidRPr="00D16BE4">
              <w:rPr>
                <w:rFonts w:cstheme="minorHAnsi"/>
                <w:noProof/>
                <w:sz w:val="18"/>
                <w:szCs w:val="18"/>
                <w:rtl/>
              </w:rPr>
              <w:t>מיליארדי דולרים</w:t>
            </w:r>
            <w:r w:rsidR="00115C95" w:rsidRPr="00D16BE4">
              <w:rPr>
                <w:rFonts w:cstheme="minorHAnsi"/>
                <w:noProof/>
              </w:rPr>
              <w:t xml:space="preserve"> </w:t>
            </w:r>
            <w:r w:rsidRPr="00D16BE4">
              <w:rPr>
                <w:rFonts w:cstheme="minorHAnsi"/>
                <w:noProof/>
                <w:sz w:val="16"/>
                <w:szCs w:val="16"/>
              </w:rPr>
              <w:drawing>
                <wp:inline distT="0" distB="0" distL="0" distR="0" wp14:anchorId="37DC0ABD" wp14:editId="0F94D938">
                  <wp:extent cx="2700000" cy="1620000"/>
                  <wp:effectExtent l="0" t="0" r="5715" b="0"/>
                  <wp:docPr id="232" name="תמונה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000" cy="1620000"/>
                          </a:xfrm>
                          <a:prstGeom prst="rect">
                            <a:avLst/>
                          </a:prstGeom>
                          <a:noFill/>
                          <a:ln>
                            <a:noFill/>
                          </a:ln>
                        </pic:spPr>
                      </pic:pic>
                    </a:graphicData>
                  </a:graphic>
                </wp:inline>
              </w:drawing>
            </w:r>
          </w:p>
          <w:p w:rsidR="00115C95" w:rsidRPr="00D16BE4" w:rsidRDefault="00115C95" w:rsidP="00CE65B8">
            <w:pPr>
              <w:jc w:val="both"/>
              <w:rPr>
                <w:rFonts w:cstheme="minorHAnsi"/>
                <w:noProof/>
                <w:sz w:val="16"/>
                <w:szCs w:val="16"/>
                <w:rtl/>
              </w:rPr>
            </w:pPr>
            <w:r w:rsidRPr="00D16BE4">
              <w:rPr>
                <w:rFonts w:eastAsiaTheme="majorEastAsia" w:cstheme="minorHAnsi"/>
                <w:b/>
                <w:bCs/>
                <w:sz w:val="20"/>
                <w:szCs w:val="20"/>
                <w:rtl/>
              </w:rPr>
              <w:t xml:space="preserve"> </w:t>
            </w:r>
            <w:r w:rsidRPr="00D16BE4">
              <w:rPr>
                <w:rFonts w:cstheme="minorHAnsi"/>
                <w:noProof/>
                <w:sz w:val="16"/>
                <w:szCs w:val="16"/>
                <w:rtl/>
              </w:rPr>
              <w:t xml:space="preserve">המקור: </w:t>
            </w:r>
            <w:r w:rsidR="00CE65B8" w:rsidRPr="00D16BE4">
              <w:rPr>
                <w:rFonts w:cstheme="minorHAnsi"/>
                <w:noProof/>
                <w:sz w:val="16"/>
                <w:szCs w:val="16"/>
                <w:rtl/>
              </w:rPr>
              <w:t>נתוני ועיבודי</w:t>
            </w:r>
            <w:r w:rsidRPr="00D16BE4">
              <w:rPr>
                <w:rFonts w:cstheme="minorHAnsi"/>
                <w:noProof/>
                <w:sz w:val="16"/>
                <w:szCs w:val="16"/>
                <w:rtl/>
              </w:rPr>
              <w:t xml:space="preserve"> בנק ישראל.</w:t>
            </w:r>
          </w:p>
          <w:p w:rsidR="00CE65B8" w:rsidRPr="00D16BE4" w:rsidRDefault="00CE65B8" w:rsidP="00CE65B8">
            <w:pPr>
              <w:jc w:val="both"/>
              <w:rPr>
                <w:rFonts w:cstheme="minorHAnsi"/>
                <w:noProof/>
                <w:sz w:val="16"/>
                <w:szCs w:val="16"/>
                <w:rtl/>
              </w:rPr>
            </w:pPr>
            <w:r w:rsidRPr="00D16BE4">
              <w:rPr>
                <w:rFonts w:cstheme="minorHAnsi"/>
                <w:noProof/>
                <w:sz w:val="16"/>
                <w:szCs w:val="16"/>
                <w:rtl/>
              </w:rPr>
              <w:t>*כולל קרנות נאמנות</w:t>
            </w:r>
          </w:p>
          <w:p w:rsidR="00115C95" w:rsidRPr="00D16BE4" w:rsidRDefault="00115C95" w:rsidP="001E6C98">
            <w:pPr>
              <w:spacing w:line="360" w:lineRule="auto"/>
              <w:jc w:val="both"/>
              <w:rPr>
                <w:rFonts w:cstheme="minorHAnsi"/>
                <w:rtl/>
              </w:rPr>
            </w:pPr>
          </w:p>
        </w:tc>
      </w:tr>
    </w:tbl>
    <w:p w:rsidR="00644B2C" w:rsidRPr="00D16BE4" w:rsidRDefault="00644B2C" w:rsidP="00DD735B">
      <w:pPr>
        <w:spacing w:line="360" w:lineRule="auto"/>
        <w:jc w:val="both"/>
        <w:rPr>
          <w:rFonts w:cstheme="minorHAnsi"/>
          <w:sz w:val="24"/>
          <w:szCs w:val="24"/>
          <w:rtl/>
        </w:rPr>
      </w:pPr>
    </w:p>
    <w:p w:rsidR="00644B2C" w:rsidRPr="00D16BE4" w:rsidRDefault="00644B2C">
      <w:pPr>
        <w:bidi w:val="0"/>
        <w:rPr>
          <w:rFonts w:cstheme="minorHAnsi"/>
          <w:sz w:val="24"/>
          <w:szCs w:val="24"/>
          <w:rtl/>
        </w:rPr>
      </w:pPr>
      <w:r w:rsidRPr="00D16BE4">
        <w:rPr>
          <w:rFonts w:cstheme="minorHAnsi"/>
          <w:sz w:val="24"/>
          <w:szCs w:val="24"/>
          <w:rtl/>
        </w:rPr>
        <w:br w:type="page"/>
      </w:r>
    </w:p>
    <w:tbl>
      <w:tblPr>
        <w:tblStyle w:val="TableGrid"/>
        <w:bidiVisual/>
        <w:tblW w:w="0" w:type="auto"/>
        <w:tblLook w:val="04A0" w:firstRow="1" w:lastRow="0" w:firstColumn="1" w:lastColumn="0" w:noHBand="0" w:noVBand="1"/>
      </w:tblPr>
      <w:tblGrid>
        <w:gridCol w:w="5067"/>
        <w:gridCol w:w="4669"/>
      </w:tblGrid>
      <w:tr w:rsidR="00644B2C" w:rsidRPr="00D16BE4" w:rsidTr="001E6C98">
        <w:trPr>
          <w:trHeight w:val="985"/>
        </w:trPr>
        <w:tc>
          <w:tcPr>
            <w:tcW w:w="9736" w:type="dxa"/>
            <w:gridSpan w:val="2"/>
            <w:tcBorders>
              <w:top w:val="single" w:sz="4" w:space="0" w:color="auto"/>
              <w:bottom w:val="nil"/>
            </w:tcBorders>
          </w:tcPr>
          <w:p w:rsidR="00644B2C" w:rsidRPr="00D16BE4" w:rsidRDefault="00644B2C" w:rsidP="00644B2C">
            <w:pPr>
              <w:pStyle w:val="ListParagraph"/>
              <w:numPr>
                <w:ilvl w:val="0"/>
                <w:numId w:val="42"/>
              </w:numPr>
              <w:jc w:val="center"/>
              <w:rPr>
                <w:rFonts w:cstheme="minorHAnsi"/>
                <w:b/>
                <w:bCs/>
                <w:rtl/>
              </w:rPr>
            </w:pPr>
            <w:r w:rsidRPr="00D16BE4">
              <w:rPr>
                <w:rFonts w:cstheme="minorHAnsi"/>
                <w:b/>
                <w:bCs/>
                <w:rtl/>
              </w:rPr>
              <w:lastRenderedPageBreak/>
              <w:t>פעילות המגזרים העיקריים במטבע חוץ</w:t>
            </w:r>
          </w:p>
        </w:tc>
      </w:tr>
      <w:tr w:rsidR="002604CC" w:rsidRPr="00D16BE4" w:rsidTr="001E6C98">
        <w:trPr>
          <w:trHeight w:val="7791"/>
        </w:trPr>
        <w:tc>
          <w:tcPr>
            <w:tcW w:w="5067" w:type="dxa"/>
            <w:tcBorders>
              <w:top w:val="nil"/>
              <w:right w:val="nil"/>
            </w:tcBorders>
          </w:tcPr>
          <w:p w:rsidR="00644B2C" w:rsidRPr="00D16BE4" w:rsidRDefault="00644B2C" w:rsidP="001E6C98">
            <w:pPr>
              <w:pStyle w:val="NoSpacing"/>
              <w:numPr>
                <w:ilvl w:val="0"/>
                <w:numId w:val="34"/>
              </w:numPr>
              <w:spacing w:line="360" w:lineRule="auto"/>
              <w:ind w:left="416" w:right="371" w:hanging="416"/>
              <w:jc w:val="both"/>
              <w:rPr>
                <w:rFonts w:cstheme="minorHAnsi"/>
                <w:color w:val="000000" w:themeColor="text1"/>
              </w:rPr>
            </w:pPr>
            <w:r w:rsidRPr="00D16BE4">
              <w:rPr>
                <w:rFonts w:cstheme="minorHAnsi"/>
                <w:color w:val="000000" w:themeColor="text1"/>
                <w:rtl/>
              </w:rPr>
              <w:t>השקל התחזק בשנת 2025 ב-12.5% מול הדולר ובכ-8.4% מול סל המטבעות</w:t>
            </w:r>
            <w:r w:rsidR="002604CC" w:rsidRPr="00D16BE4">
              <w:rPr>
                <w:rFonts w:cstheme="minorHAnsi"/>
                <w:color w:val="000000" w:themeColor="text1"/>
                <w:rtl/>
              </w:rPr>
              <w:t xml:space="preserve"> הנומינלי אפקטיבי</w:t>
            </w:r>
            <w:r w:rsidRPr="00D16BE4">
              <w:rPr>
                <w:rFonts w:cstheme="minorHAnsi"/>
                <w:color w:val="000000" w:themeColor="text1"/>
                <w:rtl/>
              </w:rPr>
              <w:t>, כאשר השנה התאפיינה בתנודתיות גבוהה יחסית.</w:t>
            </w:r>
            <w:r w:rsidR="002604CC" w:rsidRPr="00D16BE4">
              <w:rPr>
                <w:rFonts w:cstheme="minorHAnsi"/>
                <w:color w:val="000000" w:themeColor="text1"/>
                <w:rtl/>
              </w:rPr>
              <w:t xml:space="preserve"> התחזקותו החדה של השקל מול הדולר התרחשה במקביל להיחלשות משמעותית של הדולר בעולם.</w:t>
            </w:r>
          </w:p>
          <w:p w:rsidR="00644B2C" w:rsidRPr="00D16BE4" w:rsidRDefault="00644B2C" w:rsidP="002604CC">
            <w:pPr>
              <w:pStyle w:val="NoSpacing"/>
              <w:numPr>
                <w:ilvl w:val="0"/>
                <w:numId w:val="34"/>
              </w:numPr>
              <w:spacing w:line="360" w:lineRule="auto"/>
              <w:ind w:right="371"/>
              <w:jc w:val="both"/>
              <w:rPr>
                <w:rFonts w:cstheme="minorHAnsi"/>
                <w:color w:val="000000" w:themeColor="text1"/>
              </w:rPr>
            </w:pPr>
            <w:r w:rsidRPr="00D16BE4">
              <w:rPr>
                <w:rFonts w:cstheme="minorHAnsi"/>
                <w:color w:val="000000" w:themeColor="text1"/>
                <w:rtl/>
              </w:rPr>
              <w:t xml:space="preserve">הגופים המוסדיים מכרו מט"ח נטו בהיקף של 20 מיליארד דולר; </w:t>
            </w:r>
            <w:r w:rsidR="002604CC" w:rsidRPr="00D16BE4">
              <w:rPr>
                <w:rFonts w:cstheme="minorHAnsi"/>
                <w:color w:val="000000" w:themeColor="text1"/>
                <w:rtl/>
              </w:rPr>
              <w:t>מנגד,</w:t>
            </w:r>
            <w:r w:rsidRPr="00D16BE4">
              <w:rPr>
                <w:rFonts w:cstheme="minorHAnsi"/>
                <w:color w:val="000000" w:themeColor="text1"/>
                <w:rtl/>
              </w:rPr>
              <w:t xml:space="preserve"> המגזר העסקי</w:t>
            </w:r>
            <w:r w:rsidR="002604CC" w:rsidRPr="00D16BE4">
              <w:rPr>
                <w:rFonts w:cstheme="minorHAnsi"/>
                <w:color w:val="000000" w:themeColor="text1"/>
                <w:rtl/>
              </w:rPr>
              <w:t xml:space="preserve"> הלא-פיננסי</w:t>
            </w:r>
            <w:r w:rsidRPr="00D16BE4">
              <w:rPr>
                <w:rFonts w:cstheme="minorHAnsi"/>
                <w:color w:val="000000" w:themeColor="text1"/>
                <w:rtl/>
              </w:rPr>
              <w:t xml:space="preserve"> רכש נטו כ-16 מיליארד דולר, ומשקי הבית רכשו נטו כ-10 מיליארד דולר.</w:t>
            </w:r>
          </w:p>
          <w:p w:rsidR="00644B2C" w:rsidRPr="00D16BE4" w:rsidRDefault="009B05E2" w:rsidP="001D2F07">
            <w:pPr>
              <w:pStyle w:val="NoSpacing"/>
              <w:numPr>
                <w:ilvl w:val="0"/>
                <w:numId w:val="34"/>
              </w:numPr>
              <w:spacing w:line="360" w:lineRule="auto"/>
              <w:ind w:right="371"/>
              <w:jc w:val="both"/>
              <w:rPr>
                <w:rFonts w:cstheme="minorHAnsi"/>
                <w:color w:val="000000" w:themeColor="text1"/>
                <w:rtl/>
              </w:rPr>
            </w:pPr>
            <w:r w:rsidRPr="00D16BE4">
              <w:rPr>
                <w:rFonts w:cstheme="minorHAnsi"/>
                <w:color w:val="000000" w:themeColor="text1"/>
                <w:rtl/>
              </w:rPr>
              <w:t>תושבי חוץ</w:t>
            </w:r>
            <w:r w:rsidR="001D2F07" w:rsidRPr="00D16BE4">
              <w:rPr>
                <w:rFonts w:cstheme="minorHAnsi"/>
                <w:color w:val="000000" w:themeColor="text1"/>
                <w:rtl/>
              </w:rPr>
              <w:t xml:space="preserve"> מהמגזר הפיננסי</w:t>
            </w:r>
            <w:r w:rsidRPr="00D16BE4">
              <w:rPr>
                <w:rFonts w:cstheme="minorHAnsi"/>
                <w:color w:val="000000" w:themeColor="text1"/>
                <w:rtl/>
              </w:rPr>
              <w:t xml:space="preserve"> </w:t>
            </w:r>
            <w:r w:rsidR="001D2F07" w:rsidRPr="00D16BE4">
              <w:rPr>
                <w:rFonts w:cstheme="minorHAnsi"/>
                <w:color w:val="000000" w:themeColor="text1"/>
                <w:rtl/>
              </w:rPr>
              <w:t>מכרו נטו כ-2 מיליארדי דולרים, תושבי חוץ שאינם מהמגזר הפיננסי מכרו נטו כ-10 מיליארדי דולרים.</w:t>
            </w:r>
          </w:p>
        </w:tc>
        <w:tc>
          <w:tcPr>
            <w:tcW w:w="4669" w:type="dxa"/>
            <w:tcBorders>
              <w:top w:val="nil"/>
              <w:left w:val="nil"/>
            </w:tcBorders>
          </w:tcPr>
          <w:p w:rsidR="002604CC" w:rsidRPr="00D16BE4" w:rsidRDefault="00644B2C" w:rsidP="002604CC">
            <w:pPr>
              <w:jc w:val="both"/>
              <w:rPr>
                <w:rFonts w:eastAsiaTheme="majorEastAsia" w:cstheme="minorHAnsi"/>
                <w:b/>
                <w:bCs/>
                <w:sz w:val="20"/>
                <w:szCs w:val="20"/>
                <w:rtl/>
              </w:rPr>
            </w:pPr>
            <w:r w:rsidRPr="00D16BE4">
              <w:rPr>
                <w:rFonts w:eastAsiaTheme="majorEastAsia" w:cstheme="minorHAnsi"/>
                <w:b/>
                <w:bCs/>
                <w:sz w:val="20"/>
                <w:szCs w:val="20"/>
                <w:rtl/>
              </w:rPr>
              <w:t xml:space="preserve">איור </w:t>
            </w:r>
            <w:r w:rsidR="002604CC" w:rsidRPr="00D16BE4">
              <w:rPr>
                <w:rFonts w:eastAsiaTheme="majorEastAsia" w:cstheme="minorHAnsi"/>
                <w:b/>
                <w:bCs/>
                <w:sz w:val="20"/>
                <w:szCs w:val="20"/>
                <w:rtl/>
              </w:rPr>
              <w:t>ד</w:t>
            </w:r>
            <w:r w:rsidRPr="00D16BE4">
              <w:rPr>
                <w:rFonts w:eastAsiaTheme="majorEastAsia" w:cstheme="minorHAnsi"/>
                <w:b/>
                <w:bCs/>
                <w:sz w:val="20"/>
                <w:szCs w:val="20"/>
                <w:rtl/>
              </w:rPr>
              <w:t xml:space="preserve">-1: </w:t>
            </w:r>
            <w:r w:rsidR="002604CC" w:rsidRPr="00D16BE4">
              <w:rPr>
                <w:rFonts w:eastAsiaTheme="majorEastAsia" w:cstheme="minorHAnsi"/>
                <w:b/>
                <w:bCs/>
                <w:sz w:val="20"/>
                <w:szCs w:val="20"/>
                <w:rtl/>
              </w:rPr>
              <w:t>מדדי</w:t>
            </w:r>
            <w:r w:rsidR="002604CC" w:rsidRPr="00D16BE4">
              <w:rPr>
                <w:rFonts w:eastAsiaTheme="majorEastAsia" w:cstheme="minorHAnsi"/>
                <w:b/>
                <w:bCs/>
                <w:sz w:val="20"/>
                <w:szCs w:val="20"/>
              </w:rPr>
              <w:t xml:space="preserve"> </w:t>
            </w:r>
            <w:r w:rsidR="002604CC" w:rsidRPr="00D16BE4">
              <w:rPr>
                <w:rFonts w:eastAsiaTheme="majorEastAsia" w:cstheme="minorHAnsi"/>
                <w:b/>
                <w:bCs/>
                <w:sz w:val="20"/>
                <w:szCs w:val="20"/>
                <w:rtl/>
              </w:rPr>
              <w:t>דולר</w:t>
            </w:r>
            <w:r w:rsidR="002604CC" w:rsidRPr="00D16BE4">
              <w:rPr>
                <w:rFonts w:eastAsiaTheme="majorEastAsia" w:cstheme="minorHAnsi"/>
                <w:b/>
                <w:bCs/>
                <w:sz w:val="20"/>
                <w:szCs w:val="20"/>
              </w:rPr>
              <w:t>/</w:t>
            </w:r>
            <w:r w:rsidR="002604CC" w:rsidRPr="00D16BE4">
              <w:rPr>
                <w:rFonts w:eastAsiaTheme="majorEastAsia" w:cstheme="minorHAnsi"/>
                <w:b/>
                <w:bCs/>
                <w:sz w:val="20"/>
                <w:szCs w:val="20"/>
                <w:rtl/>
              </w:rPr>
              <w:t>שקל, אירו</w:t>
            </w:r>
            <w:r w:rsidR="002604CC" w:rsidRPr="00D16BE4">
              <w:rPr>
                <w:rFonts w:eastAsiaTheme="majorEastAsia" w:cstheme="minorHAnsi"/>
                <w:b/>
                <w:bCs/>
                <w:sz w:val="20"/>
                <w:szCs w:val="20"/>
              </w:rPr>
              <w:t>/</w:t>
            </w:r>
            <w:r w:rsidR="002604CC" w:rsidRPr="00D16BE4">
              <w:rPr>
                <w:rFonts w:eastAsiaTheme="majorEastAsia" w:cstheme="minorHAnsi"/>
                <w:b/>
                <w:bCs/>
                <w:sz w:val="20"/>
                <w:szCs w:val="20"/>
                <w:rtl/>
              </w:rPr>
              <w:t>שקל</w:t>
            </w:r>
            <w:r w:rsidR="002604CC" w:rsidRPr="00D16BE4">
              <w:rPr>
                <w:rFonts w:eastAsiaTheme="majorEastAsia" w:cstheme="minorHAnsi"/>
                <w:b/>
                <w:bCs/>
                <w:sz w:val="20"/>
                <w:szCs w:val="20"/>
              </w:rPr>
              <w:t xml:space="preserve"> </w:t>
            </w:r>
            <w:r w:rsidR="002604CC" w:rsidRPr="00D16BE4">
              <w:rPr>
                <w:rFonts w:eastAsiaTheme="majorEastAsia" w:cstheme="minorHAnsi"/>
                <w:b/>
                <w:bCs/>
                <w:sz w:val="20"/>
                <w:szCs w:val="20"/>
                <w:rtl/>
              </w:rPr>
              <w:t>ושער החליפין</w:t>
            </w:r>
            <w:r w:rsidR="002604CC" w:rsidRPr="00D16BE4">
              <w:rPr>
                <w:rFonts w:eastAsiaTheme="majorEastAsia" w:cstheme="minorHAnsi"/>
                <w:b/>
                <w:bCs/>
                <w:sz w:val="20"/>
                <w:szCs w:val="20"/>
              </w:rPr>
              <w:t xml:space="preserve"> </w:t>
            </w:r>
            <w:r w:rsidR="002604CC" w:rsidRPr="00D16BE4">
              <w:rPr>
                <w:rFonts w:eastAsiaTheme="majorEastAsia" w:cstheme="minorHAnsi"/>
                <w:b/>
                <w:bCs/>
                <w:sz w:val="20"/>
                <w:szCs w:val="20"/>
                <w:rtl/>
              </w:rPr>
              <w:t>הנומינלי</w:t>
            </w:r>
            <w:r w:rsidR="002604CC" w:rsidRPr="00D16BE4">
              <w:rPr>
                <w:rFonts w:eastAsiaTheme="majorEastAsia" w:cstheme="minorHAnsi"/>
                <w:b/>
                <w:bCs/>
                <w:sz w:val="20"/>
                <w:szCs w:val="20"/>
              </w:rPr>
              <w:t xml:space="preserve"> </w:t>
            </w:r>
            <w:r w:rsidR="002604CC" w:rsidRPr="00D16BE4">
              <w:rPr>
                <w:rFonts w:eastAsiaTheme="majorEastAsia" w:cstheme="minorHAnsi"/>
                <w:b/>
                <w:bCs/>
                <w:sz w:val="20"/>
                <w:szCs w:val="20"/>
                <w:rtl/>
              </w:rPr>
              <w:t>האפקטיבי</w:t>
            </w:r>
          </w:p>
          <w:p w:rsidR="00644B2C" w:rsidRPr="00D16BE4" w:rsidRDefault="001D2F07" w:rsidP="002604CC">
            <w:pPr>
              <w:rPr>
                <w:rFonts w:cstheme="minorHAnsi"/>
                <w:noProof/>
                <w:sz w:val="18"/>
                <w:szCs w:val="18"/>
                <w:rtl/>
              </w:rPr>
            </w:pPr>
            <w:r w:rsidRPr="00D16BE4">
              <w:rPr>
                <w:rFonts w:cstheme="minorHAnsi"/>
                <w:noProof/>
                <w:sz w:val="18"/>
                <w:szCs w:val="18"/>
                <w:rtl/>
              </w:rPr>
              <w:t>שנת 2025</w:t>
            </w:r>
            <w:r w:rsidRPr="00D16BE4">
              <w:rPr>
                <w:rFonts w:eastAsiaTheme="majorEastAsia" w:cstheme="minorHAnsi"/>
                <w:noProof/>
                <w:sz w:val="16"/>
                <w:szCs w:val="16"/>
              </w:rPr>
              <w:drawing>
                <wp:inline distT="0" distB="0" distL="0" distR="0" wp14:anchorId="58063F6B" wp14:editId="02BBCB2F">
                  <wp:extent cx="2696400" cy="1620000"/>
                  <wp:effectExtent l="0" t="0" r="889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6400" cy="1620000"/>
                          </a:xfrm>
                          <a:prstGeom prst="rect">
                            <a:avLst/>
                          </a:prstGeom>
                          <a:noFill/>
                        </pic:spPr>
                      </pic:pic>
                    </a:graphicData>
                  </a:graphic>
                </wp:inline>
              </w:drawing>
            </w:r>
          </w:p>
          <w:p w:rsidR="00644B2C" w:rsidRPr="00D16BE4" w:rsidRDefault="00644B2C" w:rsidP="001E6C98">
            <w:pPr>
              <w:jc w:val="both"/>
              <w:rPr>
                <w:rFonts w:cstheme="minorHAnsi"/>
                <w:noProof/>
                <w:sz w:val="16"/>
                <w:szCs w:val="16"/>
                <w:rtl/>
              </w:rPr>
            </w:pPr>
            <w:r w:rsidRPr="00D16BE4">
              <w:rPr>
                <w:rFonts w:eastAsiaTheme="majorEastAsia" w:cstheme="minorHAnsi"/>
                <w:b/>
                <w:bCs/>
                <w:sz w:val="18"/>
                <w:szCs w:val="18"/>
                <w:rtl/>
              </w:rPr>
              <w:t xml:space="preserve"> </w:t>
            </w:r>
            <w:r w:rsidRPr="00D16BE4">
              <w:rPr>
                <w:rFonts w:cstheme="minorHAnsi"/>
                <w:noProof/>
                <w:sz w:val="16"/>
                <w:szCs w:val="16"/>
                <w:rtl/>
              </w:rPr>
              <w:t>המקור: נתוני ועיבודי בנק ישראל.</w:t>
            </w:r>
          </w:p>
          <w:p w:rsidR="00644B2C" w:rsidRPr="00D16BE4" w:rsidRDefault="00644B2C" w:rsidP="001E6C98">
            <w:pPr>
              <w:spacing w:line="360" w:lineRule="auto"/>
              <w:jc w:val="both"/>
              <w:rPr>
                <w:rFonts w:cstheme="minorHAnsi"/>
                <w:rtl/>
              </w:rPr>
            </w:pPr>
          </w:p>
          <w:p w:rsidR="00644B2C" w:rsidRPr="00D16BE4" w:rsidRDefault="00644B2C" w:rsidP="002604CC">
            <w:pPr>
              <w:jc w:val="both"/>
              <w:rPr>
                <w:rFonts w:eastAsiaTheme="majorEastAsia" w:cstheme="minorHAnsi"/>
                <w:b/>
                <w:bCs/>
                <w:sz w:val="20"/>
                <w:szCs w:val="20"/>
                <w:rtl/>
              </w:rPr>
            </w:pPr>
            <w:r w:rsidRPr="00D16BE4">
              <w:rPr>
                <w:rFonts w:eastAsiaTheme="majorEastAsia" w:cstheme="minorHAnsi"/>
                <w:b/>
                <w:bCs/>
                <w:sz w:val="20"/>
                <w:szCs w:val="20"/>
                <w:rtl/>
              </w:rPr>
              <w:t xml:space="preserve">איור </w:t>
            </w:r>
            <w:r w:rsidR="002604CC" w:rsidRPr="00D16BE4">
              <w:rPr>
                <w:rFonts w:eastAsiaTheme="majorEastAsia" w:cstheme="minorHAnsi"/>
                <w:b/>
                <w:bCs/>
                <w:sz w:val="20"/>
                <w:szCs w:val="20"/>
                <w:rtl/>
              </w:rPr>
              <w:t>ד</w:t>
            </w:r>
            <w:r w:rsidRPr="00D16BE4">
              <w:rPr>
                <w:rFonts w:eastAsiaTheme="majorEastAsia" w:cstheme="minorHAnsi"/>
                <w:b/>
                <w:bCs/>
                <w:sz w:val="20"/>
                <w:szCs w:val="20"/>
                <w:rtl/>
              </w:rPr>
              <w:t xml:space="preserve">-2: </w:t>
            </w:r>
            <w:r w:rsidR="002604CC" w:rsidRPr="00D16BE4">
              <w:rPr>
                <w:rFonts w:eastAsiaTheme="majorEastAsia" w:cstheme="minorHAnsi"/>
                <w:b/>
                <w:bCs/>
                <w:sz w:val="20"/>
                <w:szCs w:val="20"/>
                <w:rtl/>
              </w:rPr>
              <w:t>אומדן רכישות המט"ח (+) המצטברות נטו של המגזרים העיקריים</w:t>
            </w:r>
          </w:p>
          <w:p w:rsidR="00644B2C" w:rsidRPr="00D16BE4" w:rsidRDefault="001D2F07" w:rsidP="001E6C98">
            <w:pPr>
              <w:rPr>
                <w:rFonts w:cstheme="minorHAnsi"/>
                <w:noProof/>
                <w:sz w:val="18"/>
                <w:szCs w:val="18"/>
                <w:rtl/>
              </w:rPr>
            </w:pPr>
            <w:r w:rsidRPr="00D16BE4">
              <w:rPr>
                <w:rFonts w:eastAsiaTheme="majorEastAsia" w:cstheme="minorHAnsi"/>
                <w:noProof/>
                <w:sz w:val="16"/>
                <w:szCs w:val="16"/>
              </w:rPr>
              <w:drawing>
                <wp:anchor distT="0" distB="0" distL="114300" distR="114300" simplePos="0" relativeHeight="251721728" behindDoc="0" locked="0" layoutInCell="1" allowOverlap="1" wp14:anchorId="274876BB" wp14:editId="21FFB35C">
                  <wp:simplePos x="0" y="0"/>
                  <wp:positionH relativeFrom="column">
                    <wp:posOffset>114983</wp:posOffset>
                  </wp:positionH>
                  <wp:positionV relativeFrom="paragraph">
                    <wp:posOffset>180956</wp:posOffset>
                  </wp:positionV>
                  <wp:extent cx="2696400" cy="1620000"/>
                  <wp:effectExtent l="0" t="0" r="8890" b="0"/>
                  <wp:wrapTopAndBottom/>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6400" cy="1620000"/>
                          </a:xfrm>
                          <a:prstGeom prst="rect">
                            <a:avLst/>
                          </a:prstGeom>
                          <a:noFill/>
                        </pic:spPr>
                      </pic:pic>
                    </a:graphicData>
                  </a:graphic>
                  <wp14:sizeRelH relativeFrom="margin">
                    <wp14:pctWidth>0</wp14:pctWidth>
                  </wp14:sizeRelH>
                  <wp14:sizeRelV relativeFrom="margin">
                    <wp14:pctHeight>0</wp14:pctHeight>
                  </wp14:sizeRelV>
                </wp:anchor>
              </w:drawing>
            </w:r>
            <w:r w:rsidRPr="00D16BE4">
              <w:rPr>
                <w:rFonts w:cstheme="minorHAnsi"/>
                <w:noProof/>
                <w:sz w:val="18"/>
                <w:szCs w:val="18"/>
                <w:rtl/>
              </w:rPr>
              <w:t>ב</w:t>
            </w:r>
            <w:r w:rsidR="00644B2C" w:rsidRPr="00D16BE4">
              <w:rPr>
                <w:rFonts w:cstheme="minorHAnsi"/>
                <w:noProof/>
                <w:sz w:val="18"/>
                <w:szCs w:val="18"/>
                <w:rtl/>
              </w:rPr>
              <w:t>מיליארדי דולרים</w:t>
            </w:r>
            <w:r w:rsidR="00644B2C" w:rsidRPr="00D16BE4">
              <w:rPr>
                <w:rFonts w:cstheme="minorHAnsi"/>
                <w:noProof/>
              </w:rPr>
              <w:t xml:space="preserve"> </w:t>
            </w:r>
          </w:p>
          <w:p w:rsidR="002604CC" w:rsidRPr="00D16BE4" w:rsidRDefault="00644B2C" w:rsidP="002604CC">
            <w:pPr>
              <w:jc w:val="both"/>
              <w:rPr>
                <w:rFonts w:cstheme="minorHAnsi"/>
                <w:noProof/>
                <w:sz w:val="16"/>
                <w:szCs w:val="16"/>
                <w:rtl/>
              </w:rPr>
            </w:pPr>
            <w:r w:rsidRPr="00D16BE4">
              <w:rPr>
                <w:rFonts w:eastAsiaTheme="majorEastAsia" w:cstheme="minorHAnsi"/>
                <w:b/>
                <w:bCs/>
                <w:sz w:val="18"/>
                <w:szCs w:val="18"/>
                <w:rtl/>
              </w:rPr>
              <w:t xml:space="preserve"> </w:t>
            </w:r>
            <w:r w:rsidR="001D2F07" w:rsidRPr="00D16BE4">
              <w:rPr>
                <w:rFonts w:cstheme="minorHAnsi"/>
                <w:noProof/>
                <w:sz w:val="16"/>
                <w:szCs w:val="16"/>
              </w:rPr>
              <w:t>*</w:t>
            </w:r>
            <w:r w:rsidR="002604CC" w:rsidRPr="00D16BE4">
              <w:rPr>
                <w:rFonts w:cstheme="minorHAnsi"/>
                <w:noProof/>
                <w:sz w:val="16"/>
                <w:szCs w:val="16"/>
              </w:rPr>
              <w:t xml:space="preserve"> </w:t>
            </w:r>
            <w:r w:rsidR="002604CC" w:rsidRPr="00D16BE4">
              <w:rPr>
                <w:rFonts w:cstheme="minorHAnsi"/>
                <w:noProof/>
                <w:sz w:val="16"/>
                <w:szCs w:val="16"/>
                <w:rtl/>
              </w:rPr>
              <w:t>המגזר</w:t>
            </w:r>
            <w:r w:rsidR="002604CC" w:rsidRPr="00D16BE4">
              <w:rPr>
                <w:rFonts w:cstheme="minorHAnsi"/>
                <w:noProof/>
                <w:sz w:val="16"/>
                <w:szCs w:val="16"/>
              </w:rPr>
              <w:t xml:space="preserve"> </w:t>
            </w:r>
            <w:r w:rsidR="002604CC" w:rsidRPr="00D16BE4">
              <w:rPr>
                <w:rFonts w:cstheme="minorHAnsi"/>
                <w:noProof/>
                <w:sz w:val="16"/>
                <w:szCs w:val="16"/>
                <w:rtl/>
              </w:rPr>
              <w:t>הפיננסי</w:t>
            </w:r>
            <w:r w:rsidR="002604CC" w:rsidRPr="00D16BE4">
              <w:rPr>
                <w:rFonts w:cstheme="minorHAnsi"/>
                <w:noProof/>
                <w:sz w:val="16"/>
                <w:szCs w:val="16"/>
              </w:rPr>
              <w:t xml:space="preserve"> </w:t>
            </w:r>
            <w:r w:rsidR="002604CC" w:rsidRPr="00D16BE4">
              <w:rPr>
                <w:rFonts w:cstheme="minorHAnsi"/>
                <w:noProof/>
                <w:sz w:val="16"/>
                <w:szCs w:val="16"/>
                <w:rtl/>
              </w:rPr>
              <w:t>אינו</w:t>
            </w:r>
            <w:r w:rsidR="002604CC" w:rsidRPr="00D16BE4">
              <w:rPr>
                <w:rFonts w:cstheme="minorHAnsi"/>
                <w:noProof/>
                <w:sz w:val="16"/>
                <w:szCs w:val="16"/>
              </w:rPr>
              <w:t xml:space="preserve"> </w:t>
            </w:r>
            <w:r w:rsidR="002604CC" w:rsidRPr="00D16BE4">
              <w:rPr>
                <w:rFonts w:cstheme="minorHAnsi"/>
                <w:noProof/>
                <w:sz w:val="16"/>
                <w:szCs w:val="16"/>
                <w:rtl/>
              </w:rPr>
              <w:t>כולל</w:t>
            </w:r>
            <w:r w:rsidR="002604CC" w:rsidRPr="00D16BE4">
              <w:rPr>
                <w:rFonts w:cstheme="minorHAnsi"/>
                <w:noProof/>
                <w:sz w:val="16"/>
                <w:szCs w:val="16"/>
              </w:rPr>
              <w:t xml:space="preserve"> </w:t>
            </w:r>
            <w:r w:rsidR="002604CC" w:rsidRPr="00D16BE4">
              <w:rPr>
                <w:rFonts w:cstheme="minorHAnsi"/>
                <w:noProof/>
                <w:sz w:val="16"/>
                <w:szCs w:val="16"/>
                <w:rtl/>
              </w:rPr>
              <w:t>את</w:t>
            </w:r>
            <w:r w:rsidR="002604CC" w:rsidRPr="00D16BE4">
              <w:rPr>
                <w:rFonts w:cstheme="minorHAnsi"/>
                <w:noProof/>
                <w:sz w:val="16"/>
                <w:szCs w:val="16"/>
              </w:rPr>
              <w:t xml:space="preserve"> </w:t>
            </w:r>
            <w:r w:rsidR="002604CC" w:rsidRPr="00D16BE4">
              <w:rPr>
                <w:rFonts w:cstheme="minorHAnsi"/>
                <w:noProof/>
                <w:sz w:val="16"/>
                <w:szCs w:val="16"/>
                <w:rtl/>
              </w:rPr>
              <w:t>הבנקים</w:t>
            </w:r>
            <w:r w:rsidR="002604CC" w:rsidRPr="00D16BE4">
              <w:rPr>
                <w:rFonts w:cstheme="minorHAnsi"/>
                <w:noProof/>
                <w:sz w:val="16"/>
                <w:szCs w:val="16"/>
              </w:rPr>
              <w:t xml:space="preserve"> </w:t>
            </w:r>
            <w:r w:rsidR="002604CC" w:rsidRPr="00D16BE4">
              <w:rPr>
                <w:rFonts w:cstheme="minorHAnsi"/>
                <w:noProof/>
                <w:sz w:val="16"/>
                <w:szCs w:val="16"/>
                <w:rtl/>
              </w:rPr>
              <w:t>המקומיים</w:t>
            </w:r>
            <w:r w:rsidR="001D2F07" w:rsidRPr="00D16BE4">
              <w:rPr>
                <w:rFonts w:cstheme="minorHAnsi"/>
                <w:noProof/>
                <w:sz w:val="16"/>
                <w:szCs w:val="16"/>
                <w:rtl/>
              </w:rPr>
              <w:t>.</w:t>
            </w:r>
          </w:p>
          <w:p w:rsidR="002604CC" w:rsidRPr="00D16BE4" w:rsidRDefault="002604CC" w:rsidP="002604CC">
            <w:pPr>
              <w:jc w:val="both"/>
              <w:rPr>
                <w:rFonts w:cstheme="minorHAnsi"/>
                <w:noProof/>
                <w:sz w:val="16"/>
                <w:szCs w:val="16"/>
              </w:rPr>
            </w:pPr>
            <w:r w:rsidRPr="00D16BE4">
              <w:rPr>
                <w:rFonts w:cstheme="minorHAnsi"/>
                <w:noProof/>
                <w:sz w:val="16"/>
                <w:szCs w:val="16"/>
                <w:rtl/>
              </w:rPr>
              <w:t>המקור: דיווחים</w:t>
            </w:r>
            <w:r w:rsidRPr="00D16BE4">
              <w:rPr>
                <w:rFonts w:cstheme="minorHAnsi"/>
                <w:noProof/>
                <w:sz w:val="16"/>
                <w:szCs w:val="16"/>
              </w:rPr>
              <w:t xml:space="preserve"> </w:t>
            </w:r>
            <w:r w:rsidRPr="00D16BE4">
              <w:rPr>
                <w:rFonts w:cstheme="minorHAnsi"/>
                <w:noProof/>
                <w:sz w:val="16"/>
                <w:szCs w:val="16"/>
                <w:rtl/>
              </w:rPr>
              <w:t>לבנק</w:t>
            </w:r>
            <w:r w:rsidRPr="00D16BE4">
              <w:rPr>
                <w:rFonts w:cstheme="minorHAnsi"/>
                <w:noProof/>
                <w:sz w:val="16"/>
                <w:szCs w:val="16"/>
              </w:rPr>
              <w:t xml:space="preserve"> </w:t>
            </w:r>
            <w:r w:rsidRPr="00D16BE4">
              <w:rPr>
                <w:rFonts w:cstheme="minorHAnsi"/>
                <w:noProof/>
                <w:sz w:val="16"/>
                <w:szCs w:val="16"/>
                <w:rtl/>
              </w:rPr>
              <w:t>ישראל</w:t>
            </w:r>
            <w:r w:rsidRPr="00D16BE4">
              <w:rPr>
                <w:rFonts w:cstheme="minorHAnsi"/>
                <w:noProof/>
                <w:sz w:val="16"/>
                <w:szCs w:val="16"/>
              </w:rPr>
              <w:t xml:space="preserve"> </w:t>
            </w:r>
            <w:r w:rsidRPr="00D16BE4">
              <w:rPr>
                <w:rFonts w:cstheme="minorHAnsi"/>
                <w:noProof/>
                <w:sz w:val="16"/>
                <w:szCs w:val="16"/>
                <w:rtl/>
              </w:rPr>
              <w:t>מהמוסדות</w:t>
            </w:r>
            <w:r w:rsidRPr="00D16BE4">
              <w:rPr>
                <w:rFonts w:cstheme="minorHAnsi"/>
                <w:noProof/>
                <w:sz w:val="16"/>
                <w:szCs w:val="16"/>
              </w:rPr>
              <w:t xml:space="preserve"> </w:t>
            </w:r>
            <w:r w:rsidRPr="00D16BE4">
              <w:rPr>
                <w:rFonts w:cstheme="minorHAnsi"/>
                <w:noProof/>
                <w:sz w:val="16"/>
                <w:szCs w:val="16"/>
                <w:rtl/>
              </w:rPr>
              <w:t>הפיננסיים</w:t>
            </w:r>
            <w:r w:rsidRPr="00D16BE4">
              <w:rPr>
                <w:rFonts w:cstheme="minorHAnsi"/>
                <w:noProof/>
                <w:sz w:val="16"/>
                <w:szCs w:val="16"/>
              </w:rPr>
              <w:t xml:space="preserve"> </w:t>
            </w:r>
            <w:r w:rsidRPr="00D16BE4">
              <w:rPr>
                <w:rFonts w:cstheme="minorHAnsi"/>
                <w:noProof/>
                <w:sz w:val="16"/>
                <w:szCs w:val="16"/>
                <w:rtl/>
              </w:rPr>
              <w:t>ומחברות</w:t>
            </w:r>
            <w:r w:rsidRPr="00D16BE4">
              <w:rPr>
                <w:rFonts w:cstheme="minorHAnsi"/>
                <w:noProof/>
                <w:sz w:val="16"/>
                <w:szCs w:val="16"/>
              </w:rPr>
              <w:t xml:space="preserve"> </w:t>
            </w:r>
            <w:r w:rsidRPr="00D16BE4">
              <w:rPr>
                <w:rFonts w:cstheme="minorHAnsi"/>
                <w:noProof/>
                <w:sz w:val="16"/>
                <w:szCs w:val="16"/>
                <w:rtl/>
              </w:rPr>
              <w:t>עסקיות</w:t>
            </w:r>
            <w:r w:rsidRPr="00D16BE4">
              <w:rPr>
                <w:rFonts w:cstheme="minorHAnsi"/>
                <w:noProof/>
                <w:sz w:val="16"/>
                <w:szCs w:val="16"/>
              </w:rPr>
              <w:t>,</w:t>
            </w:r>
          </w:p>
          <w:p w:rsidR="00644B2C" w:rsidRPr="00D16BE4" w:rsidRDefault="002604CC" w:rsidP="002604CC">
            <w:pPr>
              <w:jc w:val="both"/>
              <w:rPr>
                <w:rFonts w:cstheme="minorHAnsi"/>
                <w:rtl/>
              </w:rPr>
            </w:pPr>
            <w:r w:rsidRPr="00D16BE4">
              <w:rPr>
                <w:rFonts w:cstheme="minorHAnsi"/>
                <w:noProof/>
                <w:sz w:val="16"/>
                <w:szCs w:val="16"/>
                <w:rtl/>
              </w:rPr>
              <w:t>ועיבודי</w:t>
            </w:r>
            <w:r w:rsidRPr="00D16BE4">
              <w:rPr>
                <w:rFonts w:cstheme="minorHAnsi"/>
                <w:noProof/>
                <w:sz w:val="16"/>
                <w:szCs w:val="16"/>
              </w:rPr>
              <w:t xml:space="preserve"> </w:t>
            </w:r>
            <w:r w:rsidRPr="00D16BE4">
              <w:rPr>
                <w:rFonts w:cstheme="minorHAnsi"/>
                <w:noProof/>
                <w:sz w:val="16"/>
                <w:szCs w:val="16"/>
                <w:rtl/>
              </w:rPr>
              <w:t>בנק</w:t>
            </w:r>
            <w:r w:rsidRPr="00D16BE4">
              <w:rPr>
                <w:rFonts w:cstheme="minorHAnsi"/>
                <w:noProof/>
                <w:sz w:val="16"/>
                <w:szCs w:val="16"/>
              </w:rPr>
              <w:t xml:space="preserve"> </w:t>
            </w:r>
            <w:r w:rsidRPr="00D16BE4">
              <w:rPr>
                <w:rFonts w:cstheme="minorHAnsi"/>
                <w:noProof/>
                <w:sz w:val="16"/>
                <w:szCs w:val="16"/>
                <w:rtl/>
              </w:rPr>
              <w:t>ישראל</w:t>
            </w:r>
            <w:r w:rsidRPr="00D16BE4">
              <w:rPr>
                <w:rFonts w:cstheme="minorHAnsi"/>
                <w:noProof/>
                <w:sz w:val="16"/>
                <w:szCs w:val="16"/>
              </w:rPr>
              <w:t>.</w:t>
            </w:r>
          </w:p>
        </w:tc>
      </w:tr>
    </w:tbl>
    <w:p w:rsidR="00644B2C" w:rsidRPr="00D16BE4" w:rsidRDefault="00644B2C" w:rsidP="00DD735B">
      <w:pPr>
        <w:spacing w:line="360" w:lineRule="auto"/>
        <w:jc w:val="both"/>
        <w:rPr>
          <w:rFonts w:cstheme="minorHAnsi"/>
          <w:sz w:val="24"/>
          <w:szCs w:val="24"/>
          <w:rtl/>
        </w:rPr>
      </w:pPr>
    </w:p>
    <w:tbl>
      <w:tblPr>
        <w:tblStyle w:val="TableGrid"/>
        <w:tblpPr w:vertAnchor="page" w:horzAnchor="margin" w:tblpX="-385" w:tblpY="1135"/>
        <w:bidiVisual/>
        <w:tblW w:w="8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9"/>
        <w:gridCol w:w="4529"/>
      </w:tblGrid>
      <w:tr w:rsidR="00AF714B" w:rsidRPr="00D16BE4" w:rsidTr="00D37B1B">
        <w:trPr>
          <w:trHeight w:val="349"/>
        </w:trPr>
        <w:tc>
          <w:tcPr>
            <w:tcW w:w="4209" w:type="dxa"/>
            <w:shd w:val="clear" w:color="auto" w:fill="auto"/>
          </w:tcPr>
          <w:p w:rsidR="00AF714B" w:rsidRPr="00D16BE4" w:rsidRDefault="00AF714B" w:rsidP="00AF714B">
            <w:pPr>
              <w:pStyle w:val="NoSpacing"/>
              <w:spacing w:line="360" w:lineRule="auto"/>
              <w:ind w:left="720"/>
              <w:jc w:val="both"/>
              <w:rPr>
                <w:rFonts w:eastAsia="Times New Roman" w:cstheme="minorHAnsi"/>
                <w:sz w:val="24"/>
                <w:szCs w:val="24"/>
                <w:rtl/>
              </w:rPr>
            </w:pPr>
          </w:p>
        </w:tc>
        <w:tc>
          <w:tcPr>
            <w:tcW w:w="4529" w:type="dxa"/>
          </w:tcPr>
          <w:p w:rsidR="00AF714B" w:rsidRPr="00D16BE4" w:rsidRDefault="00AF714B" w:rsidP="00D37B1B">
            <w:pPr>
              <w:spacing w:line="360" w:lineRule="auto"/>
              <w:jc w:val="both"/>
              <w:rPr>
                <w:rFonts w:eastAsiaTheme="majorEastAsia" w:cstheme="minorHAnsi"/>
                <w:b/>
                <w:bCs/>
                <w:sz w:val="24"/>
                <w:szCs w:val="24"/>
                <w:rtl/>
              </w:rPr>
            </w:pPr>
          </w:p>
        </w:tc>
      </w:tr>
      <w:tr w:rsidR="00CC0C6E" w:rsidRPr="00D16BE4" w:rsidTr="00D37B1B">
        <w:trPr>
          <w:trHeight w:val="349"/>
        </w:trPr>
        <w:tc>
          <w:tcPr>
            <w:tcW w:w="4209" w:type="dxa"/>
            <w:shd w:val="clear" w:color="auto" w:fill="auto"/>
          </w:tcPr>
          <w:p w:rsidR="00CC0C6E" w:rsidRPr="00D16BE4" w:rsidRDefault="00CC0C6E" w:rsidP="00CC0C6E">
            <w:pPr>
              <w:pStyle w:val="ListParagraph"/>
              <w:spacing w:line="360" w:lineRule="auto"/>
              <w:jc w:val="both"/>
              <w:rPr>
                <w:rFonts w:cstheme="minorHAnsi"/>
                <w:sz w:val="24"/>
                <w:szCs w:val="24"/>
                <w:rtl/>
              </w:rPr>
            </w:pPr>
          </w:p>
        </w:tc>
        <w:tc>
          <w:tcPr>
            <w:tcW w:w="4529" w:type="dxa"/>
          </w:tcPr>
          <w:p w:rsidR="00CC0C6E" w:rsidRPr="00D16BE4" w:rsidRDefault="00CC0C6E" w:rsidP="00AF714B">
            <w:pPr>
              <w:spacing w:line="360" w:lineRule="auto"/>
              <w:jc w:val="both"/>
              <w:rPr>
                <w:rFonts w:eastAsia="Times New Roman" w:cstheme="minorHAnsi"/>
                <w:b/>
                <w:bCs/>
                <w:color w:val="000000"/>
                <w:sz w:val="24"/>
                <w:szCs w:val="24"/>
                <w:rtl/>
              </w:rPr>
            </w:pPr>
          </w:p>
        </w:tc>
      </w:tr>
    </w:tbl>
    <w:p w:rsidR="00CC0C6E" w:rsidRPr="00D16BE4" w:rsidRDefault="00CC0C6E" w:rsidP="00EB7595">
      <w:pPr>
        <w:spacing w:line="360" w:lineRule="auto"/>
        <w:ind w:left="-58"/>
        <w:jc w:val="both"/>
        <w:rPr>
          <w:rFonts w:cstheme="minorHAnsi"/>
          <w:b/>
          <w:bCs/>
          <w:sz w:val="24"/>
          <w:szCs w:val="24"/>
          <w:rtl/>
        </w:rPr>
      </w:pPr>
    </w:p>
    <w:p w:rsidR="00CC0C6E" w:rsidRPr="00D16BE4" w:rsidRDefault="00CC0C6E" w:rsidP="00EB7595">
      <w:pPr>
        <w:spacing w:line="360" w:lineRule="auto"/>
        <w:ind w:left="-58"/>
        <w:jc w:val="both"/>
        <w:rPr>
          <w:rFonts w:cstheme="minorHAnsi"/>
          <w:b/>
          <w:bCs/>
          <w:sz w:val="24"/>
          <w:szCs w:val="24"/>
          <w:rtl/>
        </w:rPr>
      </w:pPr>
    </w:p>
    <w:p w:rsidR="00CC0C6E" w:rsidRPr="00D16BE4" w:rsidRDefault="00CC0C6E" w:rsidP="00EB7595">
      <w:pPr>
        <w:spacing w:line="360" w:lineRule="auto"/>
        <w:ind w:left="-58"/>
        <w:jc w:val="both"/>
        <w:rPr>
          <w:rFonts w:cstheme="minorHAnsi"/>
          <w:b/>
          <w:bCs/>
          <w:sz w:val="24"/>
          <w:szCs w:val="24"/>
          <w:rtl/>
        </w:rPr>
      </w:pPr>
    </w:p>
    <w:p w:rsidR="00CE65B8" w:rsidRPr="00D16BE4" w:rsidRDefault="00CE65B8" w:rsidP="00EB7595">
      <w:pPr>
        <w:spacing w:line="360" w:lineRule="auto"/>
        <w:ind w:left="-58"/>
        <w:jc w:val="both"/>
        <w:rPr>
          <w:rFonts w:cstheme="minorHAnsi"/>
          <w:b/>
          <w:bCs/>
          <w:sz w:val="24"/>
          <w:szCs w:val="24"/>
          <w:rtl/>
        </w:rPr>
      </w:pPr>
    </w:p>
    <w:p w:rsidR="00CE65B8" w:rsidRPr="00D16BE4" w:rsidRDefault="00CE65B8" w:rsidP="00EB7595">
      <w:pPr>
        <w:spacing w:line="360" w:lineRule="auto"/>
        <w:ind w:left="-58"/>
        <w:jc w:val="both"/>
        <w:rPr>
          <w:rFonts w:cstheme="minorHAnsi"/>
          <w:b/>
          <w:bCs/>
          <w:sz w:val="24"/>
          <w:szCs w:val="24"/>
          <w:rtl/>
        </w:rPr>
      </w:pPr>
    </w:p>
    <w:p w:rsidR="00CE65B8" w:rsidRPr="00D16BE4" w:rsidRDefault="00CE65B8" w:rsidP="00EB7595">
      <w:pPr>
        <w:spacing w:line="360" w:lineRule="auto"/>
        <w:ind w:left="-58"/>
        <w:jc w:val="both"/>
        <w:rPr>
          <w:rFonts w:cstheme="minorHAnsi"/>
          <w:b/>
          <w:bCs/>
          <w:sz w:val="24"/>
          <w:szCs w:val="24"/>
          <w:rtl/>
        </w:rPr>
      </w:pPr>
    </w:p>
    <w:p w:rsidR="00C10774" w:rsidRPr="00D16BE4" w:rsidRDefault="00C10774" w:rsidP="002604CC">
      <w:pPr>
        <w:spacing w:line="360" w:lineRule="auto"/>
        <w:jc w:val="both"/>
        <w:rPr>
          <w:rFonts w:cstheme="minorHAnsi"/>
          <w:b/>
          <w:bCs/>
          <w:sz w:val="24"/>
          <w:szCs w:val="24"/>
          <w:rtl/>
        </w:rPr>
      </w:pPr>
    </w:p>
    <w:p w:rsidR="002604CC" w:rsidRPr="00D16BE4" w:rsidRDefault="002604CC" w:rsidP="002604CC">
      <w:pPr>
        <w:spacing w:line="360" w:lineRule="auto"/>
        <w:jc w:val="both"/>
        <w:rPr>
          <w:rFonts w:cstheme="minorHAnsi"/>
          <w:b/>
          <w:bCs/>
          <w:sz w:val="24"/>
          <w:szCs w:val="24"/>
          <w:rtl/>
        </w:rPr>
      </w:pPr>
      <w:r w:rsidRPr="00D16BE4">
        <w:rPr>
          <w:rFonts w:cstheme="minorHAnsi"/>
          <w:b/>
          <w:bCs/>
          <w:sz w:val="24"/>
          <w:szCs w:val="24"/>
          <w:rtl/>
        </w:rPr>
        <w:lastRenderedPageBreak/>
        <w:t>חלק שני – עבודות בתחום המתודולוגיה הסטטיסטית והמידע הכלכלי:</w:t>
      </w:r>
    </w:p>
    <w:p w:rsidR="002604CC" w:rsidRPr="00D16BE4" w:rsidRDefault="002604CC" w:rsidP="002604CC">
      <w:pPr>
        <w:pStyle w:val="ListParagraph"/>
        <w:numPr>
          <w:ilvl w:val="0"/>
          <w:numId w:val="43"/>
        </w:numPr>
        <w:spacing w:line="360" w:lineRule="auto"/>
        <w:jc w:val="both"/>
        <w:rPr>
          <w:rFonts w:cstheme="minorHAnsi"/>
          <w:sz w:val="24"/>
          <w:szCs w:val="24"/>
        </w:rPr>
      </w:pPr>
      <w:r w:rsidRPr="00D16BE4">
        <w:rPr>
          <w:rFonts w:cstheme="minorHAnsi"/>
          <w:sz w:val="24"/>
          <w:szCs w:val="24"/>
          <w:rtl/>
        </w:rPr>
        <w:t>מאפייני הפעילות של משקי הבית בניירות ערך בחו"ל</w:t>
      </w:r>
    </w:p>
    <w:p w:rsidR="002604CC" w:rsidRPr="00D16BE4" w:rsidRDefault="009B05E2" w:rsidP="00326BFC">
      <w:pPr>
        <w:pStyle w:val="ListParagraph"/>
        <w:numPr>
          <w:ilvl w:val="1"/>
          <w:numId w:val="43"/>
        </w:numPr>
        <w:spacing w:line="360" w:lineRule="auto"/>
        <w:jc w:val="both"/>
        <w:rPr>
          <w:rFonts w:cstheme="minorHAnsi"/>
          <w:sz w:val="24"/>
          <w:szCs w:val="24"/>
        </w:rPr>
      </w:pPr>
      <w:r w:rsidRPr="00D16BE4">
        <w:rPr>
          <w:rFonts w:cstheme="minorHAnsi"/>
          <w:sz w:val="24"/>
          <w:szCs w:val="24"/>
          <w:rtl/>
        </w:rPr>
        <w:t xml:space="preserve">יתרת </w:t>
      </w:r>
      <w:r w:rsidR="007F0017" w:rsidRPr="00D16BE4">
        <w:rPr>
          <w:rFonts w:cstheme="minorHAnsi"/>
          <w:sz w:val="24"/>
          <w:szCs w:val="24"/>
          <w:rtl/>
        </w:rPr>
        <w:t xml:space="preserve">ניירות הערך של משקי הבית בחו"ל המשיכה לגדול בשנים האחרונות, ונכון לסוף דצמבר 2025 היא מהווה כרבע מכלל החזקות המשק הישראלי בניירות ערך נסחרים בחו"ל. </w:t>
      </w:r>
      <w:r w:rsidR="00743983" w:rsidRPr="00D16BE4">
        <w:rPr>
          <w:rFonts w:cstheme="minorHAnsi"/>
          <w:sz w:val="24"/>
          <w:szCs w:val="24"/>
          <w:rtl/>
        </w:rPr>
        <w:t xml:space="preserve">מסך נכסי המשק בחו"ל, הכוללים ני"ע ומכשירי השקעה נוספים, משקלם של משקי הבית בנכסי המשק בחו"ל </w:t>
      </w:r>
      <w:r w:rsidR="007F0017" w:rsidRPr="00D16BE4">
        <w:rPr>
          <w:rFonts w:cstheme="minorHAnsi"/>
          <w:sz w:val="24"/>
          <w:szCs w:val="24"/>
          <w:rtl/>
        </w:rPr>
        <w:t>עלה מ-7% בשנת 2020 ל-</w:t>
      </w:r>
      <w:r w:rsidR="00326BFC" w:rsidRPr="00D16BE4">
        <w:rPr>
          <w:rFonts w:cstheme="minorHAnsi"/>
          <w:sz w:val="24"/>
          <w:szCs w:val="24"/>
          <w:rtl/>
        </w:rPr>
        <w:t>9</w:t>
      </w:r>
      <w:r w:rsidR="007F0017" w:rsidRPr="00D16BE4">
        <w:rPr>
          <w:rFonts w:cstheme="minorHAnsi"/>
          <w:sz w:val="24"/>
          <w:szCs w:val="24"/>
          <w:rtl/>
        </w:rPr>
        <w:t xml:space="preserve">% </w:t>
      </w:r>
      <w:r w:rsidR="00326BFC" w:rsidRPr="00D16BE4">
        <w:rPr>
          <w:rFonts w:cstheme="minorHAnsi"/>
          <w:sz w:val="24"/>
          <w:szCs w:val="24"/>
          <w:rtl/>
        </w:rPr>
        <w:t>בסוף שנת 2025</w:t>
      </w:r>
      <w:r w:rsidR="007F0017" w:rsidRPr="00D16BE4">
        <w:rPr>
          <w:rFonts w:cstheme="minorHAnsi"/>
          <w:sz w:val="24"/>
          <w:szCs w:val="24"/>
          <w:rtl/>
        </w:rPr>
        <w:t>.</w:t>
      </w:r>
    </w:p>
    <w:p w:rsidR="007F0017" w:rsidRPr="00D16BE4" w:rsidRDefault="007F0017" w:rsidP="002A4F26">
      <w:pPr>
        <w:pStyle w:val="ListParagraph"/>
        <w:numPr>
          <w:ilvl w:val="1"/>
          <w:numId w:val="43"/>
        </w:numPr>
        <w:spacing w:line="360" w:lineRule="auto"/>
        <w:jc w:val="both"/>
        <w:rPr>
          <w:rFonts w:cstheme="minorHAnsi"/>
          <w:sz w:val="24"/>
          <w:szCs w:val="24"/>
        </w:rPr>
      </w:pPr>
      <w:r w:rsidRPr="00D16BE4">
        <w:rPr>
          <w:rFonts w:cstheme="minorHAnsi"/>
          <w:sz w:val="24"/>
          <w:szCs w:val="24"/>
          <w:rtl/>
        </w:rPr>
        <w:t xml:space="preserve">משקי הבית מעדיפים </w:t>
      </w:r>
      <w:r w:rsidR="00197F7F" w:rsidRPr="00D16BE4">
        <w:rPr>
          <w:rFonts w:cstheme="minorHAnsi"/>
          <w:sz w:val="24"/>
          <w:szCs w:val="24"/>
          <w:rtl/>
        </w:rPr>
        <w:t>להשקיע ב</w:t>
      </w:r>
      <w:r w:rsidRPr="00D16BE4">
        <w:rPr>
          <w:rFonts w:cstheme="minorHAnsi"/>
          <w:sz w:val="24"/>
          <w:szCs w:val="24"/>
          <w:rtl/>
        </w:rPr>
        <w:t>נכסים מנייתיים, ותמהיל ההשקעות שלהם נותר יציב לאורך זמן</w:t>
      </w:r>
      <w:r w:rsidR="002A4F26" w:rsidRPr="00D16BE4">
        <w:rPr>
          <w:rFonts w:cstheme="minorHAnsi"/>
          <w:sz w:val="24"/>
          <w:szCs w:val="24"/>
          <w:rtl/>
        </w:rPr>
        <w:t>, גם בתקופות של אי-ודאות במשק הישראלי</w:t>
      </w:r>
      <w:r w:rsidRPr="00D16BE4">
        <w:rPr>
          <w:rFonts w:cstheme="minorHAnsi"/>
          <w:sz w:val="24"/>
          <w:szCs w:val="24"/>
          <w:rtl/>
        </w:rPr>
        <w:t xml:space="preserve">: כ-75% מתיק ניירות הערך מושקע בישראל, וכ-25% בחו"ל. מרבית ההשקעות בניירות ערך בחו"ל מתרכזות </w:t>
      </w:r>
      <w:r w:rsidR="002A4F26" w:rsidRPr="00D16BE4">
        <w:rPr>
          <w:rFonts w:cstheme="minorHAnsi"/>
          <w:sz w:val="24"/>
          <w:szCs w:val="24"/>
          <w:rtl/>
        </w:rPr>
        <w:t>בארצות הברית (79%)</w:t>
      </w:r>
      <w:r w:rsidRPr="00D16BE4">
        <w:rPr>
          <w:rFonts w:cstheme="minorHAnsi"/>
          <w:sz w:val="24"/>
          <w:szCs w:val="24"/>
          <w:rtl/>
        </w:rPr>
        <w:t xml:space="preserve">, תוך העדפה </w:t>
      </w:r>
      <w:r w:rsidR="002A4F26" w:rsidRPr="00D16BE4">
        <w:rPr>
          <w:rFonts w:cstheme="minorHAnsi"/>
          <w:sz w:val="24"/>
          <w:szCs w:val="24"/>
          <w:rtl/>
        </w:rPr>
        <w:t>למניות</w:t>
      </w:r>
      <w:r w:rsidRPr="00D16BE4">
        <w:rPr>
          <w:rFonts w:cstheme="minorHAnsi"/>
          <w:sz w:val="24"/>
          <w:szCs w:val="24"/>
          <w:rtl/>
        </w:rPr>
        <w:t xml:space="preserve"> טכנולוגיה.</w:t>
      </w:r>
    </w:p>
    <w:p w:rsidR="007F0017" w:rsidRPr="00D16BE4" w:rsidRDefault="007F0017" w:rsidP="006870CC">
      <w:pPr>
        <w:pStyle w:val="ListParagraph"/>
        <w:numPr>
          <w:ilvl w:val="1"/>
          <w:numId w:val="43"/>
        </w:numPr>
        <w:spacing w:line="360" w:lineRule="auto"/>
        <w:jc w:val="both"/>
        <w:rPr>
          <w:rFonts w:cstheme="minorHAnsi"/>
          <w:sz w:val="24"/>
          <w:szCs w:val="24"/>
        </w:rPr>
      </w:pPr>
      <w:r w:rsidRPr="00D16BE4">
        <w:rPr>
          <w:rFonts w:cstheme="minorHAnsi"/>
          <w:sz w:val="24"/>
          <w:szCs w:val="24"/>
          <w:rtl/>
        </w:rPr>
        <w:t>רוב השקעות משקי הבית בחו"ל נעשות</w:t>
      </w:r>
      <w:r w:rsidR="009B05E2" w:rsidRPr="00D16BE4">
        <w:rPr>
          <w:rFonts w:cstheme="minorHAnsi"/>
          <w:sz w:val="24"/>
          <w:szCs w:val="24"/>
          <w:rtl/>
        </w:rPr>
        <w:t xml:space="preserve"> על ידם</w:t>
      </w:r>
      <w:r w:rsidRPr="00D16BE4">
        <w:rPr>
          <w:rFonts w:cstheme="minorHAnsi"/>
          <w:sz w:val="24"/>
          <w:szCs w:val="24"/>
          <w:rtl/>
        </w:rPr>
        <w:t xml:space="preserve"> באופן ישיר: נכון לסוף 2025 הושקעו כ-73 מיליארד דולר ישירות, לעומת כ-26 מיליארד דולר בלבד באמצעות קרנות נאמנות. בנוסף, שיעור ההשקעות שלהם בחו"ל (22%) גבוה</w:t>
      </w:r>
      <w:r w:rsidR="002A4F26" w:rsidRPr="00D16BE4">
        <w:rPr>
          <w:rFonts w:cstheme="minorHAnsi"/>
          <w:sz w:val="24"/>
          <w:szCs w:val="24"/>
          <w:rtl/>
        </w:rPr>
        <w:t xml:space="preserve"> משמעותית</w:t>
      </w:r>
      <w:r w:rsidRPr="00D16BE4">
        <w:rPr>
          <w:rFonts w:cstheme="minorHAnsi"/>
          <w:sz w:val="24"/>
          <w:szCs w:val="24"/>
          <w:rtl/>
        </w:rPr>
        <w:t xml:space="preserve"> </w:t>
      </w:r>
      <w:r w:rsidR="002A4F26" w:rsidRPr="00D16BE4">
        <w:rPr>
          <w:rFonts w:cstheme="minorHAnsi"/>
          <w:sz w:val="24"/>
          <w:szCs w:val="24"/>
          <w:rtl/>
        </w:rPr>
        <w:t>מחציון</w:t>
      </w:r>
      <w:r w:rsidRPr="00D16BE4">
        <w:rPr>
          <w:rFonts w:cstheme="minorHAnsi"/>
          <w:sz w:val="24"/>
          <w:szCs w:val="24"/>
          <w:rtl/>
        </w:rPr>
        <w:t xml:space="preserve"> מדינות ה-</w:t>
      </w:r>
      <w:r w:rsidRPr="00D16BE4">
        <w:rPr>
          <w:rFonts w:cstheme="minorHAnsi"/>
          <w:sz w:val="24"/>
          <w:szCs w:val="24"/>
        </w:rPr>
        <w:t>OECD</w:t>
      </w:r>
      <w:r w:rsidR="002A4F26" w:rsidRPr="00D16BE4">
        <w:rPr>
          <w:rFonts w:cstheme="minorHAnsi"/>
          <w:sz w:val="24"/>
          <w:szCs w:val="24"/>
          <w:rtl/>
        </w:rPr>
        <w:t xml:space="preserve"> שעומד על 10%.</w:t>
      </w:r>
    </w:p>
    <w:p w:rsidR="005F702F" w:rsidRPr="00D16BE4" w:rsidRDefault="005F702F" w:rsidP="005F702F">
      <w:pPr>
        <w:pStyle w:val="ListParagraph"/>
        <w:spacing w:line="360" w:lineRule="auto"/>
        <w:ind w:left="1022"/>
        <w:jc w:val="both"/>
        <w:rPr>
          <w:rFonts w:cstheme="minorHAnsi"/>
          <w:sz w:val="24"/>
          <w:szCs w:val="24"/>
        </w:rPr>
      </w:pPr>
    </w:p>
    <w:p w:rsidR="00C43BD8" w:rsidRPr="00D16BE4" w:rsidRDefault="00C43BD8" w:rsidP="00C43BD8">
      <w:pPr>
        <w:pStyle w:val="ListParagraph"/>
        <w:numPr>
          <w:ilvl w:val="0"/>
          <w:numId w:val="43"/>
        </w:numPr>
        <w:spacing w:line="360" w:lineRule="auto"/>
        <w:jc w:val="both"/>
        <w:rPr>
          <w:rFonts w:cstheme="minorHAnsi"/>
          <w:sz w:val="24"/>
          <w:szCs w:val="24"/>
        </w:rPr>
      </w:pPr>
      <w:r w:rsidRPr="00D16BE4">
        <w:rPr>
          <w:rFonts w:cstheme="minorHAnsi"/>
          <w:sz w:val="24"/>
          <w:szCs w:val="24"/>
          <w:rtl/>
        </w:rPr>
        <w:t>סקר קציני אשראי בישראל</w:t>
      </w:r>
    </w:p>
    <w:p w:rsidR="00C43BD8" w:rsidRPr="00D16BE4" w:rsidRDefault="00C43BD8" w:rsidP="00C43BD8">
      <w:pPr>
        <w:pStyle w:val="ListParagraph"/>
        <w:numPr>
          <w:ilvl w:val="1"/>
          <w:numId w:val="43"/>
        </w:numPr>
        <w:spacing w:line="360" w:lineRule="auto"/>
        <w:jc w:val="both"/>
        <w:rPr>
          <w:rFonts w:cstheme="minorHAnsi"/>
          <w:sz w:val="24"/>
          <w:szCs w:val="24"/>
        </w:rPr>
      </w:pPr>
      <w:r w:rsidRPr="00D16BE4">
        <w:rPr>
          <w:rFonts w:cstheme="minorHAnsi"/>
          <w:sz w:val="24"/>
          <w:szCs w:val="24"/>
          <w:rtl/>
        </w:rPr>
        <w:t>העבודה מתארת את סקר קציני האשראי החדש שבנק ישראל החל לערוך בספטמבר 2024, המבוסס על סקרים דומים בבנקים מרכזיים בעולם, ושנועד לספק מידע איכותני ועדכני על התפתחויות בביקוש ובהיצע האשראי הבנקאי.</w:t>
      </w:r>
    </w:p>
    <w:p w:rsidR="00C43BD8" w:rsidRPr="00D16BE4" w:rsidRDefault="00C43BD8" w:rsidP="00C43BD8">
      <w:pPr>
        <w:pStyle w:val="ListParagraph"/>
        <w:numPr>
          <w:ilvl w:val="1"/>
          <w:numId w:val="43"/>
        </w:numPr>
        <w:spacing w:line="360" w:lineRule="auto"/>
        <w:jc w:val="both"/>
        <w:rPr>
          <w:rFonts w:cstheme="minorHAnsi"/>
          <w:sz w:val="24"/>
          <w:szCs w:val="24"/>
        </w:rPr>
      </w:pPr>
      <w:r w:rsidRPr="00D16BE4">
        <w:rPr>
          <w:rFonts w:cstheme="minorHAnsi"/>
          <w:sz w:val="24"/>
          <w:szCs w:val="24"/>
          <w:rtl/>
        </w:rPr>
        <w:t>הסקר מציג מידע משלים לנתונים הכמותיים: מידע על שינויים בביקוש לאשראי</w:t>
      </w:r>
      <w:r w:rsidR="006870CC" w:rsidRPr="00D16BE4">
        <w:rPr>
          <w:rFonts w:cstheme="minorHAnsi"/>
          <w:sz w:val="24"/>
          <w:szCs w:val="24"/>
          <w:rtl/>
        </w:rPr>
        <w:t xml:space="preserve"> </w:t>
      </w:r>
      <w:r w:rsidRPr="00D16BE4">
        <w:rPr>
          <w:rFonts w:cstheme="minorHAnsi"/>
          <w:sz w:val="24"/>
          <w:szCs w:val="24"/>
          <w:rtl/>
        </w:rPr>
        <w:t>ובתנאי האשראי שהבנקים מציעים, ועל גורמים שמשפיעים על הביקוש לאשראי ומדיניות האשראי (מידע שאינו נכלל בדיווחים הכמותיים הרגילים).</w:t>
      </w:r>
    </w:p>
    <w:p w:rsidR="005F702F" w:rsidRPr="00D16BE4" w:rsidRDefault="00C43BD8" w:rsidP="00C43BD8">
      <w:pPr>
        <w:pStyle w:val="ListParagraph"/>
        <w:numPr>
          <w:ilvl w:val="1"/>
          <w:numId w:val="43"/>
        </w:numPr>
        <w:spacing w:line="360" w:lineRule="auto"/>
        <w:jc w:val="both"/>
        <w:rPr>
          <w:rFonts w:cstheme="minorHAnsi"/>
          <w:sz w:val="24"/>
          <w:szCs w:val="24"/>
          <w:rtl/>
        </w:rPr>
      </w:pPr>
      <w:r w:rsidRPr="00D16BE4">
        <w:rPr>
          <w:rFonts w:cstheme="minorHAnsi"/>
          <w:sz w:val="24"/>
          <w:szCs w:val="24"/>
          <w:rtl/>
        </w:rPr>
        <w:t xml:space="preserve">העבודה כוללת תוצאות נבחרות מהסקר המתארות את ההתפתחויות בביקוש ובהיצע האשראי הבנקאי לפי מגזרים וקבוצות גודל של עסקים.  </w:t>
      </w:r>
    </w:p>
    <w:p w:rsidR="005F702F" w:rsidRPr="00D16BE4" w:rsidRDefault="005F702F" w:rsidP="005F702F">
      <w:pPr>
        <w:pStyle w:val="ListParagraph"/>
        <w:spacing w:line="360" w:lineRule="auto"/>
        <w:ind w:left="1022"/>
        <w:jc w:val="both"/>
        <w:rPr>
          <w:rFonts w:cstheme="minorHAnsi"/>
          <w:sz w:val="24"/>
          <w:szCs w:val="24"/>
        </w:rPr>
      </w:pPr>
    </w:p>
    <w:p w:rsidR="005F702F" w:rsidRPr="00D16BE4" w:rsidRDefault="00E77732" w:rsidP="005F702F">
      <w:pPr>
        <w:pStyle w:val="ListParagraph"/>
        <w:numPr>
          <w:ilvl w:val="0"/>
          <w:numId w:val="43"/>
        </w:numPr>
        <w:spacing w:line="360" w:lineRule="auto"/>
        <w:jc w:val="both"/>
        <w:rPr>
          <w:rFonts w:cstheme="minorHAnsi"/>
          <w:sz w:val="24"/>
          <w:szCs w:val="24"/>
        </w:rPr>
      </w:pPr>
      <w:r w:rsidRPr="00D16BE4">
        <w:rPr>
          <w:rFonts w:cstheme="minorHAnsi"/>
          <w:sz w:val="24"/>
          <w:szCs w:val="24"/>
          <w:rtl/>
        </w:rPr>
        <w:t xml:space="preserve">התפתחות החוב החיצוני </w:t>
      </w:r>
      <w:r w:rsidR="00EE2AE8" w:rsidRPr="00D16BE4">
        <w:rPr>
          <w:rFonts w:cstheme="minorHAnsi"/>
          <w:sz w:val="24"/>
          <w:szCs w:val="24"/>
          <w:rtl/>
        </w:rPr>
        <w:t xml:space="preserve">ברוטו </w:t>
      </w:r>
      <w:r w:rsidRPr="00D16BE4">
        <w:rPr>
          <w:rFonts w:cstheme="minorHAnsi"/>
          <w:sz w:val="24"/>
          <w:szCs w:val="24"/>
          <w:rtl/>
        </w:rPr>
        <w:t>של המגזר הציבורי בעשור האחרון</w:t>
      </w:r>
    </w:p>
    <w:p w:rsidR="007C64D9" w:rsidRPr="00D16BE4" w:rsidRDefault="00E77732" w:rsidP="007C64D9">
      <w:pPr>
        <w:pStyle w:val="ListParagraph"/>
        <w:numPr>
          <w:ilvl w:val="1"/>
          <w:numId w:val="43"/>
        </w:numPr>
        <w:spacing w:line="360" w:lineRule="auto"/>
        <w:jc w:val="both"/>
        <w:rPr>
          <w:rFonts w:cstheme="minorHAnsi"/>
          <w:sz w:val="24"/>
          <w:szCs w:val="24"/>
        </w:rPr>
      </w:pPr>
      <w:r w:rsidRPr="00D16BE4">
        <w:rPr>
          <w:rFonts w:cstheme="minorHAnsi"/>
          <w:sz w:val="24"/>
          <w:szCs w:val="24"/>
          <w:rtl/>
        </w:rPr>
        <w:t xml:space="preserve">בשנים שלפני הקורונה (2015-2019) החוב החיצוני הציבורי </w:t>
      </w:r>
      <w:r w:rsidR="00EE2AE8" w:rsidRPr="00D16BE4">
        <w:rPr>
          <w:rFonts w:cstheme="minorHAnsi"/>
          <w:sz w:val="24"/>
          <w:szCs w:val="24"/>
          <w:rtl/>
        </w:rPr>
        <w:t>עלה בקצב מתון עד לרמת חוב של כ-36-38</w:t>
      </w:r>
      <w:r w:rsidR="00507BA9" w:rsidRPr="00D16BE4">
        <w:rPr>
          <w:rFonts w:cstheme="minorHAnsi"/>
          <w:sz w:val="24"/>
          <w:szCs w:val="24"/>
          <w:rtl/>
        </w:rPr>
        <w:t xml:space="preserve"> </w:t>
      </w:r>
      <w:r w:rsidRPr="00D16BE4">
        <w:rPr>
          <w:rFonts w:cstheme="minorHAnsi"/>
          <w:sz w:val="24"/>
          <w:szCs w:val="24"/>
          <w:rtl/>
        </w:rPr>
        <w:t>מיליארד דולר. במהלך תקופת הקורונה הוא הוכפל והגיע בשנת 2021 לרמה של</w:t>
      </w:r>
      <w:r w:rsidR="00507BA9" w:rsidRPr="00D16BE4">
        <w:rPr>
          <w:rFonts w:cstheme="minorHAnsi"/>
          <w:sz w:val="24"/>
          <w:szCs w:val="24"/>
          <w:rtl/>
        </w:rPr>
        <w:t xml:space="preserve"> כ-</w:t>
      </w:r>
      <w:r w:rsidRPr="00D16BE4">
        <w:rPr>
          <w:rFonts w:cstheme="minorHAnsi"/>
          <w:sz w:val="24"/>
          <w:szCs w:val="24"/>
          <w:rtl/>
        </w:rPr>
        <w:t xml:space="preserve"> </w:t>
      </w:r>
      <w:r w:rsidR="00F32AB7" w:rsidRPr="00D16BE4">
        <w:rPr>
          <w:rFonts w:cstheme="minorHAnsi"/>
          <w:sz w:val="24"/>
          <w:szCs w:val="24"/>
          <w:rtl/>
        </w:rPr>
        <w:t>78</w:t>
      </w:r>
      <w:r w:rsidRPr="00D16BE4">
        <w:rPr>
          <w:rFonts w:cstheme="minorHAnsi"/>
          <w:sz w:val="24"/>
          <w:szCs w:val="24"/>
          <w:rtl/>
        </w:rPr>
        <w:t xml:space="preserve"> מיליארד דולר. לאחר מכן ירד בהדרגה </w:t>
      </w:r>
      <w:r w:rsidR="006C5048" w:rsidRPr="00D16BE4">
        <w:rPr>
          <w:rFonts w:cstheme="minorHAnsi"/>
          <w:sz w:val="24"/>
          <w:szCs w:val="24"/>
          <w:rtl/>
        </w:rPr>
        <w:t>לכ-66 מיליארדי</w:t>
      </w:r>
      <w:r w:rsidRPr="00D16BE4">
        <w:rPr>
          <w:rFonts w:cstheme="minorHAnsi"/>
          <w:sz w:val="24"/>
          <w:szCs w:val="24"/>
          <w:rtl/>
        </w:rPr>
        <w:t xml:space="preserve"> דולר </w:t>
      </w:r>
      <w:r w:rsidR="006C5048" w:rsidRPr="00D16BE4">
        <w:rPr>
          <w:rFonts w:cstheme="minorHAnsi"/>
          <w:sz w:val="24"/>
          <w:szCs w:val="24"/>
          <w:rtl/>
        </w:rPr>
        <w:t>עד לסוף</w:t>
      </w:r>
      <w:r w:rsidRPr="00D16BE4">
        <w:rPr>
          <w:rFonts w:cstheme="minorHAnsi"/>
          <w:sz w:val="24"/>
          <w:szCs w:val="24"/>
          <w:rtl/>
        </w:rPr>
        <w:t xml:space="preserve"> הרבעון השלישי של 2023</w:t>
      </w:r>
      <w:r w:rsidR="00EE2AE8" w:rsidRPr="00D16BE4">
        <w:rPr>
          <w:rFonts w:cstheme="minorHAnsi"/>
          <w:sz w:val="24"/>
          <w:szCs w:val="24"/>
          <w:rtl/>
        </w:rPr>
        <w:t>. ב</w:t>
      </w:r>
      <w:r w:rsidR="00507BA9" w:rsidRPr="00D16BE4">
        <w:rPr>
          <w:rFonts w:cstheme="minorHAnsi"/>
          <w:sz w:val="24"/>
          <w:szCs w:val="24"/>
          <w:rtl/>
        </w:rPr>
        <w:t xml:space="preserve">תחילת המלחמה, המשיכה מגמת הירידה והחוב </w:t>
      </w:r>
      <w:r w:rsidR="00EE2AE8" w:rsidRPr="00D16BE4">
        <w:rPr>
          <w:rFonts w:cstheme="minorHAnsi"/>
          <w:sz w:val="24"/>
          <w:szCs w:val="24"/>
          <w:rtl/>
        </w:rPr>
        <w:t>עמד על כ-64 מיליארד דולר בסוף שנת 2023. בהמשך המלחמה הוא</w:t>
      </w:r>
      <w:r w:rsidRPr="00D16BE4">
        <w:rPr>
          <w:rFonts w:cstheme="minorHAnsi"/>
          <w:sz w:val="24"/>
          <w:szCs w:val="24"/>
          <w:rtl/>
        </w:rPr>
        <w:t xml:space="preserve"> עלה מחדש </w:t>
      </w:r>
      <w:r w:rsidR="00F32AB7" w:rsidRPr="00D16BE4">
        <w:rPr>
          <w:rFonts w:cstheme="minorHAnsi"/>
          <w:sz w:val="24"/>
          <w:szCs w:val="24"/>
          <w:rtl/>
        </w:rPr>
        <w:t xml:space="preserve">לכ-75 </w:t>
      </w:r>
      <w:r w:rsidRPr="00D16BE4">
        <w:rPr>
          <w:rFonts w:cstheme="minorHAnsi"/>
          <w:sz w:val="24"/>
          <w:szCs w:val="24"/>
          <w:rtl/>
        </w:rPr>
        <w:t>מיל</w:t>
      </w:r>
      <w:r w:rsidR="00507BA9" w:rsidRPr="00D16BE4">
        <w:rPr>
          <w:rFonts w:cstheme="minorHAnsi"/>
          <w:sz w:val="24"/>
          <w:szCs w:val="24"/>
          <w:rtl/>
        </w:rPr>
        <w:t>יארד דולר במחצית השנייה של 2025, קרוב לרמת השיא.</w:t>
      </w:r>
    </w:p>
    <w:p w:rsidR="005065EA" w:rsidRPr="00D16BE4" w:rsidRDefault="00507BA9" w:rsidP="007C64D9">
      <w:pPr>
        <w:pStyle w:val="ListParagraph"/>
        <w:numPr>
          <w:ilvl w:val="1"/>
          <w:numId w:val="43"/>
        </w:numPr>
        <w:spacing w:line="360" w:lineRule="auto"/>
        <w:jc w:val="both"/>
        <w:rPr>
          <w:rFonts w:cstheme="minorHAnsi"/>
          <w:sz w:val="24"/>
          <w:szCs w:val="24"/>
          <w:rtl/>
        </w:rPr>
      </w:pPr>
      <w:r w:rsidRPr="00D16BE4">
        <w:rPr>
          <w:rFonts w:cstheme="minorHAnsi"/>
          <w:sz w:val="24"/>
          <w:szCs w:val="24"/>
          <w:rtl/>
        </w:rPr>
        <w:t xml:space="preserve">בהרכב המטבעי של החוב </w:t>
      </w:r>
      <w:r w:rsidR="00EE2AE8" w:rsidRPr="00D16BE4">
        <w:rPr>
          <w:rFonts w:cstheme="minorHAnsi"/>
          <w:sz w:val="24"/>
          <w:szCs w:val="24"/>
          <w:rtl/>
        </w:rPr>
        <w:t xml:space="preserve">החיצוני הציבורי ברוטו </w:t>
      </w:r>
      <w:r w:rsidRPr="00D16BE4">
        <w:rPr>
          <w:rFonts w:cstheme="minorHAnsi"/>
          <w:sz w:val="24"/>
          <w:szCs w:val="24"/>
          <w:rtl/>
        </w:rPr>
        <w:t>נרשמו תנודות:</w:t>
      </w:r>
      <w:r w:rsidR="00C663DE" w:rsidRPr="00D16BE4">
        <w:rPr>
          <w:rFonts w:cstheme="minorHAnsi"/>
          <w:sz w:val="24"/>
          <w:szCs w:val="24"/>
          <w:rtl/>
        </w:rPr>
        <w:t xml:space="preserve"> המשקיעים הזרים המשיכו להשקיע במכשירי חוב במט"ח</w:t>
      </w:r>
      <w:r w:rsidR="00F32AB7" w:rsidRPr="00D16BE4">
        <w:rPr>
          <w:rFonts w:cstheme="minorHAnsi"/>
          <w:sz w:val="24"/>
          <w:szCs w:val="24"/>
          <w:rtl/>
        </w:rPr>
        <w:t>, בעיקר באג"ח דולריות,</w:t>
      </w:r>
      <w:r w:rsidR="00EE2AE8" w:rsidRPr="00D16BE4">
        <w:rPr>
          <w:rFonts w:cstheme="minorHAnsi"/>
          <w:sz w:val="24"/>
          <w:szCs w:val="24"/>
          <w:rtl/>
        </w:rPr>
        <w:t xml:space="preserve"> גם בזמן המלחמה. אך במקביל נרשמה יציאה מהשקעה באגרות חוב שקליות, בהמשך למימושים קודמים במק"ם.</w:t>
      </w:r>
    </w:p>
    <w:p w:rsidR="00CE65B8" w:rsidRPr="00D16BE4" w:rsidRDefault="00CE65B8" w:rsidP="00EB7595">
      <w:pPr>
        <w:spacing w:line="360" w:lineRule="auto"/>
        <w:ind w:left="-58"/>
        <w:jc w:val="both"/>
        <w:rPr>
          <w:rFonts w:cstheme="minorHAnsi"/>
          <w:b/>
          <w:bCs/>
          <w:sz w:val="24"/>
          <w:szCs w:val="24"/>
          <w:rtl/>
        </w:rPr>
      </w:pPr>
    </w:p>
    <w:p w:rsidR="00190133" w:rsidRPr="00D16BE4" w:rsidRDefault="00190133" w:rsidP="00EB7595">
      <w:pPr>
        <w:spacing w:line="360" w:lineRule="auto"/>
        <w:ind w:left="360"/>
        <w:jc w:val="both"/>
        <w:rPr>
          <w:rFonts w:cstheme="minorHAnsi"/>
          <w:sz w:val="24"/>
          <w:szCs w:val="24"/>
        </w:rPr>
      </w:pPr>
    </w:p>
    <w:sectPr w:rsidR="00190133" w:rsidRPr="00D16BE4" w:rsidSect="00C10774">
      <w:pgSz w:w="11906" w:h="16838"/>
      <w:pgMar w:top="720" w:right="720" w:bottom="720" w:left="720" w:header="709" w:footer="0"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18140" w16cex:dateUtc="2023-03-19T10:40:00Z"/>
  <w16cex:commentExtensible w16cex:durableId="27C181F1" w16cex:dateUtc="2023-03-19T10:43:00Z"/>
  <w16cex:commentExtensible w16cex:durableId="27C18264" w16cex:dateUtc="2023-03-19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FE331F" w16cid:durableId="27C18140"/>
  <w16cid:commentId w16cid:paraId="5B3EDCAF" w16cid:durableId="27C181F1"/>
  <w16cid:commentId w16cid:paraId="23847715" w16cid:durableId="27C182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0EC" w:rsidRDefault="002370EC" w:rsidP="006E4A40">
      <w:pPr>
        <w:spacing w:after="0" w:line="240" w:lineRule="auto"/>
      </w:pPr>
      <w:r>
        <w:separator/>
      </w:r>
    </w:p>
  </w:endnote>
  <w:endnote w:type="continuationSeparator" w:id="0">
    <w:p w:rsidR="002370EC" w:rsidRDefault="002370EC" w:rsidP="006E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0EC" w:rsidRDefault="002370EC" w:rsidP="006E4A40">
      <w:pPr>
        <w:spacing w:after="0" w:line="240" w:lineRule="auto"/>
      </w:pPr>
      <w:r>
        <w:separator/>
      </w:r>
    </w:p>
  </w:footnote>
  <w:footnote w:type="continuationSeparator" w:id="0">
    <w:p w:rsidR="002370EC" w:rsidRDefault="002370EC" w:rsidP="006E4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22pt" o:bullet="t">
        <v:imagedata r:id="rId1" o:title="Picture331"/>
      </v:shape>
    </w:pict>
  </w:numPicBullet>
  <w:abstractNum w:abstractNumId="0" w15:restartNumberingAfterBreak="0">
    <w:nsid w:val="0058578A"/>
    <w:multiLevelType w:val="hybridMultilevel"/>
    <w:tmpl w:val="4062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47DE9"/>
    <w:multiLevelType w:val="hybridMultilevel"/>
    <w:tmpl w:val="2F5ADC30"/>
    <w:lvl w:ilvl="0" w:tplc="E8ACC3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A5520"/>
    <w:multiLevelType w:val="hybridMultilevel"/>
    <w:tmpl w:val="BCE674A8"/>
    <w:lvl w:ilvl="0" w:tplc="C5A4A844">
      <w:start w:val="1"/>
      <w:numFmt w:val="hebrew1"/>
      <w:lvlText w:val="%1."/>
      <w:lvlJc w:val="left"/>
      <w:pPr>
        <w:ind w:left="720" w:hanging="360"/>
      </w:pPr>
      <w:rPr>
        <w:rFonts w:asciiTheme="minorHAnsi" w:hAnsiTheme="minorHAnsi" w:cstheme="min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071EB"/>
    <w:multiLevelType w:val="hybridMultilevel"/>
    <w:tmpl w:val="CF0A5D28"/>
    <w:lvl w:ilvl="0" w:tplc="CCD6D8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7246"/>
    <w:multiLevelType w:val="hybridMultilevel"/>
    <w:tmpl w:val="58F28D90"/>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 w15:restartNumberingAfterBreak="0">
    <w:nsid w:val="0A883739"/>
    <w:multiLevelType w:val="hybridMultilevel"/>
    <w:tmpl w:val="998C183C"/>
    <w:lvl w:ilvl="0" w:tplc="1390D8D4">
      <w:start w:val="1"/>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05F1D"/>
    <w:multiLevelType w:val="hybridMultilevel"/>
    <w:tmpl w:val="2DFA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E144A"/>
    <w:multiLevelType w:val="hybridMultilevel"/>
    <w:tmpl w:val="F944700A"/>
    <w:lvl w:ilvl="0" w:tplc="4E0EF99C">
      <w:start w:val="1"/>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B265C"/>
    <w:multiLevelType w:val="hybridMultilevel"/>
    <w:tmpl w:val="C356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829D4"/>
    <w:multiLevelType w:val="hybridMultilevel"/>
    <w:tmpl w:val="BA0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C4D9C"/>
    <w:multiLevelType w:val="hybridMultilevel"/>
    <w:tmpl w:val="0ED2CE8A"/>
    <w:lvl w:ilvl="0" w:tplc="F8C09228">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47F09"/>
    <w:multiLevelType w:val="hybridMultilevel"/>
    <w:tmpl w:val="A48C42D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2" w15:restartNumberingAfterBreak="0">
    <w:nsid w:val="18E40E75"/>
    <w:multiLevelType w:val="hybridMultilevel"/>
    <w:tmpl w:val="1136C03A"/>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3" w15:restartNumberingAfterBreak="0">
    <w:nsid w:val="19381D0A"/>
    <w:multiLevelType w:val="hybridMultilevel"/>
    <w:tmpl w:val="72301658"/>
    <w:lvl w:ilvl="0" w:tplc="4E0EF99C">
      <w:start w:val="1"/>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504CDD"/>
    <w:multiLevelType w:val="hybridMultilevel"/>
    <w:tmpl w:val="E722A16A"/>
    <w:lvl w:ilvl="0" w:tplc="F8C09228">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A5FB0"/>
    <w:multiLevelType w:val="hybridMultilevel"/>
    <w:tmpl w:val="8204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63AE9"/>
    <w:multiLevelType w:val="hybridMultilevel"/>
    <w:tmpl w:val="709A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E30F2"/>
    <w:multiLevelType w:val="hybridMultilevel"/>
    <w:tmpl w:val="23CC8B7E"/>
    <w:lvl w:ilvl="0" w:tplc="F8C09228">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B23F6C"/>
    <w:multiLevelType w:val="hybridMultilevel"/>
    <w:tmpl w:val="25FED19C"/>
    <w:lvl w:ilvl="0" w:tplc="DFBE00E2">
      <w:start w:val="1"/>
      <w:numFmt w:val="hebrew1"/>
      <w:lvlText w:val="%1."/>
      <w:lvlJc w:val="left"/>
      <w:pPr>
        <w:ind w:left="360" w:hanging="360"/>
      </w:pPr>
      <w:rPr>
        <w:rFonts w:asciiTheme="minorHAnsi" w:eastAsiaTheme="minorHAnsi" w:hAnsiTheme="minorHAnsi" w:cs="Dav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74199C"/>
    <w:multiLevelType w:val="hybridMultilevel"/>
    <w:tmpl w:val="5C884684"/>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0" w15:restartNumberingAfterBreak="0">
    <w:nsid w:val="2E86009E"/>
    <w:multiLevelType w:val="hybridMultilevel"/>
    <w:tmpl w:val="CA7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A71FB"/>
    <w:multiLevelType w:val="hybridMultilevel"/>
    <w:tmpl w:val="022EDDB4"/>
    <w:lvl w:ilvl="0" w:tplc="B22E28A2">
      <w:start w:val="1"/>
      <w:numFmt w:val="bullet"/>
      <w:lvlText w:val=""/>
      <w:lvlJc w:val="left"/>
      <w:pPr>
        <w:ind w:left="360" w:hanging="360"/>
      </w:pPr>
      <w:rPr>
        <w:rFonts w:ascii="Symbol" w:hAnsi="Symbol"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A1485"/>
    <w:multiLevelType w:val="hybridMultilevel"/>
    <w:tmpl w:val="2E084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E3791F"/>
    <w:multiLevelType w:val="hybridMultilevel"/>
    <w:tmpl w:val="F7B8D902"/>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73312C"/>
    <w:multiLevelType w:val="hybridMultilevel"/>
    <w:tmpl w:val="604EF50C"/>
    <w:lvl w:ilvl="0" w:tplc="953EFB66">
      <w:start w:val="1"/>
      <w:numFmt w:val="decimal"/>
      <w:pStyle w:va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3959EB"/>
    <w:multiLevelType w:val="hybridMultilevel"/>
    <w:tmpl w:val="EBD2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32EE6"/>
    <w:multiLevelType w:val="hybridMultilevel"/>
    <w:tmpl w:val="B3541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7808D5"/>
    <w:multiLevelType w:val="hybridMultilevel"/>
    <w:tmpl w:val="1A00F7DE"/>
    <w:lvl w:ilvl="0" w:tplc="4E0EF99C">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67B1D"/>
    <w:multiLevelType w:val="hybridMultilevel"/>
    <w:tmpl w:val="A0E4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6B68EB"/>
    <w:multiLevelType w:val="hybridMultilevel"/>
    <w:tmpl w:val="BEB4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2D4082"/>
    <w:multiLevelType w:val="hybridMultilevel"/>
    <w:tmpl w:val="3A64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A49C2"/>
    <w:multiLevelType w:val="hybridMultilevel"/>
    <w:tmpl w:val="D778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57B8E"/>
    <w:multiLevelType w:val="hybridMultilevel"/>
    <w:tmpl w:val="23CC8B7E"/>
    <w:lvl w:ilvl="0" w:tplc="F8C09228">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66231"/>
    <w:multiLevelType w:val="hybridMultilevel"/>
    <w:tmpl w:val="9758A59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8378B"/>
    <w:multiLevelType w:val="hybridMultilevel"/>
    <w:tmpl w:val="96C0B478"/>
    <w:lvl w:ilvl="0" w:tplc="117AF32E">
      <w:start w:val="1"/>
      <w:numFmt w:val="hebrew1"/>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126BC"/>
    <w:multiLevelType w:val="hybridMultilevel"/>
    <w:tmpl w:val="76563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955409"/>
    <w:multiLevelType w:val="hybridMultilevel"/>
    <w:tmpl w:val="3916566E"/>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37" w15:restartNumberingAfterBreak="0">
    <w:nsid w:val="76FA34FA"/>
    <w:multiLevelType w:val="hybridMultilevel"/>
    <w:tmpl w:val="693ECC66"/>
    <w:lvl w:ilvl="0" w:tplc="1CB80318">
      <w:start w:val="1"/>
      <w:numFmt w:val="decimal"/>
      <w:lvlText w:val="%1."/>
      <w:lvlJc w:val="left"/>
      <w:pPr>
        <w:ind w:left="302" w:hanging="360"/>
      </w:pPr>
      <w:rPr>
        <w:rFonts w:hint="default"/>
      </w:rPr>
    </w:lvl>
    <w:lvl w:ilvl="1" w:tplc="04090001">
      <w:start w:val="1"/>
      <w:numFmt w:val="bullet"/>
      <w:lvlText w:val=""/>
      <w:lvlJc w:val="left"/>
      <w:pPr>
        <w:ind w:left="1022" w:hanging="360"/>
      </w:pPr>
      <w:rPr>
        <w:rFonts w:ascii="Symbol" w:hAnsi="Symbol" w:hint="default"/>
      </w:rPr>
    </w:lvl>
    <w:lvl w:ilvl="2" w:tplc="0409001B">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8" w15:restartNumberingAfterBreak="0">
    <w:nsid w:val="77071CF1"/>
    <w:multiLevelType w:val="hybridMultilevel"/>
    <w:tmpl w:val="F47E47A4"/>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74419"/>
    <w:multiLevelType w:val="hybridMultilevel"/>
    <w:tmpl w:val="982A0106"/>
    <w:lvl w:ilvl="0" w:tplc="B22E28A2">
      <w:start w:val="1"/>
      <w:numFmt w:val="bullet"/>
      <w:lvlText w:val=""/>
      <w:lvlJc w:val="left"/>
      <w:pPr>
        <w:ind w:left="360" w:hanging="360"/>
      </w:pPr>
      <w:rPr>
        <w:rFonts w:ascii="Symbol" w:hAnsi="Symbol" w:hint="default"/>
        <w:b/>
        <w:bCs/>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7E5EDE"/>
    <w:multiLevelType w:val="hybridMultilevel"/>
    <w:tmpl w:val="83CC95C8"/>
    <w:lvl w:ilvl="0" w:tplc="A02894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39"/>
  </w:num>
  <w:num w:numId="4">
    <w:abstractNumId w:val="30"/>
  </w:num>
  <w:num w:numId="5">
    <w:abstractNumId w:val="27"/>
  </w:num>
  <w:num w:numId="6">
    <w:abstractNumId w:val="13"/>
  </w:num>
  <w:num w:numId="7">
    <w:abstractNumId w:val="4"/>
  </w:num>
  <w:num w:numId="8">
    <w:abstractNumId w:val="20"/>
  </w:num>
  <w:num w:numId="9">
    <w:abstractNumId w:val="19"/>
  </w:num>
  <w:num w:numId="10">
    <w:abstractNumId w:val="11"/>
  </w:num>
  <w:num w:numId="11">
    <w:abstractNumId w:val="10"/>
  </w:num>
  <w:num w:numId="12">
    <w:abstractNumId w:val="36"/>
  </w:num>
  <w:num w:numId="13">
    <w:abstractNumId w:val="32"/>
  </w:num>
  <w:num w:numId="14">
    <w:abstractNumId w:val="0"/>
  </w:num>
  <w:num w:numId="15">
    <w:abstractNumId w:val="25"/>
  </w:num>
  <w:num w:numId="16">
    <w:abstractNumId w:val="9"/>
  </w:num>
  <w:num w:numId="17">
    <w:abstractNumId w:val="17"/>
  </w:num>
  <w:num w:numId="18">
    <w:abstractNumId w:val="16"/>
  </w:num>
  <w:num w:numId="19">
    <w:abstractNumId w:val="1"/>
  </w:num>
  <w:num w:numId="20">
    <w:abstractNumId w:val="7"/>
  </w:num>
  <w:num w:numId="21">
    <w:abstractNumId w:val="12"/>
  </w:num>
  <w:num w:numId="22">
    <w:abstractNumId w:val="26"/>
  </w:num>
  <w:num w:numId="23">
    <w:abstractNumId w:val="2"/>
  </w:num>
  <w:num w:numId="24">
    <w:abstractNumId w:val="14"/>
  </w:num>
  <w:num w:numId="25">
    <w:abstractNumId w:val="21"/>
  </w:num>
  <w:num w:numId="26">
    <w:abstractNumId w:val="5"/>
  </w:num>
  <w:num w:numId="27">
    <w:abstractNumId w:val="15"/>
  </w:num>
  <w:num w:numId="28">
    <w:abstractNumId w:val="24"/>
  </w:num>
  <w:num w:numId="29">
    <w:abstractNumId w:val="24"/>
    <w:lvlOverride w:ilvl="0">
      <w:startOverride w:val="2"/>
    </w:lvlOverride>
  </w:num>
  <w:num w:numId="30">
    <w:abstractNumId w:val="31"/>
  </w:num>
  <w:num w:numId="31">
    <w:abstractNumId w:val="6"/>
  </w:num>
  <w:num w:numId="32">
    <w:abstractNumId w:val="2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9"/>
  </w:num>
  <w:num w:numId="36">
    <w:abstractNumId w:val="8"/>
  </w:num>
  <w:num w:numId="37">
    <w:abstractNumId w:val="23"/>
  </w:num>
  <w:num w:numId="38">
    <w:abstractNumId w:val="38"/>
  </w:num>
  <w:num w:numId="39">
    <w:abstractNumId w:val="33"/>
  </w:num>
  <w:num w:numId="40">
    <w:abstractNumId w:val="34"/>
  </w:num>
  <w:num w:numId="41">
    <w:abstractNumId w:val="3"/>
  </w:num>
  <w:num w:numId="42">
    <w:abstractNumId w:val="40"/>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43"/>
    <w:rsid w:val="000016BB"/>
    <w:rsid w:val="000041FE"/>
    <w:rsid w:val="00011EC8"/>
    <w:rsid w:val="00017BE6"/>
    <w:rsid w:val="00026D2F"/>
    <w:rsid w:val="00033B59"/>
    <w:rsid w:val="0003662F"/>
    <w:rsid w:val="0003795F"/>
    <w:rsid w:val="00046E11"/>
    <w:rsid w:val="00054235"/>
    <w:rsid w:val="00055A64"/>
    <w:rsid w:val="00057548"/>
    <w:rsid w:val="000657A8"/>
    <w:rsid w:val="00070950"/>
    <w:rsid w:val="00071097"/>
    <w:rsid w:val="00077DA2"/>
    <w:rsid w:val="00087734"/>
    <w:rsid w:val="00094114"/>
    <w:rsid w:val="0009617F"/>
    <w:rsid w:val="0009720D"/>
    <w:rsid w:val="000973EF"/>
    <w:rsid w:val="000A3948"/>
    <w:rsid w:val="000B2E2C"/>
    <w:rsid w:val="000B3125"/>
    <w:rsid w:val="000B3BAC"/>
    <w:rsid w:val="000B7FBE"/>
    <w:rsid w:val="000D40E4"/>
    <w:rsid w:val="000E03B8"/>
    <w:rsid w:val="000E132E"/>
    <w:rsid w:val="000E5356"/>
    <w:rsid w:val="000E5B5B"/>
    <w:rsid w:val="000F159A"/>
    <w:rsid w:val="0010369E"/>
    <w:rsid w:val="00107B6D"/>
    <w:rsid w:val="00113841"/>
    <w:rsid w:val="00114562"/>
    <w:rsid w:val="00115C95"/>
    <w:rsid w:val="00117B1C"/>
    <w:rsid w:val="00142177"/>
    <w:rsid w:val="001504F0"/>
    <w:rsid w:val="0015142D"/>
    <w:rsid w:val="00160D4A"/>
    <w:rsid w:val="00167544"/>
    <w:rsid w:val="0017411C"/>
    <w:rsid w:val="00185A7B"/>
    <w:rsid w:val="001875A7"/>
    <w:rsid w:val="00190133"/>
    <w:rsid w:val="00192B5B"/>
    <w:rsid w:val="00197F7F"/>
    <w:rsid w:val="001A1017"/>
    <w:rsid w:val="001A392B"/>
    <w:rsid w:val="001B0709"/>
    <w:rsid w:val="001B64B5"/>
    <w:rsid w:val="001C14F1"/>
    <w:rsid w:val="001C5155"/>
    <w:rsid w:val="001D2F07"/>
    <w:rsid w:val="001D3AE5"/>
    <w:rsid w:val="001D3FC4"/>
    <w:rsid w:val="001D70FE"/>
    <w:rsid w:val="001E017A"/>
    <w:rsid w:val="001E024F"/>
    <w:rsid w:val="001E12EC"/>
    <w:rsid w:val="001E6A40"/>
    <w:rsid w:val="001F384B"/>
    <w:rsid w:val="001F396A"/>
    <w:rsid w:val="00211E29"/>
    <w:rsid w:val="00213D34"/>
    <w:rsid w:val="00215BBE"/>
    <w:rsid w:val="002351C6"/>
    <w:rsid w:val="002370EC"/>
    <w:rsid w:val="002604CC"/>
    <w:rsid w:val="00263EA7"/>
    <w:rsid w:val="00264F77"/>
    <w:rsid w:val="00265734"/>
    <w:rsid w:val="00272D51"/>
    <w:rsid w:val="002802BC"/>
    <w:rsid w:val="0028675A"/>
    <w:rsid w:val="00292122"/>
    <w:rsid w:val="00296EBE"/>
    <w:rsid w:val="002A1BC9"/>
    <w:rsid w:val="002A27FD"/>
    <w:rsid w:val="002A4F26"/>
    <w:rsid w:val="002B1D5A"/>
    <w:rsid w:val="002B6A84"/>
    <w:rsid w:val="002B7174"/>
    <w:rsid w:val="002C01D5"/>
    <w:rsid w:val="002C4239"/>
    <w:rsid w:val="002C6B31"/>
    <w:rsid w:val="002D2EE7"/>
    <w:rsid w:val="00306545"/>
    <w:rsid w:val="00310E21"/>
    <w:rsid w:val="003115ED"/>
    <w:rsid w:val="00313D6D"/>
    <w:rsid w:val="00316DB3"/>
    <w:rsid w:val="00320549"/>
    <w:rsid w:val="00326BFC"/>
    <w:rsid w:val="00341EC2"/>
    <w:rsid w:val="003451B1"/>
    <w:rsid w:val="0037178A"/>
    <w:rsid w:val="003A1466"/>
    <w:rsid w:val="003B2848"/>
    <w:rsid w:val="003E45CC"/>
    <w:rsid w:val="003E5AA3"/>
    <w:rsid w:val="00402021"/>
    <w:rsid w:val="0040348C"/>
    <w:rsid w:val="00403506"/>
    <w:rsid w:val="0042241D"/>
    <w:rsid w:val="004343CD"/>
    <w:rsid w:val="00435E46"/>
    <w:rsid w:val="004373EF"/>
    <w:rsid w:val="00450898"/>
    <w:rsid w:val="00451D95"/>
    <w:rsid w:val="00477FBB"/>
    <w:rsid w:val="00480E5F"/>
    <w:rsid w:val="00482063"/>
    <w:rsid w:val="00490BCD"/>
    <w:rsid w:val="00494260"/>
    <w:rsid w:val="004A5B71"/>
    <w:rsid w:val="004B0D0C"/>
    <w:rsid w:val="004B5DF8"/>
    <w:rsid w:val="004C0534"/>
    <w:rsid w:val="004D3F3D"/>
    <w:rsid w:val="004D694C"/>
    <w:rsid w:val="004D7F68"/>
    <w:rsid w:val="004E30FA"/>
    <w:rsid w:val="004E63AA"/>
    <w:rsid w:val="005065EA"/>
    <w:rsid w:val="00507BA9"/>
    <w:rsid w:val="0051240D"/>
    <w:rsid w:val="005175CE"/>
    <w:rsid w:val="00517D1F"/>
    <w:rsid w:val="0053375E"/>
    <w:rsid w:val="00547BEE"/>
    <w:rsid w:val="00551E33"/>
    <w:rsid w:val="0055574D"/>
    <w:rsid w:val="00567E5F"/>
    <w:rsid w:val="005801F4"/>
    <w:rsid w:val="005A317B"/>
    <w:rsid w:val="005A34BE"/>
    <w:rsid w:val="005A55AA"/>
    <w:rsid w:val="005A741C"/>
    <w:rsid w:val="005B0998"/>
    <w:rsid w:val="005C13FB"/>
    <w:rsid w:val="005C3BD4"/>
    <w:rsid w:val="005D6EE3"/>
    <w:rsid w:val="005E416D"/>
    <w:rsid w:val="005E47B4"/>
    <w:rsid w:val="005E7532"/>
    <w:rsid w:val="005F0C49"/>
    <w:rsid w:val="005F702F"/>
    <w:rsid w:val="006005D8"/>
    <w:rsid w:val="00603043"/>
    <w:rsid w:val="0060737A"/>
    <w:rsid w:val="00614AF5"/>
    <w:rsid w:val="006212DF"/>
    <w:rsid w:val="00622199"/>
    <w:rsid w:val="006224AD"/>
    <w:rsid w:val="00622B08"/>
    <w:rsid w:val="00630DB3"/>
    <w:rsid w:val="00644B2C"/>
    <w:rsid w:val="0064721B"/>
    <w:rsid w:val="00653851"/>
    <w:rsid w:val="00653BAE"/>
    <w:rsid w:val="0067310C"/>
    <w:rsid w:val="00674F2B"/>
    <w:rsid w:val="00682A6E"/>
    <w:rsid w:val="00685430"/>
    <w:rsid w:val="006870CC"/>
    <w:rsid w:val="00692BB8"/>
    <w:rsid w:val="00695873"/>
    <w:rsid w:val="00695FF6"/>
    <w:rsid w:val="006972AC"/>
    <w:rsid w:val="006973FA"/>
    <w:rsid w:val="006A0382"/>
    <w:rsid w:val="006A293A"/>
    <w:rsid w:val="006A78B4"/>
    <w:rsid w:val="006B32C4"/>
    <w:rsid w:val="006B36AB"/>
    <w:rsid w:val="006B68EB"/>
    <w:rsid w:val="006C5048"/>
    <w:rsid w:val="006D0446"/>
    <w:rsid w:val="006D1620"/>
    <w:rsid w:val="006D6B05"/>
    <w:rsid w:val="006E0481"/>
    <w:rsid w:val="006E4A40"/>
    <w:rsid w:val="006F2A5F"/>
    <w:rsid w:val="006F5D9B"/>
    <w:rsid w:val="007001D9"/>
    <w:rsid w:val="00716312"/>
    <w:rsid w:val="007208C0"/>
    <w:rsid w:val="00722615"/>
    <w:rsid w:val="00734FE5"/>
    <w:rsid w:val="00743983"/>
    <w:rsid w:val="00745B43"/>
    <w:rsid w:val="007509E6"/>
    <w:rsid w:val="00763678"/>
    <w:rsid w:val="00770340"/>
    <w:rsid w:val="007819A4"/>
    <w:rsid w:val="007934CF"/>
    <w:rsid w:val="00795EF5"/>
    <w:rsid w:val="007971F2"/>
    <w:rsid w:val="007A11FA"/>
    <w:rsid w:val="007A60E0"/>
    <w:rsid w:val="007A69C0"/>
    <w:rsid w:val="007B1AD6"/>
    <w:rsid w:val="007B36D2"/>
    <w:rsid w:val="007B373F"/>
    <w:rsid w:val="007B518D"/>
    <w:rsid w:val="007C3E87"/>
    <w:rsid w:val="007C64D9"/>
    <w:rsid w:val="007D5DF9"/>
    <w:rsid w:val="007E102D"/>
    <w:rsid w:val="007F0017"/>
    <w:rsid w:val="0080246E"/>
    <w:rsid w:val="008112EF"/>
    <w:rsid w:val="00815292"/>
    <w:rsid w:val="00817162"/>
    <w:rsid w:val="00835150"/>
    <w:rsid w:val="0083643A"/>
    <w:rsid w:val="00836D81"/>
    <w:rsid w:val="008448AD"/>
    <w:rsid w:val="00845527"/>
    <w:rsid w:val="00855288"/>
    <w:rsid w:val="008711DD"/>
    <w:rsid w:val="008775A5"/>
    <w:rsid w:val="008853A8"/>
    <w:rsid w:val="0088572C"/>
    <w:rsid w:val="0088602E"/>
    <w:rsid w:val="00893EFE"/>
    <w:rsid w:val="00895886"/>
    <w:rsid w:val="008C27BD"/>
    <w:rsid w:val="008D0C23"/>
    <w:rsid w:val="008D7EF6"/>
    <w:rsid w:val="008E0F81"/>
    <w:rsid w:val="008E2AAA"/>
    <w:rsid w:val="008E7241"/>
    <w:rsid w:val="008F4267"/>
    <w:rsid w:val="00911363"/>
    <w:rsid w:val="009316EE"/>
    <w:rsid w:val="0093532C"/>
    <w:rsid w:val="009361EE"/>
    <w:rsid w:val="0094102F"/>
    <w:rsid w:val="00952B15"/>
    <w:rsid w:val="009611EA"/>
    <w:rsid w:val="00962019"/>
    <w:rsid w:val="00964D0D"/>
    <w:rsid w:val="009848D9"/>
    <w:rsid w:val="00985093"/>
    <w:rsid w:val="0098781E"/>
    <w:rsid w:val="009879AC"/>
    <w:rsid w:val="00996A45"/>
    <w:rsid w:val="009B05E2"/>
    <w:rsid w:val="009B1E43"/>
    <w:rsid w:val="009B3944"/>
    <w:rsid w:val="009C66C0"/>
    <w:rsid w:val="009E03A9"/>
    <w:rsid w:val="009E2346"/>
    <w:rsid w:val="009E3E11"/>
    <w:rsid w:val="009F1B56"/>
    <w:rsid w:val="009F63EB"/>
    <w:rsid w:val="00A12B0A"/>
    <w:rsid w:val="00A15F73"/>
    <w:rsid w:val="00A23475"/>
    <w:rsid w:val="00A242D6"/>
    <w:rsid w:val="00A248F6"/>
    <w:rsid w:val="00A45B71"/>
    <w:rsid w:val="00A54EE9"/>
    <w:rsid w:val="00A62DEB"/>
    <w:rsid w:val="00A86CDA"/>
    <w:rsid w:val="00AA72FA"/>
    <w:rsid w:val="00AB575A"/>
    <w:rsid w:val="00AB75BA"/>
    <w:rsid w:val="00AC2448"/>
    <w:rsid w:val="00AC5A9B"/>
    <w:rsid w:val="00AF714B"/>
    <w:rsid w:val="00B05370"/>
    <w:rsid w:val="00B10151"/>
    <w:rsid w:val="00B11F05"/>
    <w:rsid w:val="00B15636"/>
    <w:rsid w:val="00B15D4C"/>
    <w:rsid w:val="00B16A28"/>
    <w:rsid w:val="00B172B4"/>
    <w:rsid w:val="00B2577C"/>
    <w:rsid w:val="00B25DCB"/>
    <w:rsid w:val="00B26950"/>
    <w:rsid w:val="00B3157C"/>
    <w:rsid w:val="00B346E6"/>
    <w:rsid w:val="00B43ACC"/>
    <w:rsid w:val="00B623A8"/>
    <w:rsid w:val="00B65AD6"/>
    <w:rsid w:val="00B67F14"/>
    <w:rsid w:val="00B75EE7"/>
    <w:rsid w:val="00B93C3E"/>
    <w:rsid w:val="00BA3848"/>
    <w:rsid w:val="00BA5E14"/>
    <w:rsid w:val="00BB3636"/>
    <w:rsid w:val="00BB7CA3"/>
    <w:rsid w:val="00BB7F6C"/>
    <w:rsid w:val="00BC7E91"/>
    <w:rsid w:val="00BE22E1"/>
    <w:rsid w:val="00BF6B09"/>
    <w:rsid w:val="00C00E94"/>
    <w:rsid w:val="00C0514F"/>
    <w:rsid w:val="00C10774"/>
    <w:rsid w:val="00C129D0"/>
    <w:rsid w:val="00C20025"/>
    <w:rsid w:val="00C3025C"/>
    <w:rsid w:val="00C340A6"/>
    <w:rsid w:val="00C43BD8"/>
    <w:rsid w:val="00C5044F"/>
    <w:rsid w:val="00C51A6A"/>
    <w:rsid w:val="00C54497"/>
    <w:rsid w:val="00C55998"/>
    <w:rsid w:val="00C663DE"/>
    <w:rsid w:val="00C673FA"/>
    <w:rsid w:val="00C709C0"/>
    <w:rsid w:val="00C72839"/>
    <w:rsid w:val="00C74F6D"/>
    <w:rsid w:val="00C848D3"/>
    <w:rsid w:val="00C871E2"/>
    <w:rsid w:val="00C902FB"/>
    <w:rsid w:val="00C92D40"/>
    <w:rsid w:val="00CA2BC0"/>
    <w:rsid w:val="00CB1369"/>
    <w:rsid w:val="00CC0C6E"/>
    <w:rsid w:val="00CC2C8C"/>
    <w:rsid w:val="00CC3C00"/>
    <w:rsid w:val="00CC6614"/>
    <w:rsid w:val="00CE0FF0"/>
    <w:rsid w:val="00CE65B8"/>
    <w:rsid w:val="00CF68A8"/>
    <w:rsid w:val="00D00647"/>
    <w:rsid w:val="00D01D1F"/>
    <w:rsid w:val="00D16BE4"/>
    <w:rsid w:val="00D16DB2"/>
    <w:rsid w:val="00D23407"/>
    <w:rsid w:val="00D273EE"/>
    <w:rsid w:val="00D37B1B"/>
    <w:rsid w:val="00D433C6"/>
    <w:rsid w:val="00D45B67"/>
    <w:rsid w:val="00D52B75"/>
    <w:rsid w:val="00D72C1D"/>
    <w:rsid w:val="00D77455"/>
    <w:rsid w:val="00D84901"/>
    <w:rsid w:val="00D946FC"/>
    <w:rsid w:val="00D959C0"/>
    <w:rsid w:val="00D96A3C"/>
    <w:rsid w:val="00DB4882"/>
    <w:rsid w:val="00DB5734"/>
    <w:rsid w:val="00DC39CB"/>
    <w:rsid w:val="00DC5066"/>
    <w:rsid w:val="00DD735B"/>
    <w:rsid w:val="00DF50B7"/>
    <w:rsid w:val="00E134F1"/>
    <w:rsid w:val="00E144C3"/>
    <w:rsid w:val="00E22E80"/>
    <w:rsid w:val="00E24DBC"/>
    <w:rsid w:val="00E277CA"/>
    <w:rsid w:val="00E4250C"/>
    <w:rsid w:val="00E438B0"/>
    <w:rsid w:val="00E4510C"/>
    <w:rsid w:val="00E53F9A"/>
    <w:rsid w:val="00E55769"/>
    <w:rsid w:val="00E60A5C"/>
    <w:rsid w:val="00E62F0C"/>
    <w:rsid w:val="00E63A7E"/>
    <w:rsid w:val="00E77671"/>
    <w:rsid w:val="00E77732"/>
    <w:rsid w:val="00E823B2"/>
    <w:rsid w:val="00E92AF6"/>
    <w:rsid w:val="00EA48EA"/>
    <w:rsid w:val="00EA51C4"/>
    <w:rsid w:val="00EA773C"/>
    <w:rsid w:val="00EA791D"/>
    <w:rsid w:val="00EB3718"/>
    <w:rsid w:val="00EB7595"/>
    <w:rsid w:val="00EB7C4C"/>
    <w:rsid w:val="00EC5B3C"/>
    <w:rsid w:val="00ED2C0E"/>
    <w:rsid w:val="00EE087A"/>
    <w:rsid w:val="00EE2AE8"/>
    <w:rsid w:val="00EE5318"/>
    <w:rsid w:val="00EE756A"/>
    <w:rsid w:val="00F01701"/>
    <w:rsid w:val="00F0257F"/>
    <w:rsid w:val="00F11718"/>
    <w:rsid w:val="00F13238"/>
    <w:rsid w:val="00F1492F"/>
    <w:rsid w:val="00F2062E"/>
    <w:rsid w:val="00F31AC7"/>
    <w:rsid w:val="00F31E26"/>
    <w:rsid w:val="00F32AB7"/>
    <w:rsid w:val="00F34384"/>
    <w:rsid w:val="00F35C66"/>
    <w:rsid w:val="00F424B6"/>
    <w:rsid w:val="00F62F43"/>
    <w:rsid w:val="00F71074"/>
    <w:rsid w:val="00F9496C"/>
    <w:rsid w:val="00F95291"/>
    <w:rsid w:val="00FA18A0"/>
    <w:rsid w:val="00FA3F80"/>
    <w:rsid w:val="00FA75FC"/>
    <w:rsid w:val="00FB1D63"/>
    <w:rsid w:val="00FB305E"/>
    <w:rsid w:val="00FC325B"/>
    <w:rsid w:val="00FC75AD"/>
    <w:rsid w:val="00FD0BCE"/>
    <w:rsid w:val="00FE2B67"/>
    <w:rsid w:val="00FF0950"/>
    <w:rsid w:val="00FF2187"/>
    <w:rsid w:val="00FF314C"/>
    <w:rsid w:val="00FF36B5"/>
    <w:rsid w:val="00FF6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41062"/>
  <w15:docId w15:val="{8EE5D64B-5536-46C6-BA84-C46A65A3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43"/>
    <w:pPr>
      <w:bidi/>
    </w:pPr>
  </w:style>
  <w:style w:type="paragraph" w:styleId="Heading1">
    <w:name w:val="heading 1"/>
    <w:basedOn w:val="Normal"/>
    <w:next w:val="Normal"/>
    <w:link w:val="Heading1Char"/>
    <w:autoRedefine/>
    <w:uiPriority w:val="9"/>
    <w:qFormat/>
    <w:rsid w:val="001E6A40"/>
    <w:pPr>
      <w:keepNext/>
      <w:keepLines/>
      <w:spacing w:after="0" w:line="360" w:lineRule="auto"/>
      <w:ind w:left="720"/>
      <w:jc w:val="center"/>
      <w:outlineLvl w:val="0"/>
    </w:pPr>
    <w:rPr>
      <w:rFonts w:asciiTheme="majorHAnsi" w:eastAsiaTheme="majorEastAsia" w:hAnsiTheme="majorHAnsi" w:cs="David"/>
      <w:b/>
      <w:bCs/>
      <w:color w:val="01818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6EE"/>
    <w:pPr>
      <w:ind w:left="720"/>
      <w:contextualSpacing/>
    </w:pPr>
  </w:style>
  <w:style w:type="paragraph" w:styleId="BalloonText">
    <w:name w:val="Balloon Text"/>
    <w:basedOn w:val="Normal"/>
    <w:link w:val="BalloonTextChar"/>
    <w:uiPriority w:val="99"/>
    <w:semiHidden/>
    <w:unhideWhenUsed/>
    <w:rsid w:val="006E4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A40"/>
    <w:rPr>
      <w:rFonts w:ascii="Tahoma" w:hAnsi="Tahoma" w:cs="Tahoma"/>
      <w:sz w:val="16"/>
      <w:szCs w:val="16"/>
    </w:rPr>
  </w:style>
  <w:style w:type="paragraph" w:styleId="Header">
    <w:name w:val="header"/>
    <w:basedOn w:val="Normal"/>
    <w:link w:val="HeaderChar"/>
    <w:uiPriority w:val="99"/>
    <w:unhideWhenUsed/>
    <w:rsid w:val="006E4A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A40"/>
  </w:style>
  <w:style w:type="paragraph" w:styleId="Footer">
    <w:name w:val="footer"/>
    <w:basedOn w:val="Normal"/>
    <w:link w:val="FooterChar"/>
    <w:uiPriority w:val="99"/>
    <w:unhideWhenUsed/>
    <w:rsid w:val="006E4A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A40"/>
  </w:style>
  <w:style w:type="character" w:styleId="Hyperlink">
    <w:name w:val="Hyperlink"/>
    <w:basedOn w:val="DefaultParagraphFont"/>
    <w:uiPriority w:val="99"/>
    <w:unhideWhenUsed/>
    <w:rsid w:val="008775A5"/>
    <w:rPr>
      <w:color w:val="0000FF" w:themeColor="hyperlink"/>
      <w:u w:val="single"/>
    </w:rPr>
  </w:style>
  <w:style w:type="character" w:styleId="FollowedHyperlink">
    <w:name w:val="FollowedHyperlink"/>
    <w:basedOn w:val="DefaultParagraphFont"/>
    <w:uiPriority w:val="99"/>
    <w:semiHidden/>
    <w:unhideWhenUsed/>
    <w:rsid w:val="00A248F6"/>
    <w:rPr>
      <w:color w:val="800080" w:themeColor="followedHyperlink"/>
      <w:u w:val="single"/>
    </w:rPr>
  </w:style>
  <w:style w:type="table" w:styleId="TableGrid">
    <w:name w:val="Table Grid"/>
    <w:basedOn w:val="TableNormal"/>
    <w:uiPriority w:val="39"/>
    <w:rsid w:val="0078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4F1"/>
    <w:rPr>
      <w:sz w:val="16"/>
      <w:szCs w:val="16"/>
    </w:rPr>
  </w:style>
  <w:style w:type="paragraph" w:styleId="CommentText">
    <w:name w:val="annotation text"/>
    <w:basedOn w:val="Normal"/>
    <w:link w:val="CommentTextChar"/>
    <w:uiPriority w:val="99"/>
    <w:semiHidden/>
    <w:unhideWhenUsed/>
    <w:rsid w:val="00E134F1"/>
    <w:pPr>
      <w:spacing w:line="240" w:lineRule="auto"/>
    </w:pPr>
    <w:rPr>
      <w:sz w:val="20"/>
      <w:szCs w:val="20"/>
    </w:rPr>
  </w:style>
  <w:style w:type="character" w:customStyle="1" w:styleId="CommentTextChar">
    <w:name w:val="Comment Text Char"/>
    <w:basedOn w:val="DefaultParagraphFont"/>
    <w:link w:val="CommentText"/>
    <w:uiPriority w:val="99"/>
    <w:semiHidden/>
    <w:rsid w:val="00E134F1"/>
    <w:rPr>
      <w:sz w:val="20"/>
      <w:szCs w:val="20"/>
    </w:rPr>
  </w:style>
  <w:style w:type="paragraph" w:styleId="CommentSubject">
    <w:name w:val="annotation subject"/>
    <w:basedOn w:val="CommentText"/>
    <w:next w:val="CommentText"/>
    <w:link w:val="CommentSubjectChar"/>
    <w:uiPriority w:val="99"/>
    <w:semiHidden/>
    <w:unhideWhenUsed/>
    <w:rsid w:val="00E134F1"/>
    <w:rPr>
      <w:b/>
      <w:bCs/>
    </w:rPr>
  </w:style>
  <w:style w:type="character" w:customStyle="1" w:styleId="CommentSubjectChar">
    <w:name w:val="Comment Subject Char"/>
    <w:basedOn w:val="CommentTextChar"/>
    <w:link w:val="CommentSubject"/>
    <w:uiPriority w:val="99"/>
    <w:semiHidden/>
    <w:rsid w:val="00E134F1"/>
    <w:rPr>
      <w:b/>
      <w:bCs/>
      <w:sz w:val="20"/>
      <w:szCs w:val="20"/>
    </w:rPr>
  </w:style>
  <w:style w:type="paragraph" w:styleId="FootnoteText">
    <w:name w:val="footnote text"/>
    <w:basedOn w:val="Normal"/>
    <w:link w:val="FootnoteTextChar"/>
    <w:uiPriority w:val="99"/>
    <w:unhideWhenUsed/>
    <w:rsid w:val="006A293A"/>
    <w:pPr>
      <w:spacing w:after="0" w:line="240" w:lineRule="auto"/>
    </w:pPr>
    <w:rPr>
      <w:sz w:val="20"/>
      <w:szCs w:val="20"/>
    </w:rPr>
  </w:style>
  <w:style w:type="character" w:customStyle="1" w:styleId="FootnoteTextChar">
    <w:name w:val="Footnote Text Char"/>
    <w:basedOn w:val="DefaultParagraphFont"/>
    <w:link w:val="FootnoteText"/>
    <w:uiPriority w:val="99"/>
    <w:rsid w:val="006A293A"/>
    <w:rPr>
      <w:sz w:val="20"/>
      <w:szCs w:val="20"/>
    </w:rPr>
  </w:style>
  <w:style w:type="character" w:styleId="FootnoteReference">
    <w:name w:val="footnote reference"/>
    <w:aliases w:val="טקסט הערת שוליים חדש,Footnote Reference Number,Footnote Reference_LVL6,Footnote Reference_LVL61,Footnote Reference_LVL62,Footnote Reference_LVL63,Footnote Reference_LVL64,fr,SUPERS,EN Footnote Reference,number,Footnote symbol"/>
    <w:basedOn w:val="DefaultParagraphFont"/>
    <w:uiPriority w:val="99"/>
    <w:unhideWhenUsed/>
    <w:rsid w:val="006A293A"/>
    <w:rPr>
      <w:vertAlign w:val="superscript"/>
    </w:rPr>
  </w:style>
  <w:style w:type="character" w:customStyle="1" w:styleId="Heading1Char">
    <w:name w:val="Heading 1 Char"/>
    <w:basedOn w:val="DefaultParagraphFont"/>
    <w:link w:val="Heading1"/>
    <w:uiPriority w:val="9"/>
    <w:rsid w:val="001E6A40"/>
    <w:rPr>
      <w:rFonts w:asciiTheme="majorHAnsi" w:eastAsiaTheme="majorEastAsia" w:hAnsiTheme="majorHAnsi" w:cs="David"/>
      <w:b/>
      <w:bCs/>
      <w:color w:val="018181"/>
      <w:sz w:val="28"/>
      <w:szCs w:val="28"/>
    </w:rPr>
  </w:style>
  <w:style w:type="paragraph" w:customStyle="1" w:styleId="a">
    <w:name w:val="כותרת ראשית"/>
    <w:basedOn w:val="Normal"/>
    <w:qFormat/>
    <w:rsid w:val="00EE087A"/>
    <w:pPr>
      <w:spacing w:after="0" w:line="240" w:lineRule="auto"/>
      <w:ind w:left="-7"/>
      <w:jc w:val="both"/>
    </w:pPr>
    <w:rPr>
      <w:rFonts w:ascii="Assistant" w:hAnsi="Assistant" w:cs="Assistant"/>
      <w:b/>
      <w:bCs/>
      <w:color w:val="177990"/>
      <w:sz w:val="28"/>
      <w:szCs w:val="28"/>
    </w:rPr>
  </w:style>
  <w:style w:type="paragraph" w:styleId="NoSpacing">
    <w:name w:val="No Spacing"/>
    <w:link w:val="NoSpacingChar"/>
    <w:uiPriority w:val="1"/>
    <w:qFormat/>
    <w:rsid w:val="009C66C0"/>
    <w:pPr>
      <w:bidi/>
      <w:spacing w:after="0" w:line="240" w:lineRule="auto"/>
    </w:pPr>
    <w:rPr>
      <w:rFonts w:eastAsiaTheme="minorEastAsia"/>
    </w:rPr>
  </w:style>
  <w:style w:type="paragraph" w:styleId="Revision">
    <w:name w:val="Revision"/>
    <w:hidden/>
    <w:uiPriority w:val="99"/>
    <w:semiHidden/>
    <w:rsid w:val="0028675A"/>
    <w:pPr>
      <w:spacing w:after="0" w:line="240" w:lineRule="auto"/>
    </w:pPr>
  </w:style>
  <w:style w:type="paragraph" w:customStyle="1" w:styleId="1">
    <w:name w:val="כותרת1"/>
    <w:basedOn w:val="NoSpacing"/>
    <w:qFormat/>
    <w:rsid w:val="008853A8"/>
    <w:pPr>
      <w:framePr w:hSpace="181" w:wrap="around" w:vAnchor="page" w:hAnchor="text" w:y="2382"/>
      <w:numPr>
        <w:numId w:val="28"/>
      </w:numPr>
      <w:ind w:right="-112"/>
      <w:suppressOverlap/>
    </w:pPr>
    <w:rPr>
      <w:rFonts w:ascii="Assistant" w:eastAsiaTheme="majorEastAsia" w:hAnsi="Assistant" w:cs="Assistant"/>
      <w:b/>
      <w:bCs/>
      <w:color w:val="FFFFFF" w:themeColor="background1"/>
    </w:rPr>
  </w:style>
  <w:style w:type="character" w:styleId="Strong">
    <w:name w:val="Strong"/>
    <w:basedOn w:val="DefaultParagraphFont"/>
    <w:uiPriority w:val="22"/>
    <w:qFormat/>
    <w:rsid w:val="00087734"/>
    <w:rPr>
      <w:b/>
      <w:bCs/>
    </w:rPr>
  </w:style>
  <w:style w:type="character" w:customStyle="1" w:styleId="NoSpacingChar">
    <w:name w:val="No Spacing Char"/>
    <w:basedOn w:val="DefaultParagraphFont"/>
    <w:link w:val="NoSpacing"/>
    <w:uiPriority w:val="1"/>
    <w:rsid w:val="00893EF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5239">
      <w:bodyDiv w:val="1"/>
      <w:marLeft w:val="0"/>
      <w:marRight w:val="0"/>
      <w:marTop w:val="0"/>
      <w:marBottom w:val="0"/>
      <w:divBdr>
        <w:top w:val="none" w:sz="0" w:space="0" w:color="auto"/>
        <w:left w:val="none" w:sz="0" w:space="0" w:color="auto"/>
        <w:bottom w:val="none" w:sz="0" w:space="0" w:color="auto"/>
        <w:right w:val="none" w:sz="0" w:space="0" w:color="auto"/>
      </w:divBdr>
      <w:divsChild>
        <w:div w:id="270209158">
          <w:marLeft w:val="0"/>
          <w:marRight w:val="0"/>
          <w:marTop w:val="0"/>
          <w:marBottom w:val="0"/>
          <w:divBdr>
            <w:top w:val="none" w:sz="0" w:space="0" w:color="auto"/>
            <w:left w:val="none" w:sz="0" w:space="0" w:color="auto"/>
            <w:bottom w:val="none" w:sz="0" w:space="0" w:color="auto"/>
            <w:right w:val="none" w:sz="0" w:space="0" w:color="auto"/>
          </w:divBdr>
        </w:div>
      </w:divsChild>
    </w:div>
    <w:div w:id="2087922348">
      <w:bodyDiv w:val="1"/>
      <w:marLeft w:val="0"/>
      <w:marRight w:val="0"/>
      <w:marTop w:val="0"/>
      <w:marBottom w:val="0"/>
      <w:divBdr>
        <w:top w:val="none" w:sz="0" w:space="0" w:color="auto"/>
        <w:left w:val="none" w:sz="0" w:space="0" w:color="auto"/>
        <w:bottom w:val="none" w:sz="0" w:space="0" w:color="auto"/>
        <w:right w:val="none" w:sz="0" w:space="0" w:color="auto"/>
      </w:divBdr>
    </w:div>
    <w:div w:id="20974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png"/><Relationship Id="rId23" Type="http://schemas.microsoft.com/office/2016/09/relationships/commentsIds" Target="commentsId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A5085-E54D-4754-AF02-11E0BE37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1026</Words>
  <Characters>5133</Characters>
  <Application>Microsoft Office Word</Application>
  <DocSecurity>4</DocSecurity>
  <Lines>42</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BOI</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יאיר חיים</dc:creator>
  <cp:lastModifiedBy>רוסול דכוור</cp:lastModifiedBy>
  <cp:revision>2</cp:revision>
  <cp:lastPrinted>2019-03-11T11:18:00Z</cp:lastPrinted>
  <dcterms:created xsi:type="dcterms:W3CDTF">2026-03-16T08:12:00Z</dcterms:created>
  <dcterms:modified xsi:type="dcterms:W3CDTF">2026-03-16T08:12:00Z</dcterms:modified>
</cp:coreProperties>
</file>