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310" w:type="dxa"/>
        <w:jc w:val="center"/>
        <w:tblLayout w:type="fixed"/>
        <w:tblLook w:val="0000" w:firstRow="0" w:lastRow="0" w:firstColumn="0" w:lastColumn="0" w:noHBand="0" w:noVBand="0"/>
      </w:tblPr>
      <w:tblGrid>
        <w:gridCol w:w="2582"/>
        <w:gridCol w:w="3644"/>
        <w:gridCol w:w="3084"/>
      </w:tblGrid>
      <w:tr w:rsidR="00257358" w:rsidRPr="00BE5211" w:rsidTr="007A4795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358" w:rsidRPr="00520BB4" w:rsidRDefault="00257358" w:rsidP="007A4795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 w:rsidRPr="00520BB4">
              <w:rPr>
                <w:rFonts w:cs="David"/>
                <w:b/>
                <w:bCs/>
                <w:sz w:val="28"/>
                <w:szCs w:val="28"/>
                <w:rtl/>
              </w:rPr>
              <w:t>בנ</w:t>
            </w:r>
            <w:r w:rsidRPr="00520BB4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ק </w:t>
            </w:r>
            <w:r w:rsidRPr="00520BB4">
              <w:rPr>
                <w:rFonts w:cs="David"/>
                <w:b/>
                <w:bCs/>
                <w:sz w:val="28"/>
                <w:szCs w:val="28"/>
                <w:rtl/>
              </w:rPr>
              <w:t>יש</w:t>
            </w:r>
            <w:r w:rsidRPr="00520BB4">
              <w:rPr>
                <w:rFonts w:cs="David" w:hint="cs"/>
                <w:b/>
                <w:bCs/>
                <w:sz w:val="28"/>
                <w:szCs w:val="28"/>
                <w:rtl/>
              </w:rPr>
              <w:t>ראל</w:t>
            </w:r>
          </w:p>
          <w:p w:rsidR="00257358" w:rsidRDefault="00257358" w:rsidP="007A4795">
            <w:pPr>
              <w:spacing w:line="360" w:lineRule="auto"/>
              <w:ind w:right="-101"/>
              <w:jc w:val="center"/>
              <w:rPr>
                <w:sz w:val="24"/>
                <w:szCs w:val="24"/>
              </w:rPr>
            </w:pPr>
            <w:r w:rsidRPr="00520BB4">
              <w:rPr>
                <w:rFonts w:cs="David"/>
                <w:sz w:val="24"/>
                <w:szCs w:val="24"/>
                <w:rtl/>
              </w:rPr>
              <w:t>דו</w:t>
            </w:r>
            <w:r w:rsidRPr="00520BB4">
              <w:rPr>
                <w:rFonts w:cs="David" w:hint="cs"/>
                <w:sz w:val="24"/>
                <w:szCs w:val="24"/>
                <w:rtl/>
              </w:rPr>
              <w:t>בר</w:t>
            </w:r>
            <w:r w:rsidRPr="00520BB4">
              <w:rPr>
                <w:rFonts w:cs="David"/>
                <w:sz w:val="24"/>
                <w:szCs w:val="24"/>
                <w:rtl/>
              </w:rPr>
              <w:t>ות</w:t>
            </w:r>
            <w:r w:rsidRPr="00520BB4">
              <w:rPr>
                <w:rFonts w:cs="David" w:hint="cs"/>
                <w:sz w:val="24"/>
                <w:szCs w:val="24"/>
                <w:rtl/>
              </w:rPr>
              <w:t xml:space="preserve"> והסברה כלכלית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257358" w:rsidRDefault="00257358" w:rsidP="007A4795">
            <w:pPr>
              <w:jc w:val="center"/>
            </w:pPr>
            <w:r w:rsidRPr="00B93FDD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0" locked="0" layoutInCell="1" allowOverlap="1" wp14:anchorId="42FE0182" wp14:editId="258CACE6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0</wp:posOffset>
                  </wp:positionV>
                  <wp:extent cx="1051200" cy="1051200"/>
                  <wp:effectExtent l="0" t="0" r="0" b="0"/>
                  <wp:wrapSquare wrapText="bothSides"/>
                  <wp:docPr id="1" name="תמונה 1" descr="\\portals\DavWWWRoot\sites\boi\about\Mitug\DocList\Logo Bank of Israel 2 color\Logo Bank of Israel 2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portals\DavWWWRoot\sites\boi\about\Mitug\DocList\Logo Bank of Israel 2 color\Logo Bank of Israel 2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200" cy="10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358" w:rsidRPr="00BE5211" w:rsidRDefault="00257358" w:rsidP="00C0055D">
            <w:pPr>
              <w:spacing w:line="480" w:lineRule="auto"/>
              <w:jc w:val="right"/>
              <w:rPr>
                <w:rFonts w:cs="David"/>
                <w:sz w:val="24"/>
                <w:szCs w:val="24"/>
              </w:rPr>
            </w:pPr>
            <w:r w:rsidRPr="00BE5211">
              <w:rPr>
                <w:rFonts w:cs="David" w:hint="eastAsia"/>
                <w:sz w:val="24"/>
                <w:szCs w:val="24"/>
                <w:rtl/>
              </w:rPr>
              <w:t>‏</w:t>
            </w:r>
            <w:r w:rsidRPr="00BE5211">
              <w:rPr>
                <w:rFonts w:cs="David" w:hint="cs"/>
                <w:sz w:val="24"/>
                <w:szCs w:val="24"/>
                <w:rtl/>
              </w:rPr>
              <w:t xml:space="preserve">ירושלים, </w:t>
            </w:r>
            <w:r w:rsidR="00C0055D">
              <w:rPr>
                <w:rFonts w:cs="David" w:hint="eastAsia"/>
                <w:sz w:val="24"/>
                <w:szCs w:val="24"/>
                <w:rtl/>
              </w:rPr>
              <w:t>‏כ</w:t>
            </w:r>
            <w:r w:rsidR="00C0055D">
              <w:rPr>
                <w:rFonts w:cs="David"/>
                <w:sz w:val="24"/>
                <w:szCs w:val="24"/>
                <w:rtl/>
              </w:rPr>
              <w:t>"ט סיון תשפ"ו</w:t>
            </w:r>
          </w:p>
          <w:p w:rsidR="00257358" w:rsidRPr="00BE5211" w:rsidRDefault="00C0055D" w:rsidP="007A4795">
            <w:pPr>
              <w:spacing w:line="480" w:lineRule="auto"/>
              <w:jc w:val="right"/>
              <w:rPr>
                <w:rFonts w:cs="David"/>
                <w:sz w:val="24"/>
                <w:szCs w:val="24"/>
              </w:rPr>
            </w:pPr>
            <w:r>
              <w:rPr>
                <w:rFonts w:cs="David" w:hint="eastAsia"/>
                <w:sz w:val="24"/>
                <w:szCs w:val="24"/>
                <w:rtl/>
              </w:rPr>
              <w:t>‏</w:t>
            </w:r>
            <w:r>
              <w:rPr>
                <w:rFonts w:cs="David"/>
                <w:sz w:val="24"/>
                <w:szCs w:val="24"/>
                <w:rtl/>
              </w:rPr>
              <w:t>14 יוני 2026</w:t>
            </w:r>
          </w:p>
        </w:tc>
      </w:tr>
    </w:tbl>
    <w:p w:rsidR="00C1062F" w:rsidRDefault="00C1062F" w:rsidP="00C1062F">
      <w:pPr>
        <w:spacing w:line="360" w:lineRule="auto"/>
        <w:jc w:val="both"/>
        <w:rPr>
          <w:rFonts w:ascii="David" w:hAnsi="David" w:cs="David"/>
          <w:color w:val="000000" w:themeColor="text1"/>
          <w:sz w:val="24"/>
          <w:szCs w:val="24"/>
          <w:rtl/>
        </w:rPr>
      </w:pPr>
      <w:r>
        <w:rPr>
          <w:rFonts w:ascii="David" w:hAnsi="David" w:cs="David" w:hint="cs"/>
          <w:color w:val="000000" w:themeColor="text1"/>
          <w:sz w:val="24"/>
          <w:szCs w:val="24"/>
          <w:rtl/>
        </w:rPr>
        <w:t>הודעה לעיתונות:</w:t>
      </w:r>
    </w:p>
    <w:p w:rsidR="00C1062F" w:rsidRPr="00C1062F" w:rsidRDefault="00C1062F" w:rsidP="00C0055D">
      <w:pPr>
        <w:spacing w:line="360" w:lineRule="auto"/>
        <w:jc w:val="center"/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</w:pPr>
      <w:r w:rsidRPr="00C1062F">
        <w:rPr>
          <w:rFonts w:ascii="David" w:hAnsi="David" w:cs="David" w:hint="cs"/>
          <w:b/>
          <w:bCs/>
          <w:color w:val="000000" w:themeColor="text1"/>
          <w:sz w:val="28"/>
          <w:szCs w:val="28"/>
          <w:rtl/>
        </w:rPr>
        <w:t xml:space="preserve">פרופ' נעמי פלדמן תמונה </w:t>
      </w:r>
      <w:r w:rsidR="00C0055D">
        <w:rPr>
          <w:rFonts w:ascii="David" w:hAnsi="David" w:cs="David" w:hint="cs"/>
          <w:b/>
          <w:bCs/>
          <w:color w:val="000000" w:themeColor="text1"/>
          <w:sz w:val="28"/>
          <w:szCs w:val="28"/>
          <w:rtl/>
        </w:rPr>
        <w:t xml:space="preserve">לקדנציה נוספת </w:t>
      </w:r>
      <w:r w:rsidRPr="00C1062F">
        <w:rPr>
          <w:rFonts w:ascii="David" w:hAnsi="David" w:cs="David" w:hint="cs"/>
          <w:b/>
          <w:bCs/>
          <w:color w:val="000000" w:themeColor="text1"/>
          <w:sz w:val="28"/>
          <w:szCs w:val="28"/>
          <w:rtl/>
        </w:rPr>
        <w:t>לחברת הוועדה המוניטרית של בנק ישראל</w:t>
      </w:r>
    </w:p>
    <w:p w:rsidR="00C1062F" w:rsidRPr="00C1062F" w:rsidRDefault="00FA2550" w:rsidP="00C0055D">
      <w:pPr>
        <w:spacing w:line="360" w:lineRule="auto"/>
        <w:jc w:val="both"/>
        <w:rPr>
          <w:rFonts w:ascii="David" w:hAnsi="David" w:cs="David"/>
          <w:color w:val="000000" w:themeColor="text1"/>
          <w:sz w:val="24"/>
          <w:szCs w:val="24"/>
        </w:rPr>
      </w:pP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ממשלת ישראל אישרה את המלצת </w:t>
      </w:r>
      <w:r w:rsidR="00AB3FC3">
        <w:rPr>
          <w:rFonts w:ascii="David" w:hAnsi="David" w:cs="David" w:hint="cs"/>
          <w:color w:val="000000" w:themeColor="text1"/>
          <w:sz w:val="24"/>
          <w:szCs w:val="24"/>
          <w:rtl/>
        </w:rPr>
        <w:t>ועדת האיתור</w:t>
      </w:r>
      <w:r w:rsidR="00C1062F" w:rsidRPr="00C1062F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</w:t>
      </w:r>
      <w:r w:rsidR="00C0055D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להארכת הכהונה של  </w:t>
      </w:r>
      <w:r w:rsidR="000A2D38">
        <w:rPr>
          <w:rFonts w:ascii="David" w:hAnsi="David" w:cs="David" w:hint="cs"/>
          <w:color w:val="000000" w:themeColor="text1"/>
          <w:sz w:val="24"/>
          <w:szCs w:val="24"/>
          <w:rtl/>
        </w:rPr>
        <w:t>פרופ' נעמי פלדמן</w:t>
      </w:r>
      <w:r w:rsidR="00C1062F" w:rsidRPr="00C1062F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</w:t>
      </w:r>
      <w:r w:rsidR="00C0055D">
        <w:rPr>
          <w:rFonts w:ascii="David" w:hAnsi="David" w:cs="David" w:hint="cs"/>
          <w:color w:val="000000" w:themeColor="text1"/>
          <w:sz w:val="24"/>
          <w:szCs w:val="24"/>
          <w:rtl/>
        </w:rPr>
        <w:t>לקדנציה נוספת כ</w:t>
      </w:r>
      <w:r w:rsidR="00C1062F" w:rsidRPr="00C1062F">
        <w:rPr>
          <w:rFonts w:ascii="David" w:hAnsi="David" w:cs="David" w:hint="cs"/>
          <w:color w:val="000000" w:themeColor="text1"/>
          <w:sz w:val="24"/>
          <w:szCs w:val="24"/>
          <w:rtl/>
        </w:rPr>
        <w:t>חברה בוועדה המוניטרית</w:t>
      </w:r>
      <w:r w:rsidR="000A2D38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של בנק ישראל</w:t>
      </w:r>
      <w:r w:rsidR="00C0055D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. </w:t>
      </w:r>
      <w:r w:rsidR="00C1062F" w:rsidRPr="00C1062F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המינוי ייכנס לתוקפו </w:t>
      </w:r>
      <w:r w:rsidR="00C1062F" w:rsidRPr="00C0055D">
        <w:rPr>
          <w:rFonts w:ascii="David" w:hAnsi="David" w:cs="David" w:hint="cs"/>
          <w:color w:val="000000" w:themeColor="text1"/>
          <w:sz w:val="24"/>
          <w:szCs w:val="24"/>
          <w:highlight w:val="yellow"/>
          <w:rtl/>
        </w:rPr>
        <w:t>בתאריך</w:t>
      </w:r>
      <w:r w:rsidR="00C0055D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</w:t>
      </w:r>
      <w:r w:rsidR="00C1062F" w:rsidRPr="00C1062F">
        <w:rPr>
          <w:rFonts w:ascii="David" w:hAnsi="David" w:cs="David" w:hint="cs"/>
          <w:color w:val="000000" w:themeColor="text1"/>
          <w:sz w:val="24"/>
          <w:szCs w:val="24"/>
          <w:rtl/>
        </w:rPr>
        <w:t>.</w:t>
      </w:r>
      <w:r w:rsidR="00AB3FC3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</w:t>
      </w:r>
    </w:p>
    <w:p w:rsidR="00C0055D" w:rsidRDefault="00C0055D" w:rsidP="00C0055D">
      <w:pPr>
        <w:spacing w:line="360" w:lineRule="auto"/>
        <w:jc w:val="both"/>
        <w:rPr>
          <w:rFonts w:ascii="David" w:hAnsi="David" w:cs="David"/>
          <w:color w:val="000000" w:themeColor="text1"/>
          <w:sz w:val="24"/>
          <w:szCs w:val="24"/>
          <w:rtl/>
        </w:rPr>
      </w:pPr>
      <w:r w:rsidRPr="00C0055D">
        <w:rPr>
          <w:rFonts w:ascii="David" w:hAnsi="David" w:cs="David"/>
          <w:color w:val="000000" w:themeColor="text1"/>
          <w:sz w:val="24"/>
          <w:szCs w:val="24"/>
          <w:rtl/>
        </w:rPr>
        <w:t xml:space="preserve">על פי חוק בנק ישראל (2010), הוועדה המוניטרית צריכה למנות שישה חברים: הנגיד (יו"ר הוועדה), המשנה לנגיד, עובד בנק ישראל שמינה הנגיד, ושלושה חברים מקרב הציבור אותם ממנה הממשלה. 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לאור זאת יכהנו בוועדה המוניטרית </w:t>
      </w:r>
      <w:r w:rsidRPr="00C0055D">
        <w:rPr>
          <w:rFonts w:ascii="David" w:hAnsi="David" w:cs="David"/>
          <w:color w:val="000000" w:themeColor="text1"/>
          <w:sz w:val="24"/>
          <w:szCs w:val="24"/>
          <w:rtl/>
        </w:rPr>
        <w:t xml:space="preserve">כחברים מקרב הציבור פרופ' 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>אורי חפץ</w:t>
      </w:r>
      <w:r w:rsidRPr="00C0055D">
        <w:rPr>
          <w:rFonts w:ascii="David" w:hAnsi="David" w:cs="David"/>
          <w:color w:val="000000" w:themeColor="text1"/>
          <w:sz w:val="24"/>
          <w:szCs w:val="24"/>
          <w:rtl/>
        </w:rPr>
        <w:t xml:space="preserve"> ופרופ' נעמי פלדמן. </w:t>
      </w:r>
    </w:p>
    <w:p w:rsidR="004B4355" w:rsidRPr="004B4355" w:rsidRDefault="00C1062F" w:rsidP="0030119A">
      <w:pPr>
        <w:spacing w:line="360" w:lineRule="auto"/>
        <w:jc w:val="both"/>
        <w:rPr>
          <w:rFonts w:ascii="David" w:hAnsi="David" w:cs="David"/>
          <w:color w:val="000000" w:themeColor="text1"/>
          <w:sz w:val="24"/>
          <w:szCs w:val="24"/>
          <w:rtl/>
        </w:rPr>
      </w:pPr>
      <w:r>
        <w:rPr>
          <w:rFonts w:ascii="David" w:hAnsi="David" w:cs="David" w:hint="cs"/>
          <w:color w:val="000000" w:themeColor="text1"/>
          <w:sz w:val="24"/>
          <w:szCs w:val="24"/>
          <w:rtl/>
        </w:rPr>
        <w:t>פרופ' פלדמן בעלת תואר ראשון בכלכלה מאוניברסיטת אילינוי, ובעלת תואר דוקטור בכלכלה מאוניברסיטת מישיגן</w:t>
      </w:r>
      <w:r w:rsidR="00FA2550" w:rsidRPr="00FA2550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</w:t>
      </w:r>
      <w:r w:rsidR="00FA2550">
        <w:rPr>
          <w:rFonts w:ascii="David" w:hAnsi="David" w:cs="David" w:hint="cs"/>
          <w:color w:val="000000" w:themeColor="text1"/>
          <w:sz w:val="24"/>
          <w:szCs w:val="24"/>
          <w:rtl/>
        </w:rPr>
        <w:t>ומתמחה בתחומי מימון ציבורי, מיסים וכלכלה התנהגותית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. הפרופ' פלדמן משמשת כפרופסור חבר </w:t>
      </w:r>
      <w:r w:rsidR="00FA2550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במחלקה 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לכלכלה באוניברסיטה העברית מאז שנת 2018, וכן משמשת כעורכת בכתב העת הכלכלי </w:t>
      </w:r>
      <w:r>
        <w:rPr>
          <w:rFonts w:ascii="David" w:hAnsi="David" w:cs="David"/>
          <w:color w:val="000000" w:themeColor="text1"/>
          <w:sz w:val="24"/>
          <w:szCs w:val="24"/>
        </w:rPr>
        <w:t>American Economic Journal: Economic Policy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>. כמו כן שימשה בין השנים 201</w:t>
      </w:r>
      <w:r w:rsidR="0030119A">
        <w:rPr>
          <w:rFonts w:ascii="David" w:hAnsi="David" w:cs="David" w:hint="cs"/>
          <w:color w:val="000000" w:themeColor="text1"/>
          <w:sz w:val="24"/>
          <w:szCs w:val="24"/>
          <w:rtl/>
        </w:rPr>
        <w:t>1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>-2018 ככלכלנית</w:t>
      </w:r>
      <w:r w:rsidR="0030119A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בכירה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במדור ניתוח פיסקאלי </w:t>
      </w:r>
      <w:proofErr w:type="spellStart"/>
      <w:r>
        <w:rPr>
          <w:rFonts w:ascii="David" w:hAnsi="David" w:cs="David" w:hint="cs"/>
          <w:color w:val="000000" w:themeColor="text1"/>
          <w:sz w:val="24"/>
          <w:szCs w:val="24"/>
          <w:rtl/>
        </w:rPr>
        <w:t>בפדרל-ריזרב</w:t>
      </w:r>
      <w:proofErr w:type="spellEnd"/>
      <w:r w:rsidR="0030119A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, </w:t>
      </w:r>
      <w:r w:rsidR="004B4355">
        <w:rPr>
          <w:rFonts w:ascii="David" w:hAnsi="David" w:cs="David" w:hint="cs"/>
          <w:color w:val="000000" w:themeColor="text1"/>
          <w:sz w:val="24"/>
          <w:szCs w:val="24"/>
          <w:rtl/>
        </w:rPr>
        <w:t>ובתווך גם כיהנה כ</w:t>
      </w:r>
      <w:r w:rsidR="004B4355" w:rsidRPr="004B4355">
        <w:rPr>
          <w:rFonts w:ascii="David" w:hAnsi="David" w:cs="David"/>
          <w:color w:val="000000" w:themeColor="text1"/>
          <w:sz w:val="24"/>
          <w:szCs w:val="24"/>
          <w:rtl/>
        </w:rPr>
        <w:t xml:space="preserve">שנה במועצה </w:t>
      </w:r>
      <w:r w:rsidR="004B4355">
        <w:rPr>
          <w:rFonts w:ascii="David" w:hAnsi="David" w:cs="David" w:hint="cs"/>
          <w:color w:val="000000" w:themeColor="text1"/>
          <w:sz w:val="24"/>
          <w:szCs w:val="24"/>
          <w:rtl/>
        </w:rPr>
        <w:t>היועצים הכלכליים</w:t>
      </w:r>
      <w:r w:rsidR="004B4355" w:rsidRPr="004B4355">
        <w:rPr>
          <w:rFonts w:ascii="David" w:hAnsi="David" w:cs="David"/>
          <w:color w:val="000000" w:themeColor="text1"/>
          <w:sz w:val="24"/>
          <w:szCs w:val="24"/>
          <w:rtl/>
        </w:rPr>
        <w:t xml:space="preserve"> של הנשיא</w:t>
      </w:r>
      <w:r w:rsidR="00140C28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</w:t>
      </w:r>
      <w:r w:rsidR="004B4355" w:rsidRPr="004B4355">
        <w:rPr>
          <w:rFonts w:ascii="David" w:hAnsi="David" w:cs="David"/>
          <w:color w:val="000000" w:themeColor="text1"/>
          <w:sz w:val="24"/>
          <w:szCs w:val="24"/>
          <w:rtl/>
        </w:rPr>
        <w:t>בארה</w:t>
      </w:r>
      <w:r w:rsidR="004B4355">
        <w:rPr>
          <w:rFonts w:ascii="David" w:hAnsi="David" w:cs="David" w:hint="cs"/>
          <w:color w:val="000000" w:themeColor="text1"/>
          <w:sz w:val="24"/>
          <w:szCs w:val="24"/>
          <w:rtl/>
        </w:rPr>
        <w:t>"</w:t>
      </w:r>
      <w:r w:rsidR="004B4355" w:rsidRPr="004B4355">
        <w:rPr>
          <w:rFonts w:ascii="David" w:hAnsi="David" w:cs="David"/>
          <w:color w:val="000000" w:themeColor="text1"/>
          <w:sz w:val="24"/>
          <w:szCs w:val="24"/>
          <w:rtl/>
        </w:rPr>
        <w:t>ב</w:t>
      </w:r>
      <w:r w:rsidR="004B4355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(</w:t>
      </w:r>
      <w:r w:rsidR="004B4355">
        <w:rPr>
          <w:rFonts w:ascii="David" w:hAnsi="David" w:cs="David" w:hint="cs"/>
          <w:color w:val="000000" w:themeColor="text1"/>
          <w:sz w:val="24"/>
          <w:szCs w:val="24"/>
        </w:rPr>
        <w:t>CEA</w:t>
      </w:r>
      <w:r w:rsidR="004B4355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). </w:t>
      </w:r>
      <w:r w:rsidR="00140C28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קודם לכן </w:t>
      </w:r>
      <w:r w:rsidR="004B4355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גם שימשה פלדמן </w:t>
      </w:r>
      <w:r w:rsidR="00140C28">
        <w:rPr>
          <w:rFonts w:ascii="David" w:hAnsi="David" w:cs="David" w:hint="cs"/>
          <w:color w:val="000000" w:themeColor="text1"/>
          <w:sz w:val="24"/>
          <w:szCs w:val="24"/>
          <w:rtl/>
        </w:rPr>
        <w:t>כיועצת לאגף הערכה ואסטרטגיה מוניטרית בבנק המרכזי של אנגליה ב</w:t>
      </w:r>
      <w:r w:rsidR="004B63A7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שנת </w:t>
      </w:r>
      <w:r w:rsidR="00140C28">
        <w:rPr>
          <w:rFonts w:ascii="David" w:hAnsi="David" w:cs="David" w:hint="cs"/>
          <w:color w:val="000000" w:themeColor="text1"/>
          <w:sz w:val="24"/>
          <w:szCs w:val="24"/>
          <w:rtl/>
        </w:rPr>
        <w:t>2004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>.</w:t>
      </w:r>
    </w:p>
    <w:p w:rsidR="00C1062F" w:rsidRPr="00C1062F" w:rsidRDefault="00C1062F" w:rsidP="00C0055D">
      <w:pPr>
        <w:spacing w:line="360" w:lineRule="auto"/>
        <w:jc w:val="both"/>
        <w:rPr>
          <w:rFonts w:ascii="David" w:hAnsi="David" w:cs="David"/>
          <w:color w:val="000000" w:themeColor="text1"/>
          <w:sz w:val="24"/>
          <w:szCs w:val="24"/>
        </w:rPr>
      </w:pPr>
      <w:r w:rsidRPr="00AB3FC3">
        <w:rPr>
          <w:rFonts w:ascii="David" w:hAnsi="David" w:cs="David" w:hint="eastAsia"/>
          <w:b/>
          <w:bCs/>
          <w:color w:val="000000" w:themeColor="text1"/>
          <w:sz w:val="24"/>
          <w:szCs w:val="24"/>
          <w:rtl/>
        </w:rPr>
        <w:t>נגיד</w:t>
      </w:r>
      <w:r w:rsidRPr="00AB3FC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 xml:space="preserve"> </w:t>
      </w:r>
      <w:r w:rsidRPr="00AB3FC3">
        <w:rPr>
          <w:rFonts w:ascii="David" w:hAnsi="David" w:cs="David" w:hint="eastAsia"/>
          <w:b/>
          <w:bCs/>
          <w:color w:val="000000" w:themeColor="text1"/>
          <w:sz w:val="24"/>
          <w:szCs w:val="24"/>
          <w:rtl/>
        </w:rPr>
        <w:t>בנק</w:t>
      </w:r>
      <w:r w:rsidRPr="00AB3FC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 xml:space="preserve"> </w:t>
      </w:r>
      <w:r w:rsidRPr="00AB3FC3">
        <w:rPr>
          <w:rFonts w:ascii="David" w:hAnsi="David" w:cs="David" w:hint="eastAsia"/>
          <w:b/>
          <w:bCs/>
          <w:color w:val="000000" w:themeColor="text1"/>
          <w:sz w:val="24"/>
          <w:szCs w:val="24"/>
          <w:rtl/>
        </w:rPr>
        <w:t>ישראל</w:t>
      </w:r>
      <w:r w:rsidRPr="00AB3FC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 xml:space="preserve">, </w:t>
      </w:r>
      <w:r w:rsidRPr="00AB3FC3">
        <w:rPr>
          <w:rFonts w:ascii="David" w:hAnsi="David" w:cs="David" w:hint="eastAsia"/>
          <w:b/>
          <w:bCs/>
          <w:color w:val="000000" w:themeColor="text1"/>
          <w:sz w:val="24"/>
          <w:szCs w:val="24"/>
          <w:rtl/>
        </w:rPr>
        <w:t>פרופ</w:t>
      </w:r>
      <w:r w:rsidRPr="00AB3FC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 xml:space="preserve">' </w:t>
      </w:r>
      <w:r w:rsidRPr="00AB3FC3">
        <w:rPr>
          <w:rFonts w:ascii="David" w:hAnsi="David" w:cs="David" w:hint="eastAsia"/>
          <w:b/>
          <w:bCs/>
          <w:color w:val="000000" w:themeColor="text1"/>
          <w:sz w:val="24"/>
          <w:szCs w:val="24"/>
          <w:rtl/>
        </w:rPr>
        <w:t>אמיר</w:t>
      </w:r>
      <w:r w:rsidRPr="00AB3FC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 xml:space="preserve"> </w:t>
      </w:r>
      <w:r w:rsidRPr="00AB3FC3">
        <w:rPr>
          <w:rFonts w:ascii="David" w:hAnsi="David" w:cs="David" w:hint="eastAsia"/>
          <w:b/>
          <w:bCs/>
          <w:color w:val="000000" w:themeColor="text1"/>
          <w:sz w:val="24"/>
          <w:szCs w:val="24"/>
          <w:rtl/>
        </w:rPr>
        <w:t>ירון</w:t>
      </w:r>
      <w:r w:rsidRPr="00AB3FC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: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"אני </w:t>
      </w:r>
      <w:r w:rsidR="00FA2550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מאחל 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לפרופ' פלדמן </w:t>
      </w:r>
      <w:r w:rsidR="00C0055D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המשך </w:t>
      </w:r>
      <w:r w:rsidR="00FA2550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הצלחה רבה במילוי תפקידה כנציגת הציבור בוועדה המוניטרית בבנק ישראל ומודה לה 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על </w:t>
      </w:r>
      <w:proofErr w:type="spellStart"/>
      <w:r>
        <w:rPr>
          <w:rFonts w:ascii="David" w:hAnsi="David" w:cs="David" w:hint="cs"/>
          <w:color w:val="000000" w:themeColor="text1"/>
          <w:sz w:val="24"/>
          <w:szCs w:val="24"/>
          <w:rtl/>
        </w:rPr>
        <w:t>נכונתה</w:t>
      </w:r>
      <w:proofErr w:type="spellEnd"/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לקחת על עצמה את האחריות</w:t>
      </w:r>
      <w:r w:rsidR="004B63A7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הכרוכה בכך.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</w:t>
      </w:r>
      <w:r w:rsidR="00C0055D">
        <w:rPr>
          <w:rFonts w:ascii="David" w:hAnsi="David" w:cs="David" w:hint="cs"/>
          <w:color w:val="000000" w:themeColor="text1"/>
          <w:sz w:val="24"/>
          <w:szCs w:val="24"/>
          <w:rtl/>
        </w:rPr>
        <w:t>"</w:t>
      </w:r>
    </w:p>
    <w:p w:rsidR="00C1062F" w:rsidRPr="00C1062F" w:rsidRDefault="00C1062F" w:rsidP="00C1062F">
      <w:pPr>
        <w:spacing w:line="360" w:lineRule="auto"/>
        <w:jc w:val="both"/>
        <w:rPr>
          <w:rFonts w:ascii="David" w:hAnsi="David" w:cs="David"/>
          <w:color w:val="000000" w:themeColor="text1"/>
          <w:sz w:val="24"/>
          <w:szCs w:val="24"/>
        </w:rPr>
      </w:pPr>
      <w:bookmarkStart w:id="0" w:name="_GoBack"/>
      <w:bookmarkEnd w:id="0"/>
    </w:p>
    <w:sectPr w:rsidR="00C1062F" w:rsidRPr="00C1062F" w:rsidSect="000875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2F"/>
    <w:rsid w:val="00010CF0"/>
    <w:rsid w:val="000167D6"/>
    <w:rsid w:val="00020F0E"/>
    <w:rsid w:val="00080763"/>
    <w:rsid w:val="00087510"/>
    <w:rsid w:val="000A2D38"/>
    <w:rsid w:val="000D7FEE"/>
    <w:rsid w:val="000E4E47"/>
    <w:rsid w:val="00130BF2"/>
    <w:rsid w:val="00140C28"/>
    <w:rsid w:val="00165616"/>
    <w:rsid w:val="002076D5"/>
    <w:rsid w:val="00210BF6"/>
    <w:rsid w:val="00214AF0"/>
    <w:rsid w:val="00257358"/>
    <w:rsid w:val="00272A06"/>
    <w:rsid w:val="002857CE"/>
    <w:rsid w:val="002C21B0"/>
    <w:rsid w:val="002D2D6D"/>
    <w:rsid w:val="0030119A"/>
    <w:rsid w:val="003036B8"/>
    <w:rsid w:val="003403BC"/>
    <w:rsid w:val="0035359C"/>
    <w:rsid w:val="00376BF6"/>
    <w:rsid w:val="003868AD"/>
    <w:rsid w:val="00386CE5"/>
    <w:rsid w:val="003C1030"/>
    <w:rsid w:val="003E0021"/>
    <w:rsid w:val="00401FAC"/>
    <w:rsid w:val="00412336"/>
    <w:rsid w:val="00475372"/>
    <w:rsid w:val="004840F5"/>
    <w:rsid w:val="004959E7"/>
    <w:rsid w:val="004B4355"/>
    <w:rsid w:val="004B63A7"/>
    <w:rsid w:val="00546A67"/>
    <w:rsid w:val="005526D1"/>
    <w:rsid w:val="00591406"/>
    <w:rsid w:val="005D323D"/>
    <w:rsid w:val="0063502E"/>
    <w:rsid w:val="006857B9"/>
    <w:rsid w:val="006A1BAD"/>
    <w:rsid w:val="006C5B40"/>
    <w:rsid w:val="006C6AC4"/>
    <w:rsid w:val="00702A2F"/>
    <w:rsid w:val="00704315"/>
    <w:rsid w:val="00731C76"/>
    <w:rsid w:val="00742840"/>
    <w:rsid w:val="00745C34"/>
    <w:rsid w:val="00802F45"/>
    <w:rsid w:val="0084165F"/>
    <w:rsid w:val="008632A1"/>
    <w:rsid w:val="0089573B"/>
    <w:rsid w:val="008A3B9F"/>
    <w:rsid w:val="009209D9"/>
    <w:rsid w:val="00926676"/>
    <w:rsid w:val="00933667"/>
    <w:rsid w:val="00983710"/>
    <w:rsid w:val="009E5B21"/>
    <w:rsid w:val="009E69E1"/>
    <w:rsid w:val="009F6011"/>
    <w:rsid w:val="00A4015A"/>
    <w:rsid w:val="00A659BC"/>
    <w:rsid w:val="00AB3C44"/>
    <w:rsid w:val="00AB3FC3"/>
    <w:rsid w:val="00B07514"/>
    <w:rsid w:val="00B07BD2"/>
    <w:rsid w:val="00B15BC3"/>
    <w:rsid w:val="00B81AA2"/>
    <w:rsid w:val="00B83D10"/>
    <w:rsid w:val="00BC6EFD"/>
    <w:rsid w:val="00C0055D"/>
    <w:rsid w:val="00C1062F"/>
    <w:rsid w:val="00CA10D5"/>
    <w:rsid w:val="00CD5B2B"/>
    <w:rsid w:val="00D01BFF"/>
    <w:rsid w:val="00D106C7"/>
    <w:rsid w:val="00D11BA9"/>
    <w:rsid w:val="00D142BE"/>
    <w:rsid w:val="00D24E24"/>
    <w:rsid w:val="00D36ACD"/>
    <w:rsid w:val="00D774FE"/>
    <w:rsid w:val="00E218A5"/>
    <w:rsid w:val="00E9344F"/>
    <w:rsid w:val="00E95E04"/>
    <w:rsid w:val="00EA1402"/>
    <w:rsid w:val="00F22B86"/>
    <w:rsid w:val="00F337C2"/>
    <w:rsid w:val="00F54C39"/>
    <w:rsid w:val="00F73FA9"/>
    <w:rsid w:val="00FA2550"/>
    <w:rsid w:val="00FB2BD2"/>
    <w:rsid w:val="00FC119A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3502"/>
  <w15:chartTrackingRefBased/>
  <w15:docId w15:val="{B26B9FB4-DA62-469B-840F-610C4A00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C106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A255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FA2550"/>
    <w:rPr>
      <w:rFonts w:ascii="Tahoma" w:hAnsi="Tahoma" w:cs="Tahoma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659B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659BC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A659B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659BC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A659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0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BOI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מיטל רולניצקי</dc:creator>
  <cp:keywords/>
  <dc:description/>
  <cp:lastModifiedBy>ליאת אינדיג</cp:lastModifiedBy>
  <cp:revision>3</cp:revision>
  <dcterms:created xsi:type="dcterms:W3CDTF">2026-06-14T12:02:00Z</dcterms:created>
  <dcterms:modified xsi:type="dcterms:W3CDTF">2026-06-14T12:09:00Z</dcterms:modified>
</cp:coreProperties>
</file>