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031A9D" w:rsidRPr="005E28F6" w:rsidTr="00031A9D">
        <w:tc>
          <w:tcPr>
            <w:tcW w:w="3343"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b/>
                <w:bCs/>
                <w:rtl/>
              </w:rPr>
            </w:pPr>
            <w:r w:rsidRPr="005E28F6">
              <w:rPr>
                <w:rFonts w:asciiTheme="minorHAnsi" w:hAnsiTheme="minorHAnsi" w:cstheme="minorHAnsi"/>
                <w:b/>
                <w:bCs/>
                <w:rtl/>
              </w:rPr>
              <w:t>בנק ישראל</w:t>
            </w:r>
          </w:p>
          <w:p w:rsidR="00031A9D" w:rsidRPr="005E28F6" w:rsidRDefault="00031A9D" w:rsidP="00F2528F">
            <w:pPr>
              <w:bidi/>
              <w:spacing w:line="360" w:lineRule="auto"/>
              <w:jc w:val="center"/>
              <w:rPr>
                <w:rFonts w:asciiTheme="minorHAnsi" w:hAnsiTheme="minorHAnsi" w:cstheme="minorHAnsi"/>
                <w:b/>
                <w:bCs/>
              </w:rPr>
            </w:pPr>
            <w:r w:rsidRPr="005E28F6">
              <w:rPr>
                <w:rFonts w:asciiTheme="minorHAnsi" w:hAnsiTheme="minorHAnsi" w:cstheme="minorHAnsi"/>
                <w:rtl/>
              </w:rPr>
              <w:t>דוברות והסברה כלכלית</w:t>
            </w:r>
          </w:p>
        </w:tc>
        <w:tc>
          <w:tcPr>
            <w:tcW w:w="2596" w:type="dxa"/>
            <w:tcBorders>
              <w:top w:val="nil"/>
              <w:left w:val="nil"/>
              <w:bottom w:val="nil"/>
              <w:right w:val="nil"/>
            </w:tcBorders>
            <w:shd w:val="clear" w:color="auto" w:fill="FFFFFF"/>
          </w:tcPr>
          <w:p w:rsidR="00031A9D" w:rsidRPr="005E28F6" w:rsidRDefault="00CC57F4" w:rsidP="00F2528F">
            <w:pPr>
              <w:bidi/>
              <w:spacing w:line="360" w:lineRule="auto"/>
              <w:jc w:val="center"/>
              <w:rPr>
                <w:rFonts w:asciiTheme="minorHAnsi" w:hAnsiTheme="minorHAnsi" w:cstheme="minorHAnsi"/>
              </w:rPr>
            </w:pPr>
            <w:r>
              <w:rPr>
                <w:rFonts w:asciiTheme="minorHAnsi" w:hAnsiTheme="minorHAnsi" w:cstheme="minorHAnsi"/>
                <w:noProof/>
              </w:rPr>
              <w:drawing>
                <wp:inline distT="0" distB="0" distL="0" distR="0" wp14:anchorId="5F08C3AE">
                  <wp:extent cx="914400" cy="9144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tc>
        <w:tc>
          <w:tcPr>
            <w:tcW w:w="3591"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rtl/>
              </w:rPr>
            </w:pPr>
            <w:r w:rsidRPr="005E28F6">
              <w:rPr>
                <w:rFonts w:asciiTheme="minorHAnsi" w:hAnsiTheme="minorHAnsi" w:cstheme="minorHAnsi"/>
                <w:highlight w:val="green"/>
                <w:rtl/>
              </w:rPr>
              <w:t>‏</w:t>
            </w:r>
            <w:r w:rsidRPr="005E28F6">
              <w:rPr>
                <w:rFonts w:asciiTheme="minorHAnsi" w:hAnsiTheme="minorHAnsi" w:cstheme="minorHAnsi"/>
                <w:rtl/>
              </w:rPr>
              <w:t xml:space="preserve">ירושלים, </w:t>
            </w: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 \h</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8A707D">
              <w:rPr>
                <w:rFonts w:asciiTheme="minorHAnsi" w:hAnsiTheme="minorHAnsi" w:cstheme="minorHAnsi"/>
                <w:noProof/>
                <w:rtl/>
              </w:rPr>
              <w:t>‏י' חשון, תשפ"ז</w:t>
            </w:r>
            <w:r w:rsidRPr="005E28F6">
              <w:rPr>
                <w:rFonts w:asciiTheme="minorHAnsi" w:hAnsiTheme="minorHAnsi" w:cstheme="minorHAnsi"/>
                <w:rtl/>
              </w:rPr>
              <w:fldChar w:fldCharType="end"/>
            </w:r>
          </w:p>
          <w:p w:rsidR="00031A9D" w:rsidRPr="005E28F6" w:rsidRDefault="00031A9D" w:rsidP="00F2528F">
            <w:pPr>
              <w:bidi/>
              <w:spacing w:line="360" w:lineRule="auto"/>
              <w:jc w:val="center"/>
              <w:rPr>
                <w:rFonts w:asciiTheme="minorHAnsi" w:hAnsiTheme="minorHAnsi" w:cstheme="minorHAnsi"/>
                <w:highlight w:val="green"/>
              </w:rPr>
            </w:pP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8A707D">
              <w:rPr>
                <w:rFonts w:asciiTheme="minorHAnsi" w:hAnsiTheme="minorHAnsi" w:cstheme="minorHAnsi"/>
                <w:noProof/>
                <w:rtl/>
              </w:rPr>
              <w:t>‏21 אוקטובר, 2026</w:t>
            </w:r>
            <w:r w:rsidRPr="005E28F6">
              <w:rPr>
                <w:rFonts w:asciiTheme="minorHAnsi" w:hAnsiTheme="minorHAnsi" w:cstheme="minorHAnsi"/>
                <w:rtl/>
              </w:rPr>
              <w:fldChar w:fldCharType="end"/>
            </w:r>
          </w:p>
        </w:tc>
      </w:tr>
    </w:tbl>
    <w:p w:rsidR="003E7478" w:rsidRDefault="003E7478" w:rsidP="00DD6497">
      <w:pPr>
        <w:bidi/>
        <w:spacing w:line="360" w:lineRule="auto"/>
        <w:jc w:val="center"/>
        <w:rPr>
          <w:rFonts w:asciiTheme="minorHAnsi" w:hAnsiTheme="minorHAnsi" w:cstheme="minorHAnsi"/>
          <w:sz w:val="22"/>
          <w:szCs w:val="22"/>
          <w:rtl/>
        </w:rPr>
      </w:pPr>
    </w:p>
    <w:p w:rsidR="000B589E" w:rsidRDefault="000B589E" w:rsidP="000B589E">
      <w:pPr>
        <w:bidi/>
        <w:spacing w:line="360" w:lineRule="auto"/>
        <w:rPr>
          <w:rFonts w:asciiTheme="minorHAnsi" w:hAnsiTheme="minorHAnsi" w:cstheme="minorHAnsi"/>
          <w:rtl/>
        </w:rPr>
      </w:pPr>
      <w:r w:rsidRPr="000B589E">
        <w:rPr>
          <w:rFonts w:asciiTheme="minorHAnsi" w:hAnsiTheme="minorHAnsi" w:cstheme="minorHAnsi" w:hint="cs"/>
          <w:rtl/>
        </w:rPr>
        <w:t>הודעה לעיתונו</w:t>
      </w:r>
      <w:r w:rsidRPr="000B589E">
        <w:rPr>
          <w:rFonts w:asciiTheme="minorHAnsi" w:hAnsiTheme="minorHAnsi" w:cstheme="minorHAnsi" w:hint="eastAsia"/>
          <w:rtl/>
        </w:rPr>
        <w:t>ת</w:t>
      </w:r>
      <w:r>
        <w:rPr>
          <w:rFonts w:asciiTheme="minorHAnsi" w:hAnsiTheme="minorHAnsi" w:cstheme="minorHAnsi" w:hint="cs"/>
          <w:rtl/>
        </w:rPr>
        <w:t xml:space="preserve">: </w:t>
      </w:r>
    </w:p>
    <w:p w:rsidR="002047CF" w:rsidRPr="002047CF" w:rsidRDefault="002047CF" w:rsidP="002047CF">
      <w:pPr>
        <w:bidi/>
        <w:spacing w:line="360" w:lineRule="auto"/>
        <w:jc w:val="center"/>
        <w:rPr>
          <w:rFonts w:asciiTheme="minorHAnsi" w:hAnsiTheme="minorHAnsi" w:cstheme="minorHAnsi"/>
          <w:b/>
          <w:bCs/>
          <w:sz w:val="28"/>
          <w:szCs w:val="28"/>
          <w:rtl/>
        </w:rPr>
      </w:pPr>
      <w:r w:rsidRPr="002047CF">
        <w:rPr>
          <w:rFonts w:asciiTheme="minorHAnsi" w:hAnsiTheme="minorHAnsi" w:cs="Calibri"/>
          <w:b/>
          <w:bCs/>
          <w:sz w:val="28"/>
          <w:szCs w:val="28"/>
          <w:rtl/>
        </w:rPr>
        <w:t>הוועדה המוניטרית החליטה ב-</w:t>
      </w:r>
      <w:r w:rsidRPr="002047CF">
        <w:rPr>
          <w:rFonts w:asciiTheme="minorHAnsi" w:hAnsiTheme="minorHAnsi" w:cs="Calibri" w:hint="cs"/>
          <w:b/>
          <w:bCs/>
          <w:sz w:val="28"/>
          <w:szCs w:val="28"/>
          <w:rtl/>
        </w:rPr>
        <w:t>2</w:t>
      </w:r>
      <w:r w:rsidRPr="002047CF">
        <w:rPr>
          <w:rFonts w:asciiTheme="minorHAnsi" w:hAnsiTheme="minorHAnsi" w:cs="Calibri"/>
          <w:b/>
          <w:bCs/>
          <w:sz w:val="28"/>
          <w:szCs w:val="28"/>
          <w:rtl/>
        </w:rPr>
        <w:t>1/</w:t>
      </w:r>
      <w:r w:rsidRPr="002047CF">
        <w:rPr>
          <w:rFonts w:asciiTheme="minorHAnsi" w:hAnsiTheme="minorHAnsi" w:cs="Calibri" w:hint="cs"/>
          <w:b/>
          <w:bCs/>
          <w:sz w:val="28"/>
          <w:szCs w:val="28"/>
          <w:rtl/>
        </w:rPr>
        <w:t>10</w:t>
      </w:r>
      <w:r w:rsidRPr="002047CF">
        <w:rPr>
          <w:rFonts w:asciiTheme="minorHAnsi" w:hAnsiTheme="minorHAnsi" w:cs="Calibri"/>
          <w:b/>
          <w:bCs/>
          <w:sz w:val="28"/>
          <w:szCs w:val="28"/>
          <w:rtl/>
        </w:rPr>
        <w:t xml:space="preserve">/2026 להותיר את הריבית ללא שינוי ברמה של </w:t>
      </w:r>
      <w:r w:rsidRPr="002047CF">
        <w:rPr>
          <w:rFonts w:asciiTheme="minorHAnsi" w:hAnsiTheme="minorHAnsi" w:cs="Calibri" w:hint="cs"/>
          <w:b/>
          <w:bCs/>
          <w:sz w:val="28"/>
          <w:szCs w:val="28"/>
          <w:rtl/>
        </w:rPr>
        <w:t>3.25%</w:t>
      </w:r>
    </w:p>
    <w:p w:rsidR="002047CF" w:rsidRDefault="002047CF" w:rsidP="002047CF">
      <w:pPr>
        <w:pStyle w:val="NormalWeb"/>
        <w:numPr>
          <w:ilvl w:val="0"/>
          <w:numId w:val="11"/>
        </w:numPr>
        <w:shd w:val="clear" w:color="auto" w:fill="FFFFFF"/>
        <w:bidi/>
        <w:spacing w:line="360" w:lineRule="auto"/>
        <w:jc w:val="both"/>
        <w:rPr>
          <w:rFonts w:asciiTheme="minorHAnsi" w:eastAsia="David" w:hAnsiTheme="minorHAnsi" w:cs="Calibri"/>
          <w:b/>
          <w:bCs/>
        </w:rPr>
      </w:pPr>
      <w:r w:rsidRPr="00AF0BA5">
        <w:rPr>
          <w:rFonts w:asciiTheme="minorHAnsi" w:eastAsia="David" w:hAnsiTheme="minorHAnsi" w:cs="Calibri"/>
          <w:b/>
          <w:bCs/>
          <w:rtl/>
        </w:rPr>
        <w:t>האינפלציה בשנים-עשר החודשים האחרונים עמדה בחודש ספטמבר על 1.6</w:t>
      </w:r>
      <w:r>
        <w:rPr>
          <w:rFonts w:asciiTheme="minorHAnsi" w:eastAsia="David" w:hAnsiTheme="minorHAnsi" w:cs="Calibri"/>
          <w:b/>
          <w:bCs/>
          <w:rtl/>
        </w:rPr>
        <w:t>%</w:t>
      </w:r>
      <w:r>
        <w:rPr>
          <w:rFonts w:asciiTheme="minorHAnsi" w:eastAsia="David" w:hAnsiTheme="minorHAnsi" w:cs="Calibri" w:hint="cs"/>
          <w:b/>
          <w:bCs/>
          <w:rtl/>
        </w:rPr>
        <w:t xml:space="preserve">, </w:t>
      </w:r>
      <w:r w:rsidRPr="00AF0BA5">
        <w:rPr>
          <w:rFonts w:asciiTheme="minorHAnsi" w:eastAsia="David" w:hAnsiTheme="minorHAnsi" w:cs="Calibri"/>
          <w:b/>
          <w:bCs/>
          <w:rtl/>
        </w:rPr>
        <w:t>מעט מתחת למרכז תחום היעד</w:t>
      </w:r>
      <w:r>
        <w:rPr>
          <w:rFonts w:asciiTheme="minorHAnsi" w:eastAsia="David" w:hAnsiTheme="minorHAnsi" w:cs="Calibri" w:hint="cs"/>
          <w:b/>
          <w:bCs/>
          <w:rtl/>
        </w:rPr>
        <w:t>.</w:t>
      </w:r>
      <w:r w:rsidRPr="00AF0BA5">
        <w:rPr>
          <w:rFonts w:asciiTheme="minorHAnsi" w:eastAsia="David" w:hAnsiTheme="minorHAnsi" w:cs="Calibri"/>
          <w:b/>
          <w:bCs/>
          <w:rtl/>
        </w:rPr>
        <w:t xml:space="preserve"> </w:t>
      </w:r>
    </w:p>
    <w:p w:rsidR="002047CF" w:rsidRDefault="002047CF" w:rsidP="002047CF">
      <w:pPr>
        <w:pStyle w:val="NormalWeb"/>
        <w:numPr>
          <w:ilvl w:val="0"/>
          <w:numId w:val="11"/>
        </w:numPr>
        <w:shd w:val="clear" w:color="auto" w:fill="FFFFFF"/>
        <w:bidi/>
        <w:spacing w:line="360" w:lineRule="auto"/>
        <w:jc w:val="both"/>
        <w:rPr>
          <w:rFonts w:asciiTheme="minorHAnsi" w:eastAsia="David" w:hAnsiTheme="minorHAnsi" w:cs="Calibri"/>
          <w:b/>
          <w:bCs/>
        </w:rPr>
      </w:pPr>
      <w:proofErr w:type="spellStart"/>
      <w:r w:rsidRPr="00AF0BA5">
        <w:rPr>
          <w:rFonts w:asciiTheme="minorHAnsi" w:eastAsia="David" w:hAnsiTheme="minorHAnsi" w:cs="Calibri"/>
          <w:b/>
          <w:bCs/>
          <w:rtl/>
        </w:rPr>
        <w:t>אי־הוודאות</w:t>
      </w:r>
      <w:proofErr w:type="spellEnd"/>
      <w:r w:rsidRPr="00AF0BA5">
        <w:rPr>
          <w:rFonts w:asciiTheme="minorHAnsi" w:eastAsia="David" w:hAnsiTheme="minorHAnsi" w:cs="Calibri"/>
          <w:b/>
          <w:bCs/>
          <w:rtl/>
        </w:rPr>
        <w:t xml:space="preserve"> נותרה גבוהה על רקע המשך המתיחות הגיאופוליטית, אך עם זאת, בתקופה הנסקרת פרמיית הסיכון של ישראל המשיכה לשהות ברמות הדומות לאלו ששררו טרם השבעה באוקטובר, בעוד </w:t>
      </w:r>
      <w:proofErr w:type="spellStart"/>
      <w:r w:rsidRPr="00AF0BA5">
        <w:rPr>
          <w:rFonts w:asciiTheme="minorHAnsi" w:eastAsia="David" w:hAnsiTheme="minorHAnsi" w:cs="Calibri"/>
          <w:b/>
          <w:bCs/>
          <w:rtl/>
        </w:rPr>
        <w:t>ששע"ח</w:t>
      </w:r>
      <w:proofErr w:type="spellEnd"/>
      <w:r w:rsidRPr="00AF0BA5">
        <w:rPr>
          <w:rFonts w:asciiTheme="minorHAnsi" w:eastAsia="David" w:hAnsiTheme="minorHAnsi" w:cs="Calibri"/>
          <w:b/>
          <w:bCs/>
          <w:rtl/>
        </w:rPr>
        <w:t xml:space="preserve"> פוחת.</w:t>
      </w:r>
    </w:p>
    <w:p w:rsidR="002047CF" w:rsidRPr="00F65307" w:rsidRDefault="002047CF" w:rsidP="002047CF">
      <w:pPr>
        <w:pStyle w:val="NormalWeb"/>
        <w:numPr>
          <w:ilvl w:val="0"/>
          <w:numId w:val="11"/>
        </w:numPr>
        <w:shd w:val="clear" w:color="auto" w:fill="FFFFFF"/>
        <w:bidi/>
        <w:spacing w:line="360" w:lineRule="auto"/>
        <w:jc w:val="both"/>
        <w:rPr>
          <w:rFonts w:asciiTheme="minorHAnsi" w:eastAsia="David" w:hAnsiTheme="minorHAnsi" w:cs="Calibri"/>
          <w:b/>
          <w:bCs/>
        </w:rPr>
      </w:pPr>
      <w:r w:rsidRPr="00F50B5A">
        <w:rPr>
          <w:rFonts w:asciiTheme="minorHAnsi" w:hAnsiTheme="minorHAnsi" w:cs="Calibri"/>
          <w:b/>
          <w:bCs/>
          <w:rtl/>
        </w:rPr>
        <w:t xml:space="preserve">מאז החלטת הריבית האחרונה, </w:t>
      </w:r>
      <w:r w:rsidRPr="00F50B5A">
        <w:rPr>
          <w:rFonts w:asciiTheme="minorHAnsi" w:hAnsiTheme="minorHAnsi" w:cs="Calibri" w:hint="cs"/>
          <w:b/>
          <w:bCs/>
          <w:rtl/>
        </w:rPr>
        <w:t>פוחת</w:t>
      </w:r>
      <w:r w:rsidRPr="00F50B5A">
        <w:rPr>
          <w:rFonts w:asciiTheme="minorHAnsi" w:hAnsiTheme="minorHAnsi" w:cs="Calibri"/>
          <w:b/>
          <w:bCs/>
          <w:rtl/>
        </w:rPr>
        <w:t xml:space="preserve"> השקל בשיעור של </w:t>
      </w:r>
      <w:r w:rsidRPr="00F65307">
        <w:rPr>
          <w:rFonts w:asciiTheme="minorHAnsi" w:hAnsiTheme="minorHAnsi" w:cs="Calibri"/>
          <w:b/>
          <w:bCs/>
          <w:rtl/>
        </w:rPr>
        <w:t xml:space="preserve">3.1% מול הדולר </w:t>
      </w:r>
      <w:r w:rsidRPr="00F65307">
        <w:rPr>
          <w:rFonts w:asciiTheme="minorHAnsi" w:hAnsiTheme="minorHAnsi" w:cs="Calibri" w:hint="eastAsia"/>
          <w:b/>
          <w:bCs/>
          <w:rtl/>
        </w:rPr>
        <w:t>ויוסף</w:t>
      </w:r>
      <w:r w:rsidRPr="00F65307">
        <w:rPr>
          <w:rFonts w:asciiTheme="minorHAnsi" w:hAnsiTheme="minorHAnsi" w:cs="Calibri"/>
          <w:b/>
          <w:bCs/>
          <w:rtl/>
        </w:rPr>
        <w:t xml:space="preserve"> </w:t>
      </w:r>
      <w:r w:rsidRPr="00F65307">
        <w:rPr>
          <w:rFonts w:asciiTheme="minorHAnsi" w:hAnsiTheme="minorHAnsi" w:cs="Calibri" w:hint="eastAsia"/>
          <w:b/>
          <w:bCs/>
          <w:rtl/>
        </w:rPr>
        <w:t>מול</w:t>
      </w:r>
      <w:r w:rsidRPr="00F65307">
        <w:rPr>
          <w:rFonts w:asciiTheme="minorHAnsi" w:hAnsiTheme="minorHAnsi" w:cs="Calibri"/>
          <w:b/>
          <w:bCs/>
          <w:rtl/>
        </w:rPr>
        <w:t xml:space="preserve"> </w:t>
      </w:r>
      <w:r w:rsidRPr="00F65307">
        <w:rPr>
          <w:rFonts w:asciiTheme="minorHAnsi" w:hAnsiTheme="minorHAnsi" w:cs="Calibri" w:hint="eastAsia"/>
          <w:b/>
          <w:bCs/>
          <w:rtl/>
        </w:rPr>
        <w:t>האירו</w:t>
      </w:r>
      <w:r w:rsidRPr="00F65307">
        <w:rPr>
          <w:rFonts w:asciiTheme="minorHAnsi" w:hAnsiTheme="minorHAnsi" w:cs="Calibri"/>
          <w:b/>
          <w:bCs/>
          <w:rtl/>
        </w:rPr>
        <w:t xml:space="preserve"> </w:t>
      </w:r>
      <w:r w:rsidRPr="00F65307">
        <w:rPr>
          <w:rFonts w:asciiTheme="minorHAnsi" w:hAnsiTheme="minorHAnsi" w:cs="Calibri" w:hint="eastAsia"/>
          <w:b/>
          <w:bCs/>
          <w:rtl/>
        </w:rPr>
        <w:t>ב</w:t>
      </w:r>
      <w:r>
        <w:rPr>
          <w:rFonts w:asciiTheme="minorHAnsi" w:hAnsiTheme="minorHAnsi" w:cs="Calibri" w:hint="cs"/>
          <w:b/>
          <w:bCs/>
          <w:rtl/>
        </w:rPr>
        <w:t>-</w:t>
      </w:r>
      <w:r w:rsidRPr="00F65307">
        <w:rPr>
          <w:rFonts w:asciiTheme="minorHAnsi" w:hAnsiTheme="minorHAnsi" w:cs="Calibri"/>
          <w:b/>
          <w:bCs/>
          <w:rtl/>
        </w:rPr>
        <w:t xml:space="preserve">0.3%. במונחים נומינליים אפקטיביים </w:t>
      </w:r>
      <w:r w:rsidRPr="00F65307">
        <w:rPr>
          <w:rFonts w:asciiTheme="minorHAnsi" w:hAnsiTheme="minorHAnsi" w:cs="Calibri" w:hint="eastAsia"/>
          <w:b/>
          <w:bCs/>
          <w:rtl/>
        </w:rPr>
        <w:t>פוחת</w:t>
      </w:r>
      <w:r w:rsidRPr="00F65307">
        <w:rPr>
          <w:rFonts w:asciiTheme="minorHAnsi" w:hAnsiTheme="minorHAnsi" w:cs="Calibri"/>
          <w:b/>
          <w:bCs/>
          <w:rtl/>
        </w:rPr>
        <w:t xml:space="preserve"> השקל ב-2.2%.</w:t>
      </w:r>
    </w:p>
    <w:p w:rsidR="002047CF" w:rsidRDefault="002047CF" w:rsidP="002047CF">
      <w:pPr>
        <w:pStyle w:val="NormalWeb"/>
        <w:numPr>
          <w:ilvl w:val="0"/>
          <w:numId w:val="11"/>
        </w:numPr>
        <w:shd w:val="clear" w:color="auto" w:fill="FFFFFF"/>
        <w:bidi/>
        <w:spacing w:line="360" w:lineRule="auto"/>
        <w:jc w:val="both"/>
        <w:rPr>
          <w:rFonts w:asciiTheme="minorHAnsi" w:eastAsia="David" w:hAnsiTheme="minorHAnsi" w:cs="Calibri"/>
          <w:b/>
          <w:bCs/>
        </w:rPr>
      </w:pPr>
      <w:r w:rsidRPr="00F65307">
        <w:rPr>
          <w:rFonts w:asciiTheme="minorHAnsi" w:eastAsia="David" w:hAnsiTheme="minorHAnsi" w:cs="Calibri" w:hint="eastAsia"/>
          <w:b/>
          <w:bCs/>
          <w:rtl/>
        </w:rPr>
        <w:t>האינדיקטורים</w:t>
      </w:r>
      <w:r w:rsidRPr="00F65307">
        <w:rPr>
          <w:rFonts w:asciiTheme="minorHAnsi" w:eastAsia="David" w:hAnsiTheme="minorHAnsi" w:cs="Calibri"/>
          <w:b/>
          <w:bCs/>
          <w:rtl/>
        </w:rPr>
        <w:t xml:space="preserve"> השוטפים לפעילות הכלכלית מצביעים על </w:t>
      </w:r>
      <w:r w:rsidRPr="00F50B5A">
        <w:rPr>
          <w:rFonts w:asciiTheme="minorHAnsi" w:eastAsia="David" w:hAnsiTheme="minorHAnsi" w:cs="Calibri"/>
          <w:b/>
          <w:bCs/>
          <w:rtl/>
        </w:rPr>
        <w:t xml:space="preserve">המשך צמיחה לאחר </w:t>
      </w:r>
      <w:r>
        <w:rPr>
          <w:rFonts w:asciiTheme="minorHAnsi" w:eastAsia="David" w:hAnsiTheme="minorHAnsi" w:cs="Calibri" w:hint="cs"/>
          <w:b/>
          <w:bCs/>
          <w:rtl/>
        </w:rPr>
        <w:t>ה</w:t>
      </w:r>
      <w:r w:rsidRPr="00F50B5A">
        <w:rPr>
          <w:rFonts w:asciiTheme="minorHAnsi" w:eastAsia="David" w:hAnsiTheme="minorHAnsi" w:cs="Calibri" w:hint="eastAsia"/>
          <w:b/>
          <w:bCs/>
          <w:rtl/>
        </w:rPr>
        <w:t>התאוששות</w:t>
      </w:r>
      <w:r w:rsidRPr="00F50B5A">
        <w:rPr>
          <w:rFonts w:asciiTheme="minorHAnsi" w:eastAsia="David" w:hAnsiTheme="minorHAnsi" w:cs="Calibri"/>
          <w:b/>
          <w:bCs/>
          <w:rtl/>
        </w:rPr>
        <w:t xml:space="preserve"> </w:t>
      </w:r>
      <w:r>
        <w:rPr>
          <w:rFonts w:asciiTheme="minorHAnsi" w:eastAsia="David" w:hAnsiTheme="minorHAnsi" w:cs="Calibri" w:hint="cs"/>
          <w:b/>
          <w:bCs/>
          <w:rtl/>
        </w:rPr>
        <w:t>ה</w:t>
      </w:r>
      <w:r w:rsidRPr="00F50B5A">
        <w:rPr>
          <w:rFonts w:asciiTheme="minorHAnsi" w:eastAsia="David" w:hAnsiTheme="minorHAnsi" w:cs="Calibri" w:hint="eastAsia"/>
          <w:b/>
          <w:bCs/>
          <w:rtl/>
        </w:rPr>
        <w:t>מהירה</w:t>
      </w:r>
      <w:r w:rsidRPr="00F50B5A">
        <w:rPr>
          <w:rFonts w:asciiTheme="minorHAnsi" w:eastAsia="David" w:hAnsiTheme="minorHAnsi" w:cs="Calibri"/>
          <w:b/>
          <w:bCs/>
          <w:rtl/>
        </w:rPr>
        <w:t xml:space="preserve"> </w:t>
      </w:r>
      <w:r w:rsidRPr="00F50B5A">
        <w:rPr>
          <w:rFonts w:asciiTheme="minorHAnsi" w:eastAsia="David" w:hAnsiTheme="minorHAnsi" w:cs="Calibri" w:hint="eastAsia"/>
          <w:b/>
          <w:bCs/>
          <w:rtl/>
        </w:rPr>
        <w:t>ברביע</w:t>
      </w:r>
      <w:r w:rsidRPr="00F50B5A">
        <w:rPr>
          <w:rFonts w:asciiTheme="minorHAnsi" w:eastAsia="David" w:hAnsiTheme="minorHAnsi" w:cs="Calibri"/>
          <w:b/>
          <w:bCs/>
          <w:rtl/>
        </w:rPr>
        <w:t xml:space="preserve"> </w:t>
      </w:r>
      <w:r w:rsidRPr="00F50B5A">
        <w:rPr>
          <w:rFonts w:asciiTheme="minorHAnsi" w:eastAsia="David" w:hAnsiTheme="minorHAnsi" w:cs="Calibri" w:hint="eastAsia"/>
          <w:b/>
          <w:bCs/>
          <w:rtl/>
        </w:rPr>
        <w:t>השני</w:t>
      </w:r>
      <w:r w:rsidRPr="00F50B5A">
        <w:rPr>
          <w:rFonts w:asciiTheme="minorHAnsi" w:eastAsia="David" w:hAnsiTheme="minorHAnsi" w:cs="Calibri"/>
          <w:b/>
          <w:bCs/>
          <w:rtl/>
        </w:rPr>
        <w:t xml:space="preserve"> </w:t>
      </w:r>
      <w:r w:rsidRPr="00F50B5A">
        <w:rPr>
          <w:rFonts w:asciiTheme="minorHAnsi" w:eastAsia="David" w:hAnsiTheme="minorHAnsi" w:cs="Calibri" w:hint="eastAsia"/>
          <w:b/>
          <w:bCs/>
          <w:rtl/>
        </w:rPr>
        <w:t>מהשפעות</w:t>
      </w:r>
      <w:r w:rsidRPr="00F50B5A">
        <w:rPr>
          <w:rFonts w:asciiTheme="minorHAnsi" w:eastAsia="David" w:hAnsiTheme="minorHAnsi" w:cs="Calibri"/>
          <w:b/>
          <w:bCs/>
          <w:rtl/>
        </w:rPr>
        <w:t xml:space="preserve"> </w:t>
      </w:r>
      <w:r w:rsidRPr="00F50B5A">
        <w:rPr>
          <w:rFonts w:asciiTheme="minorHAnsi" w:eastAsia="David" w:hAnsiTheme="minorHAnsi" w:cs="Calibri" w:hint="eastAsia"/>
          <w:b/>
          <w:bCs/>
          <w:rtl/>
        </w:rPr>
        <w:t>מבצע</w:t>
      </w:r>
      <w:r w:rsidRPr="00F50B5A">
        <w:rPr>
          <w:rFonts w:asciiTheme="minorHAnsi" w:eastAsia="David" w:hAnsiTheme="minorHAnsi" w:cs="Calibri"/>
          <w:b/>
          <w:bCs/>
          <w:rtl/>
        </w:rPr>
        <w:t xml:space="preserve"> "שאגת </w:t>
      </w:r>
      <w:r w:rsidRPr="00F50B5A">
        <w:rPr>
          <w:rFonts w:asciiTheme="minorHAnsi" w:eastAsia="David" w:hAnsiTheme="minorHAnsi" w:cs="Calibri" w:hint="eastAsia"/>
          <w:b/>
          <w:bCs/>
          <w:rtl/>
        </w:rPr>
        <w:t>הארי</w:t>
      </w:r>
      <w:r w:rsidRPr="00F50B5A">
        <w:rPr>
          <w:rFonts w:asciiTheme="minorHAnsi" w:eastAsia="David" w:hAnsiTheme="minorHAnsi" w:cs="Calibri"/>
          <w:b/>
          <w:bCs/>
          <w:rtl/>
        </w:rPr>
        <w:t>"</w:t>
      </w:r>
      <w:r>
        <w:rPr>
          <w:rFonts w:asciiTheme="minorHAnsi" w:eastAsia="David" w:hAnsiTheme="minorHAnsi" w:cs="Calibri" w:hint="cs"/>
          <w:b/>
          <w:bCs/>
          <w:rtl/>
        </w:rPr>
        <w:t>.</w:t>
      </w:r>
    </w:p>
    <w:p w:rsidR="002047CF" w:rsidRDefault="002047CF" w:rsidP="002047CF">
      <w:pPr>
        <w:pStyle w:val="a9"/>
        <w:numPr>
          <w:ilvl w:val="0"/>
          <w:numId w:val="11"/>
        </w:numPr>
        <w:bidi/>
        <w:spacing w:after="0" w:line="360" w:lineRule="auto"/>
        <w:jc w:val="both"/>
        <w:rPr>
          <w:rFonts w:asciiTheme="minorHAnsi" w:hAnsiTheme="minorHAnsi" w:cs="Calibri"/>
          <w:b/>
          <w:bCs/>
        </w:rPr>
      </w:pPr>
      <w:r>
        <w:rPr>
          <w:rFonts w:asciiTheme="minorHAnsi" w:hAnsiTheme="minorHAnsi" w:cs="Calibri" w:hint="cs"/>
          <w:b/>
          <w:bCs/>
          <w:rtl/>
        </w:rPr>
        <w:t>על פי תחזית חטיבת המחקר</w:t>
      </w:r>
      <w:r w:rsidRPr="00AF0BA5">
        <w:rPr>
          <w:rFonts w:asciiTheme="minorHAnsi" w:hAnsiTheme="minorHAnsi" w:cs="Calibri"/>
          <w:b/>
          <w:bCs/>
          <w:rtl/>
        </w:rPr>
        <w:t xml:space="preserve"> התוצר צפוי לצמוח ב-</w:t>
      </w:r>
      <w:r w:rsidRPr="00AF0BA5">
        <w:rPr>
          <w:rFonts w:asciiTheme="minorHAnsi" w:hAnsiTheme="minorHAnsi" w:cs="Calibri" w:hint="cs"/>
          <w:b/>
          <w:bCs/>
          <w:rtl/>
        </w:rPr>
        <w:t>5.</w:t>
      </w:r>
      <w:r>
        <w:rPr>
          <w:rFonts w:asciiTheme="minorHAnsi" w:hAnsiTheme="minorHAnsi" w:cs="Calibri" w:hint="cs"/>
          <w:b/>
          <w:bCs/>
          <w:rtl/>
        </w:rPr>
        <w:t>6</w:t>
      </w:r>
      <w:r w:rsidRPr="00AF0BA5">
        <w:rPr>
          <w:rFonts w:asciiTheme="minorHAnsi" w:hAnsiTheme="minorHAnsi" w:cs="Calibri"/>
          <w:b/>
          <w:bCs/>
          <w:rtl/>
        </w:rPr>
        <w:t xml:space="preserve">% </w:t>
      </w:r>
      <w:r>
        <w:rPr>
          <w:rFonts w:asciiTheme="minorHAnsi" w:hAnsiTheme="minorHAnsi" w:cs="Calibri" w:hint="cs"/>
          <w:b/>
          <w:bCs/>
          <w:rtl/>
        </w:rPr>
        <w:t xml:space="preserve">וב-7.5% </w:t>
      </w:r>
      <w:r w:rsidRPr="00AF0BA5">
        <w:rPr>
          <w:rFonts w:asciiTheme="minorHAnsi" w:hAnsiTheme="minorHAnsi" w:cs="Calibri"/>
          <w:b/>
          <w:bCs/>
          <w:rtl/>
        </w:rPr>
        <w:t>בשנ</w:t>
      </w:r>
      <w:r>
        <w:rPr>
          <w:rFonts w:asciiTheme="minorHAnsi" w:hAnsiTheme="minorHAnsi" w:cs="Calibri" w:hint="cs"/>
          <w:b/>
          <w:bCs/>
          <w:rtl/>
        </w:rPr>
        <w:t>ים</w:t>
      </w:r>
      <w:r w:rsidRPr="00AF0BA5">
        <w:rPr>
          <w:rFonts w:asciiTheme="minorHAnsi" w:hAnsiTheme="minorHAnsi" w:cs="Calibri"/>
          <w:b/>
          <w:bCs/>
          <w:rtl/>
        </w:rPr>
        <w:t xml:space="preserve"> 2026 </w:t>
      </w:r>
      <w:r w:rsidRPr="00AF0BA5">
        <w:rPr>
          <w:rFonts w:asciiTheme="minorHAnsi" w:hAnsiTheme="minorHAnsi" w:cs="Calibri" w:hint="cs"/>
          <w:b/>
          <w:bCs/>
          <w:rtl/>
        </w:rPr>
        <w:t>ו</w:t>
      </w:r>
      <w:r>
        <w:rPr>
          <w:rFonts w:asciiTheme="minorHAnsi" w:hAnsiTheme="minorHAnsi" w:cs="Calibri" w:hint="cs"/>
          <w:b/>
          <w:bCs/>
          <w:rtl/>
        </w:rPr>
        <w:t>-</w:t>
      </w:r>
      <w:r w:rsidRPr="00AF0BA5">
        <w:rPr>
          <w:rFonts w:asciiTheme="minorHAnsi" w:hAnsiTheme="minorHAnsi" w:cs="Calibri"/>
          <w:b/>
          <w:bCs/>
          <w:rtl/>
        </w:rPr>
        <w:t>2027</w:t>
      </w:r>
      <w:r>
        <w:rPr>
          <w:rFonts w:asciiTheme="minorHAnsi" w:hAnsiTheme="minorHAnsi" w:cs="Calibri" w:hint="cs"/>
          <w:b/>
          <w:bCs/>
          <w:rtl/>
        </w:rPr>
        <w:t xml:space="preserve"> בהתאמה</w:t>
      </w:r>
      <w:r w:rsidRPr="00AF0BA5">
        <w:rPr>
          <w:rFonts w:asciiTheme="minorHAnsi" w:hAnsiTheme="minorHAnsi" w:cs="Calibri" w:hint="cs"/>
          <w:b/>
          <w:bCs/>
          <w:rtl/>
        </w:rPr>
        <w:t xml:space="preserve">. </w:t>
      </w:r>
      <w:r w:rsidRPr="00AF0BA5">
        <w:rPr>
          <w:rFonts w:asciiTheme="minorHAnsi" w:hAnsiTheme="minorHAnsi" w:cs="Calibri"/>
          <w:b/>
          <w:bCs/>
          <w:rtl/>
        </w:rPr>
        <w:t xml:space="preserve">עיקר העדכון משקף את התרומה הגדולה </w:t>
      </w:r>
      <w:r>
        <w:rPr>
          <w:rFonts w:asciiTheme="minorHAnsi" w:hAnsiTheme="minorHAnsi" w:cs="Calibri" w:hint="cs"/>
          <w:b/>
          <w:bCs/>
          <w:rtl/>
        </w:rPr>
        <w:t xml:space="preserve">הצפויה </w:t>
      </w:r>
      <w:r w:rsidRPr="00AF0BA5">
        <w:rPr>
          <w:rFonts w:asciiTheme="minorHAnsi" w:hAnsiTheme="minorHAnsi" w:cs="Calibri"/>
          <w:b/>
          <w:bCs/>
          <w:rtl/>
        </w:rPr>
        <w:t>של הייצור בחו״ל</w:t>
      </w:r>
      <w:r w:rsidRPr="00AF0BA5">
        <w:rPr>
          <w:rFonts w:asciiTheme="minorHAnsi" w:hAnsiTheme="minorHAnsi" w:cs="Calibri" w:hint="cs"/>
          <w:b/>
          <w:bCs/>
          <w:rtl/>
        </w:rPr>
        <w:t xml:space="preserve"> של חברות ישראליות</w:t>
      </w:r>
      <w:r w:rsidRPr="00AF0BA5">
        <w:rPr>
          <w:rFonts w:asciiTheme="minorHAnsi" w:hAnsiTheme="minorHAnsi" w:cs="Calibri"/>
          <w:b/>
          <w:bCs/>
          <w:rtl/>
        </w:rPr>
        <w:t>. התחזית לתוצר ללא ייצור בחו״ל</w:t>
      </w:r>
      <w:r w:rsidRPr="00AF0BA5">
        <w:rPr>
          <w:rFonts w:asciiTheme="minorHAnsi" w:hAnsiTheme="minorHAnsi" w:cs="Calibri" w:hint="cs"/>
          <w:b/>
          <w:bCs/>
          <w:rtl/>
        </w:rPr>
        <w:t>,</w:t>
      </w:r>
      <w:r w:rsidRPr="00AF0BA5">
        <w:rPr>
          <w:rFonts w:asciiTheme="minorHAnsi" w:hAnsiTheme="minorHAnsi" w:cs="Calibri"/>
          <w:b/>
          <w:bCs/>
          <w:rtl/>
        </w:rPr>
        <w:t xml:space="preserve"> </w:t>
      </w:r>
      <w:r w:rsidRPr="00AF0BA5">
        <w:rPr>
          <w:rFonts w:asciiTheme="minorHAnsi" w:hAnsiTheme="minorHAnsi" w:cs="Calibri" w:hint="cs"/>
          <w:b/>
          <w:bCs/>
          <w:rtl/>
        </w:rPr>
        <w:t xml:space="preserve">המשקף טוב יותר את הפעילות המקומית של הכלכלה הישראלית, </w:t>
      </w:r>
      <w:r w:rsidRPr="00AF0BA5">
        <w:rPr>
          <w:rFonts w:asciiTheme="minorHAnsi" w:hAnsiTheme="minorHAnsi" w:cs="Calibri"/>
          <w:b/>
          <w:bCs/>
          <w:rtl/>
        </w:rPr>
        <w:t>עומדת על 3.</w:t>
      </w:r>
      <w:r w:rsidRPr="00AF0BA5">
        <w:rPr>
          <w:rFonts w:asciiTheme="minorHAnsi" w:hAnsiTheme="minorHAnsi" w:cs="Calibri" w:hint="cs"/>
          <w:b/>
          <w:bCs/>
          <w:rtl/>
        </w:rPr>
        <w:t>4</w:t>
      </w:r>
      <w:r w:rsidRPr="00AF0BA5">
        <w:rPr>
          <w:rFonts w:asciiTheme="minorHAnsi" w:hAnsiTheme="minorHAnsi" w:cs="Calibri"/>
          <w:b/>
          <w:bCs/>
          <w:rtl/>
        </w:rPr>
        <w:t xml:space="preserve"> אחוזים בשנת 2026 ועל 5.1 אחוזים בשנת 2027.</w:t>
      </w:r>
      <w:r w:rsidRPr="00AF0BA5">
        <w:rPr>
          <w:rFonts w:asciiTheme="minorHAnsi" w:hAnsiTheme="minorHAnsi" w:cs="Calibri" w:hint="cs"/>
          <w:b/>
          <w:bCs/>
          <w:rtl/>
        </w:rPr>
        <w:t xml:space="preserve"> </w:t>
      </w:r>
    </w:p>
    <w:p w:rsidR="002047CF" w:rsidRDefault="002047CF" w:rsidP="002047CF">
      <w:pPr>
        <w:pStyle w:val="a9"/>
        <w:numPr>
          <w:ilvl w:val="0"/>
          <w:numId w:val="11"/>
        </w:numPr>
        <w:bidi/>
        <w:spacing w:after="0" w:line="360" w:lineRule="auto"/>
        <w:jc w:val="both"/>
        <w:rPr>
          <w:rFonts w:asciiTheme="minorHAnsi" w:hAnsiTheme="minorHAnsi" w:cs="Calibri"/>
          <w:b/>
          <w:bCs/>
        </w:rPr>
      </w:pPr>
      <w:r w:rsidRPr="009D10C2">
        <w:rPr>
          <w:rFonts w:asciiTheme="minorHAnsi" w:hAnsiTheme="minorHAnsi" w:cs="Calibri"/>
          <w:b/>
          <w:bCs/>
          <w:rtl/>
        </w:rPr>
        <w:t xml:space="preserve">שוק העבודה מוסיף להיות הדוק </w:t>
      </w:r>
      <w:r>
        <w:rPr>
          <w:rFonts w:asciiTheme="minorHAnsi" w:hAnsiTheme="minorHAnsi" w:cs="Calibri" w:hint="cs"/>
          <w:b/>
          <w:bCs/>
          <w:rtl/>
        </w:rPr>
        <w:t>ו</w:t>
      </w:r>
      <w:r w:rsidRPr="009D10C2">
        <w:rPr>
          <w:rFonts w:asciiTheme="minorHAnsi" w:hAnsiTheme="minorHAnsi" w:cs="Calibri"/>
          <w:b/>
          <w:bCs/>
          <w:rtl/>
        </w:rPr>
        <w:t>מגבלת היצע העבודה עדיין משמעותית.</w:t>
      </w:r>
      <w:r w:rsidRPr="009D10C2">
        <w:rPr>
          <w:rtl/>
        </w:rPr>
        <w:t xml:space="preserve"> </w:t>
      </w:r>
      <w:r w:rsidRPr="009D10C2">
        <w:rPr>
          <w:rFonts w:asciiTheme="minorHAnsi" w:hAnsiTheme="minorHAnsi" w:cs="Calibri"/>
          <w:b/>
          <w:bCs/>
          <w:rtl/>
        </w:rPr>
        <w:t>קצב עליית השכר הנומינלי במשק בחודשים יוני-אוגוסט התמתן לאחר האצה בשל גורמים זמניים, ועמד על 4.3% לעומת התקופה המקבילה אשתקד</w:t>
      </w:r>
      <w:r>
        <w:rPr>
          <w:rFonts w:asciiTheme="minorHAnsi" w:hAnsiTheme="minorHAnsi" w:cs="Calibri" w:hint="cs"/>
          <w:b/>
          <w:bCs/>
          <w:rtl/>
        </w:rPr>
        <w:t>.</w:t>
      </w:r>
      <w:r w:rsidRPr="009D10C2">
        <w:rPr>
          <w:rtl/>
        </w:rPr>
        <w:t xml:space="preserve"> </w:t>
      </w:r>
    </w:p>
    <w:p w:rsidR="002047CF" w:rsidRDefault="002047CF" w:rsidP="002047CF">
      <w:pPr>
        <w:pStyle w:val="a9"/>
        <w:numPr>
          <w:ilvl w:val="0"/>
          <w:numId w:val="11"/>
        </w:numPr>
        <w:bidi/>
        <w:spacing w:after="0" w:line="360" w:lineRule="auto"/>
        <w:jc w:val="both"/>
        <w:rPr>
          <w:rFonts w:asciiTheme="minorHAnsi" w:hAnsiTheme="minorHAnsi" w:cs="Calibri"/>
          <w:b/>
          <w:bCs/>
        </w:rPr>
      </w:pPr>
      <w:r w:rsidRPr="009D10C2">
        <w:rPr>
          <w:rFonts w:asciiTheme="minorHAnsi" w:hAnsiTheme="minorHAnsi" w:cs="Calibri"/>
          <w:b/>
          <w:bCs/>
          <w:rtl/>
        </w:rPr>
        <w:t>בחודשים יולי-אוגוסט ירדו מחירי הדירות ב-0.6%, ובמונחים שנתיים ירדו מחירי הדירות ב-1.8%</w:t>
      </w:r>
      <w:r w:rsidRPr="009D10C2">
        <w:rPr>
          <w:rFonts w:asciiTheme="minorHAnsi" w:hAnsiTheme="minorHAnsi" w:cs="Calibri" w:hint="cs"/>
          <w:b/>
          <w:bCs/>
          <w:rtl/>
        </w:rPr>
        <w:t xml:space="preserve">. </w:t>
      </w:r>
      <w:r w:rsidRPr="009D10C2">
        <w:rPr>
          <w:rFonts w:asciiTheme="minorHAnsi" w:hAnsiTheme="minorHAnsi" w:cs="Calibri"/>
          <w:b/>
          <w:bCs/>
          <w:rtl/>
        </w:rPr>
        <w:t xml:space="preserve">קצב העלייה השנתי בסעיף הדיור במדד המחירים לצרכן נותר ללא שינוי ועמד בספטמבר על 3.8%. </w:t>
      </w:r>
    </w:p>
    <w:p w:rsidR="002047CF" w:rsidRPr="009D10C2" w:rsidRDefault="002047CF" w:rsidP="002047CF">
      <w:pPr>
        <w:pStyle w:val="a9"/>
        <w:bidi/>
        <w:spacing w:after="0" w:line="360" w:lineRule="auto"/>
        <w:jc w:val="both"/>
        <w:rPr>
          <w:rFonts w:asciiTheme="minorHAnsi" w:hAnsiTheme="minorHAnsi" w:cs="Calibri"/>
          <w:b/>
          <w:bCs/>
          <w:rtl/>
        </w:rPr>
      </w:pPr>
    </w:p>
    <w:p w:rsidR="002047CF" w:rsidRPr="00AF0BA5" w:rsidRDefault="002047CF" w:rsidP="002047CF">
      <w:pPr>
        <w:pStyle w:val="NormalWeb"/>
        <w:shd w:val="clear" w:color="auto" w:fill="FFFFFF"/>
        <w:bidi/>
        <w:spacing w:before="0" w:beforeAutospacing="0" w:line="360" w:lineRule="auto"/>
        <w:jc w:val="both"/>
        <w:rPr>
          <w:rFonts w:asciiTheme="minorHAnsi" w:eastAsia="David" w:hAnsiTheme="minorHAnsi" w:cs="Calibri"/>
        </w:rPr>
      </w:pPr>
      <w:r w:rsidRPr="00AF0BA5">
        <w:rPr>
          <w:rFonts w:asciiTheme="minorHAnsi" w:eastAsia="David" w:hAnsiTheme="minorHAnsi" w:cs="Calibri"/>
          <w:b/>
          <w:bCs/>
          <w:rtl/>
        </w:rPr>
        <w:t>מדיניות הוועדה המוניטרית מתמקדת ביציבות מחירים, תמיכה בפעילות הכלכלית ויציבות השווקים. תוואי הריבית ייקבע בהתאם להתפתחות האינפלציה, לפעילות המשק, לאי הוודאות הגיאופוליטית ולהתפתחויות הפיסקליות</w:t>
      </w:r>
      <w:r w:rsidRPr="00AF0BA5">
        <w:rPr>
          <w:rFonts w:asciiTheme="minorHAnsi" w:eastAsia="David" w:hAnsiTheme="minorHAnsi" w:cs="Calibri"/>
          <w:b/>
          <w:bCs/>
        </w:rPr>
        <w:t>.</w:t>
      </w:r>
    </w:p>
    <w:p w:rsidR="002047CF" w:rsidRPr="00AF0BA5" w:rsidRDefault="002047CF" w:rsidP="002047CF">
      <w:pPr>
        <w:bidi/>
        <w:spacing w:after="0" w:line="360" w:lineRule="auto"/>
        <w:jc w:val="both"/>
        <w:rPr>
          <w:rFonts w:asciiTheme="minorHAnsi" w:hAnsiTheme="minorHAnsi" w:cs="Calibri"/>
          <w:rtl/>
        </w:rPr>
      </w:pPr>
    </w:p>
    <w:p w:rsidR="002047CF" w:rsidRPr="00753380" w:rsidRDefault="002047CF" w:rsidP="002047CF">
      <w:pPr>
        <w:bidi/>
        <w:spacing w:after="0" w:line="360" w:lineRule="auto"/>
        <w:jc w:val="both"/>
        <w:rPr>
          <w:rFonts w:asciiTheme="minorHAnsi" w:hAnsiTheme="minorHAnsi" w:cs="Calibri"/>
          <w:rtl/>
        </w:rPr>
      </w:pPr>
      <w:r w:rsidRPr="00AF0BA5">
        <w:rPr>
          <w:rFonts w:asciiTheme="minorHAnsi" w:hAnsiTheme="minorHAnsi" w:cs="Calibri"/>
          <w:rtl/>
        </w:rPr>
        <w:t>ב</w:t>
      </w:r>
      <w:r w:rsidRPr="00AF0BA5">
        <w:rPr>
          <w:rFonts w:asciiTheme="minorHAnsi" w:hAnsiTheme="minorHAnsi" w:cs="Calibri" w:hint="cs"/>
          <w:rtl/>
        </w:rPr>
        <w:t>סיום ה</w:t>
      </w:r>
      <w:r w:rsidRPr="00AF0BA5">
        <w:rPr>
          <w:rFonts w:asciiTheme="minorHAnsi" w:hAnsiTheme="minorHAnsi" w:cs="Calibri"/>
          <w:rtl/>
        </w:rPr>
        <w:t xml:space="preserve">תקופה הנסקרת האינפלציה </w:t>
      </w:r>
      <w:r w:rsidRPr="00AF0BA5">
        <w:rPr>
          <w:rFonts w:asciiTheme="minorHAnsi" w:hAnsiTheme="minorHAnsi" w:cs="Calibri" w:hint="cs"/>
          <w:rtl/>
        </w:rPr>
        <w:t xml:space="preserve">שוהה מעט </w:t>
      </w:r>
      <w:r w:rsidRPr="00AF0BA5">
        <w:rPr>
          <w:rFonts w:asciiTheme="minorHAnsi" w:hAnsiTheme="minorHAnsi" w:cs="Calibri"/>
          <w:rtl/>
        </w:rPr>
        <w:t xml:space="preserve">מתחת למרכז תחום היעד. </w:t>
      </w:r>
      <w:r>
        <w:rPr>
          <w:rFonts w:cs="Calibri" w:hint="cs"/>
          <w:rtl/>
        </w:rPr>
        <w:t>ה</w:t>
      </w:r>
      <w:r w:rsidRPr="00AF0BA5">
        <w:rPr>
          <w:rFonts w:cs="Calibri" w:hint="cs"/>
          <w:rtl/>
        </w:rPr>
        <w:t xml:space="preserve">פעילות הכלכלית </w:t>
      </w:r>
      <w:r>
        <w:rPr>
          <w:rFonts w:cs="Calibri" w:hint="cs"/>
          <w:rtl/>
        </w:rPr>
        <w:t>במשק</w:t>
      </w:r>
      <w:r w:rsidRPr="00AF0BA5">
        <w:rPr>
          <w:rFonts w:cs="Calibri" w:hint="cs"/>
          <w:rtl/>
        </w:rPr>
        <w:t xml:space="preserve"> </w:t>
      </w:r>
      <w:r>
        <w:rPr>
          <w:rFonts w:cs="Calibri" w:hint="cs"/>
          <w:rtl/>
        </w:rPr>
        <w:t>ממשיכה</w:t>
      </w:r>
      <w:r w:rsidRPr="00AF0BA5">
        <w:rPr>
          <w:rFonts w:cs="Calibri" w:hint="cs"/>
          <w:rtl/>
        </w:rPr>
        <w:t xml:space="preserve"> </w:t>
      </w:r>
      <w:r>
        <w:rPr>
          <w:rFonts w:cs="Calibri" w:hint="cs"/>
          <w:rtl/>
        </w:rPr>
        <w:t>לצמוח</w:t>
      </w:r>
      <w:r w:rsidRPr="00AF0BA5">
        <w:rPr>
          <w:rFonts w:cs="Calibri" w:hint="cs"/>
          <w:rtl/>
        </w:rPr>
        <w:t xml:space="preserve"> לאחר </w:t>
      </w:r>
      <w:r>
        <w:rPr>
          <w:rFonts w:cs="Calibri" w:hint="cs"/>
          <w:rtl/>
        </w:rPr>
        <w:t>ה</w:t>
      </w:r>
      <w:r w:rsidRPr="00AF0BA5">
        <w:rPr>
          <w:rFonts w:cs="Calibri" w:hint="cs"/>
          <w:rtl/>
        </w:rPr>
        <w:t xml:space="preserve">התאוששות </w:t>
      </w:r>
      <w:r>
        <w:rPr>
          <w:rFonts w:cs="Calibri" w:hint="cs"/>
          <w:rtl/>
        </w:rPr>
        <w:t>ה</w:t>
      </w:r>
      <w:r w:rsidRPr="00AF0BA5">
        <w:rPr>
          <w:rFonts w:cs="Calibri" w:hint="cs"/>
          <w:rtl/>
        </w:rPr>
        <w:t>מהירה ברביע השני מהשפעות מבצע "שאגת הארי"</w:t>
      </w:r>
      <w:r>
        <w:rPr>
          <w:rFonts w:cs="Calibri" w:hint="cs"/>
          <w:rtl/>
        </w:rPr>
        <w:t>.</w:t>
      </w:r>
      <w:r w:rsidRPr="00AF0BA5">
        <w:rPr>
          <w:rFonts w:asciiTheme="minorHAnsi" w:hAnsiTheme="minorHAnsi" w:cs="Calibri"/>
          <w:rtl/>
        </w:rPr>
        <w:t xml:space="preserve"> </w:t>
      </w:r>
      <w:proofErr w:type="spellStart"/>
      <w:r w:rsidRPr="00AF0BA5">
        <w:rPr>
          <w:rFonts w:asciiTheme="minorHAnsi" w:hAnsiTheme="minorHAnsi" w:cs="Calibri"/>
          <w:rtl/>
        </w:rPr>
        <w:t>אי־הוודאות</w:t>
      </w:r>
      <w:proofErr w:type="spellEnd"/>
      <w:r w:rsidRPr="00AF0BA5">
        <w:rPr>
          <w:rFonts w:asciiTheme="minorHAnsi" w:hAnsiTheme="minorHAnsi" w:cs="Calibri"/>
          <w:rtl/>
        </w:rPr>
        <w:t xml:space="preserve"> נותרה גבוהה על רקע </w:t>
      </w:r>
      <w:r w:rsidRPr="00AF0BA5">
        <w:rPr>
          <w:rFonts w:asciiTheme="minorHAnsi" w:hAnsiTheme="minorHAnsi" w:cs="Calibri"/>
          <w:rtl/>
        </w:rPr>
        <w:lastRenderedPageBreak/>
        <w:t xml:space="preserve">המשך המתיחות הגיאופוליטית, אך עם זאת, </w:t>
      </w:r>
      <w:r w:rsidRPr="00AF0BA5">
        <w:rPr>
          <w:rFonts w:asciiTheme="minorHAnsi" w:hAnsiTheme="minorHAnsi" w:cs="Calibri" w:hint="cs"/>
          <w:rtl/>
        </w:rPr>
        <w:t xml:space="preserve">בתקופה הנסקרת </w:t>
      </w:r>
      <w:r w:rsidRPr="00AF0BA5">
        <w:rPr>
          <w:rFonts w:asciiTheme="minorHAnsi" w:hAnsiTheme="minorHAnsi" w:cs="Calibri"/>
          <w:rtl/>
        </w:rPr>
        <w:t xml:space="preserve">פרמיית הסיכון של ישראל </w:t>
      </w:r>
      <w:r w:rsidRPr="00AF0BA5">
        <w:rPr>
          <w:rFonts w:asciiTheme="minorHAnsi" w:hAnsiTheme="minorHAnsi" w:cs="Calibri" w:hint="cs"/>
          <w:rtl/>
        </w:rPr>
        <w:t xml:space="preserve">המשיכה לשהות </w:t>
      </w:r>
      <w:r w:rsidRPr="00AF0BA5">
        <w:rPr>
          <w:rFonts w:asciiTheme="minorHAnsi" w:hAnsiTheme="minorHAnsi" w:cs="Calibri"/>
          <w:rtl/>
        </w:rPr>
        <w:t>ברמות הדומות לאלו ששררו טרם השבעה באוקטובר</w:t>
      </w:r>
      <w:r w:rsidRPr="00AF0BA5">
        <w:rPr>
          <w:rFonts w:asciiTheme="minorHAnsi" w:hAnsiTheme="minorHAnsi" w:cs="Calibri"/>
        </w:rPr>
        <w:t>,</w:t>
      </w:r>
      <w:r w:rsidRPr="00AF0BA5">
        <w:rPr>
          <w:rFonts w:asciiTheme="minorHAnsi" w:hAnsiTheme="minorHAnsi" w:cs="Calibri" w:hint="cs"/>
          <w:rtl/>
        </w:rPr>
        <w:t xml:space="preserve"> בעוד </w:t>
      </w:r>
      <w:proofErr w:type="spellStart"/>
      <w:r w:rsidRPr="00AF0BA5">
        <w:rPr>
          <w:rFonts w:asciiTheme="minorHAnsi" w:hAnsiTheme="minorHAnsi" w:cs="Calibri" w:hint="cs"/>
          <w:rtl/>
        </w:rPr>
        <w:t>ששע</w:t>
      </w:r>
      <w:proofErr w:type="spellEnd"/>
      <w:r w:rsidRPr="00AF0BA5">
        <w:rPr>
          <w:rFonts w:asciiTheme="minorHAnsi" w:hAnsiTheme="minorHAnsi" w:cs="Calibri"/>
        </w:rPr>
        <w:t>"</w:t>
      </w:r>
      <w:r w:rsidRPr="00AF0BA5">
        <w:rPr>
          <w:rFonts w:asciiTheme="minorHAnsi" w:hAnsiTheme="minorHAnsi" w:cs="Calibri" w:hint="cs"/>
          <w:rtl/>
        </w:rPr>
        <w:t>ח פוחת.</w:t>
      </w:r>
      <w:r>
        <w:rPr>
          <w:rFonts w:asciiTheme="minorHAnsi" w:hAnsiTheme="minorHAnsi" w:cs="Calibri" w:hint="cs"/>
          <w:rtl/>
        </w:rPr>
        <w:t xml:space="preserve"> </w:t>
      </w:r>
      <w:r w:rsidRPr="00096A22">
        <w:rPr>
          <w:rFonts w:asciiTheme="minorHAnsi" w:hAnsiTheme="minorHAnsi" w:cs="Calibri"/>
          <w:rtl/>
        </w:rPr>
        <w:t>בעולם, נרשמה עלייה בלחצי האינפלציה,</w:t>
      </w:r>
      <w:r>
        <w:rPr>
          <w:rFonts w:asciiTheme="minorHAnsi" w:hAnsiTheme="minorHAnsi" w:cs="Calibri"/>
          <w:rtl/>
        </w:rPr>
        <w:t xml:space="preserve"> על רקע התייקרות מחירי האנרגיה</w:t>
      </w:r>
      <w:r>
        <w:rPr>
          <w:rFonts w:asciiTheme="minorHAnsi" w:hAnsiTheme="minorHAnsi" w:cs="Calibri" w:hint="cs"/>
          <w:rtl/>
        </w:rPr>
        <w:t xml:space="preserve"> ו</w:t>
      </w:r>
      <w:r w:rsidRPr="00096A22">
        <w:rPr>
          <w:rFonts w:asciiTheme="minorHAnsi" w:hAnsiTheme="minorHAnsi" w:cs="Calibri"/>
          <w:rtl/>
        </w:rPr>
        <w:t xml:space="preserve">שיבושים </w:t>
      </w:r>
      <w:r>
        <w:rPr>
          <w:rFonts w:asciiTheme="minorHAnsi" w:hAnsiTheme="minorHAnsi" w:cs="Calibri" w:hint="cs"/>
          <w:rtl/>
        </w:rPr>
        <w:t>בשרשראות האספקה</w:t>
      </w:r>
      <w:r w:rsidRPr="00096A22">
        <w:rPr>
          <w:rFonts w:asciiTheme="minorHAnsi" w:hAnsiTheme="minorHAnsi" w:cs="Calibri"/>
          <w:rtl/>
        </w:rPr>
        <w:t>.</w:t>
      </w:r>
    </w:p>
    <w:p w:rsidR="002047CF" w:rsidRPr="00AF0BA5" w:rsidRDefault="002047CF" w:rsidP="002047CF">
      <w:pPr>
        <w:bidi/>
        <w:spacing w:after="0" w:line="360" w:lineRule="auto"/>
        <w:jc w:val="both"/>
        <w:rPr>
          <w:rFonts w:asciiTheme="minorHAnsi" w:hAnsiTheme="minorHAnsi" w:cs="Calibri"/>
          <w:rtl/>
        </w:rPr>
      </w:pPr>
    </w:p>
    <w:p w:rsidR="002047CF" w:rsidRPr="00AF0BA5" w:rsidRDefault="002047CF" w:rsidP="002047CF">
      <w:pPr>
        <w:bidi/>
        <w:spacing w:after="0" w:line="360" w:lineRule="auto"/>
        <w:jc w:val="both"/>
        <w:rPr>
          <w:rFonts w:asciiTheme="minorHAnsi" w:hAnsiTheme="minorHAnsi" w:cs="Calibri"/>
          <w:rtl/>
        </w:rPr>
      </w:pPr>
    </w:p>
    <w:p w:rsidR="002047CF" w:rsidRPr="00AF0BA5" w:rsidRDefault="002047CF" w:rsidP="002047CF">
      <w:pPr>
        <w:bidi/>
        <w:spacing w:after="0" w:line="360" w:lineRule="auto"/>
        <w:jc w:val="both"/>
        <w:rPr>
          <w:rFonts w:asciiTheme="minorHAnsi" w:hAnsiTheme="minorHAnsi" w:cs="Calibri"/>
          <w:rtl/>
        </w:rPr>
      </w:pPr>
      <w:r w:rsidRPr="00AF0BA5">
        <w:rPr>
          <w:rFonts w:asciiTheme="minorHAnsi" w:hAnsiTheme="minorHAnsi" w:cs="Calibri" w:hint="cs"/>
          <w:rtl/>
        </w:rPr>
        <w:t xml:space="preserve">מדד </w:t>
      </w:r>
      <w:r w:rsidRPr="00AF0BA5">
        <w:rPr>
          <w:rFonts w:asciiTheme="minorHAnsi" w:hAnsiTheme="minorHAnsi" w:cs="Calibri"/>
          <w:rtl/>
        </w:rPr>
        <w:t xml:space="preserve">מחירים לצרכן </w:t>
      </w:r>
      <w:r w:rsidRPr="00AF0BA5">
        <w:rPr>
          <w:rFonts w:asciiTheme="minorHAnsi" w:hAnsiTheme="minorHAnsi" w:cs="Calibri" w:hint="cs"/>
          <w:rtl/>
        </w:rPr>
        <w:t>עלה</w:t>
      </w:r>
      <w:r w:rsidRPr="00AF0BA5">
        <w:rPr>
          <w:rFonts w:asciiTheme="minorHAnsi" w:hAnsiTheme="minorHAnsi" w:cs="Calibri"/>
          <w:rtl/>
        </w:rPr>
        <w:t xml:space="preserve"> בחודש </w:t>
      </w:r>
      <w:r w:rsidRPr="00AF0BA5">
        <w:rPr>
          <w:rFonts w:asciiTheme="minorHAnsi" w:hAnsiTheme="minorHAnsi" w:cs="Calibri" w:hint="cs"/>
          <w:rtl/>
        </w:rPr>
        <w:t>אוגוסט ב-0.7% ו</w:t>
      </w:r>
      <w:r w:rsidRPr="00AF0BA5">
        <w:rPr>
          <w:rFonts w:asciiTheme="minorHAnsi" w:hAnsiTheme="minorHAnsi" w:cs="Calibri"/>
          <w:rtl/>
        </w:rPr>
        <w:t xml:space="preserve">בחודש </w:t>
      </w:r>
      <w:r w:rsidRPr="00AF0BA5">
        <w:rPr>
          <w:rFonts w:asciiTheme="minorHAnsi" w:hAnsiTheme="minorHAnsi" w:cs="Calibri" w:hint="cs"/>
          <w:rtl/>
        </w:rPr>
        <w:t xml:space="preserve">ספטמבר ירד </w:t>
      </w:r>
      <w:r w:rsidRPr="00AF0BA5">
        <w:rPr>
          <w:rFonts w:asciiTheme="minorHAnsi" w:hAnsiTheme="minorHAnsi" w:cs="Calibri"/>
          <w:rtl/>
        </w:rPr>
        <w:t>ב-</w:t>
      </w:r>
      <w:r w:rsidRPr="00AF0BA5">
        <w:rPr>
          <w:rFonts w:asciiTheme="minorHAnsi" w:hAnsiTheme="minorHAnsi" w:cs="Calibri" w:hint="cs"/>
          <w:rtl/>
        </w:rPr>
        <w:t>0.5%</w:t>
      </w:r>
      <w:r w:rsidRPr="00AF0BA5">
        <w:rPr>
          <w:rFonts w:asciiTheme="minorHAnsi" w:hAnsiTheme="minorHAnsi" w:cstheme="minorHAnsi" w:hint="cs"/>
          <w:rtl/>
        </w:rPr>
        <w:t xml:space="preserve">. </w:t>
      </w:r>
      <w:r w:rsidRPr="00AF0BA5">
        <w:rPr>
          <w:rFonts w:asciiTheme="minorHAnsi" w:hAnsiTheme="minorHAnsi" w:cs="Calibri"/>
          <w:rtl/>
        </w:rPr>
        <w:t xml:space="preserve">האינפלציה בשנים-עשר החודשים האחרונים </w:t>
      </w:r>
      <w:r w:rsidRPr="00AF0BA5">
        <w:rPr>
          <w:rFonts w:asciiTheme="minorHAnsi" w:hAnsiTheme="minorHAnsi" w:cs="Calibri" w:hint="cs"/>
          <w:rtl/>
        </w:rPr>
        <w:t>עמדה בחודש ספטמבר על 1.6%</w:t>
      </w:r>
      <w:r>
        <w:rPr>
          <w:rFonts w:asciiTheme="minorHAnsi" w:hAnsiTheme="minorHAnsi" w:cs="Calibri" w:hint="cs"/>
          <w:rtl/>
        </w:rPr>
        <w:t xml:space="preserve"> </w:t>
      </w:r>
      <w:r w:rsidRPr="00AF0BA5">
        <w:rPr>
          <w:rFonts w:ascii="Calibri" w:eastAsiaTheme="minorHAnsi" w:hAnsi="Calibri" w:cs="Calibri"/>
          <w:b/>
          <w:bCs/>
          <w:color w:val="000000" w:themeColor="text1"/>
        </w:rPr>
        <w:t>)</w:t>
      </w:r>
      <w:r w:rsidRPr="00AF0BA5">
        <w:rPr>
          <w:rFonts w:asciiTheme="minorHAnsi" w:hAnsiTheme="minorHAnsi" w:cs="Calibri" w:hint="cs"/>
          <w:b/>
          <w:bCs/>
          <w:color w:val="000000" w:themeColor="text1"/>
          <w:rtl/>
        </w:rPr>
        <w:t>א</w:t>
      </w:r>
      <w:r w:rsidRPr="00AF0BA5">
        <w:rPr>
          <w:rFonts w:asciiTheme="minorHAnsi" w:hAnsiTheme="minorHAnsi" w:cs="Calibri"/>
          <w:b/>
          <w:bCs/>
          <w:color w:val="000000" w:themeColor="text1"/>
          <w:rtl/>
        </w:rPr>
        <w:t>יור 1).</w:t>
      </w:r>
      <w:r w:rsidRPr="00AF0BA5">
        <w:rPr>
          <w:rFonts w:asciiTheme="minorHAnsi" w:hAnsiTheme="minorHAnsi" w:cs="Calibri"/>
          <w:color w:val="000000" w:themeColor="text1"/>
          <w:rtl/>
        </w:rPr>
        <w:t xml:space="preserve"> </w:t>
      </w:r>
      <w:r w:rsidRPr="00AF0BA5">
        <w:rPr>
          <w:rFonts w:asciiTheme="minorHAnsi" w:hAnsiTheme="minorHAnsi" w:cs="Calibri" w:hint="cs"/>
          <w:color w:val="000000" w:themeColor="text1"/>
          <w:rtl/>
        </w:rPr>
        <w:t>ה</w:t>
      </w:r>
      <w:r w:rsidRPr="00AF0BA5">
        <w:rPr>
          <w:rFonts w:asciiTheme="minorHAnsi" w:hAnsiTheme="minorHAnsi" w:cs="Calibri"/>
          <w:color w:val="000000" w:themeColor="text1"/>
          <w:rtl/>
        </w:rPr>
        <w:t xml:space="preserve">אינפלציה </w:t>
      </w:r>
      <w:r w:rsidRPr="00AF0BA5">
        <w:rPr>
          <w:rFonts w:asciiTheme="minorHAnsi" w:hAnsiTheme="minorHAnsi" w:cs="Calibri" w:hint="cs"/>
          <w:color w:val="000000" w:themeColor="text1"/>
          <w:rtl/>
        </w:rPr>
        <w:t xml:space="preserve">השנתית </w:t>
      </w:r>
      <w:r w:rsidRPr="00AF0BA5">
        <w:rPr>
          <w:rFonts w:asciiTheme="minorHAnsi" w:hAnsiTheme="minorHAnsi" w:cs="Calibri"/>
          <w:color w:val="000000" w:themeColor="text1"/>
          <w:rtl/>
        </w:rPr>
        <w:t xml:space="preserve">בניכוי אנרגיה </w:t>
      </w:r>
      <w:proofErr w:type="spellStart"/>
      <w:r w:rsidRPr="00AF0BA5">
        <w:rPr>
          <w:rFonts w:asciiTheme="minorHAnsi" w:hAnsiTheme="minorHAnsi" w:cs="Calibri" w:hint="cs"/>
          <w:color w:val="000000" w:themeColor="text1"/>
          <w:rtl/>
        </w:rPr>
        <w:t>ו</w:t>
      </w:r>
      <w:r w:rsidRPr="00AF0BA5">
        <w:rPr>
          <w:rFonts w:asciiTheme="minorHAnsi" w:hAnsiTheme="minorHAnsi" w:cs="Calibri"/>
          <w:color w:val="000000" w:themeColor="text1"/>
          <w:rtl/>
        </w:rPr>
        <w:t>פו"י</w:t>
      </w:r>
      <w:proofErr w:type="spellEnd"/>
      <w:r w:rsidRPr="00AF0BA5">
        <w:rPr>
          <w:rFonts w:asciiTheme="minorHAnsi" w:hAnsiTheme="minorHAnsi" w:cs="Calibri"/>
          <w:color w:val="000000" w:themeColor="text1"/>
          <w:rtl/>
        </w:rPr>
        <w:t xml:space="preserve"> </w:t>
      </w:r>
      <w:r w:rsidRPr="00AF0BA5">
        <w:rPr>
          <w:rFonts w:asciiTheme="minorHAnsi" w:hAnsiTheme="minorHAnsi" w:cs="Calibri" w:hint="cs"/>
          <w:color w:val="000000" w:themeColor="text1"/>
          <w:rtl/>
        </w:rPr>
        <w:t>עמדה בספטמבר ע</w:t>
      </w:r>
      <w:r w:rsidRPr="00AF0BA5">
        <w:rPr>
          <w:rFonts w:asciiTheme="minorHAnsi" w:hAnsiTheme="minorHAnsi" w:cs="Calibri"/>
          <w:color w:val="000000" w:themeColor="text1"/>
          <w:rtl/>
        </w:rPr>
        <w:t xml:space="preserve">ל </w:t>
      </w:r>
      <w:r w:rsidRPr="00AF0BA5">
        <w:rPr>
          <w:rFonts w:asciiTheme="minorHAnsi" w:hAnsiTheme="minorHAnsi" w:cs="Calibri" w:hint="cs"/>
          <w:color w:val="000000" w:themeColor="text1"/>
          <w:rtl/>
        </w:rPr>
        <w:t>1.4%</w:t>
      </w:r>
      <w:r w:rsidRPr="00AF0BA5">
        <w:rPr>
          <w:rFonts w:asciiTheme="minorHAnsi" w:hAnsiTheme="minorHAnsi" w:cs="Calibri"/>
          <w:color w:val="000000" w:themeColor="text1"/>
          <w:rtl/>
        </w:rPr>
        <w:t xml:space="preserve"> </w:t>
      </w:r>
      <w:r w:rsidRPr="00AF0BA5">
        <w:rPr>
          <w:rFonts w:asciiTheme="minorHAnsi" w:hAnsiTheme="minorHAnsi" w:cs="Calibri"/>
          <w:b/>
          <w:bCs/>
          <w:color w:val="000000" w:themeColor="text1"/>
          <w:rtl/>
        </w:rPr>
        <w:t>(איור 2).</w:t>
      </w:r>
      <w:r w:rsidRPr="00AF0BA5">
        <w:rPr>
          <w:rFonts w:asciiTheme="minorHAnsi" w:hAnsiTheme="minorHAnsi" w:cs="Calibri"/>
          <w:color w:val="000000" w:themeColor="text1"/>
          <w:rtl/>
        </w:rPr>
        <w:t xml:space="preserve"> </w:t>
      </w:r>
      <w:r w:rsidRPr="00AF0BA5">
        <w:rPr>
          <w:rFonts w:asciiTheme="minorHAnsi" w:hAnsiTheme="minorHAnsi" w:cs="Calibri" w:hint="cs"/>
          <w:rtl/>
        </w:rPr>
        <w:t xml:space="preserve">קצב </w:t>
      </w:r>
      <w:r w:rsidRPr="00AF0BA5">
        <w:rPr>
          <w:rFonts w:asciiTheme="minorHAnsi" w:hAnsiTheme="minorHAnsi" w:cs="Calibri"/>
          <w:rtl/>
        </w:rPr>
        <w:t xml:space="preserve">העלייה השנתי של הרכיבים </w:t>
      </w:r>
      <w:r w:rsidRPr="00AF0BA5">
        <w:rPr>
          <w:rFonts w:asciiTheme="minorHAnsi" w:hAnsiTheme="minorHAnsi" w:cs="Calibri" w:hint="cs"/>
          <w:rtl/>
        </w:rPr>
        <w:t xml:space="preserve">הבלתי סחירים עמד על 2.6% ב-12 החודשים האחרונים, בהשוואה ל-2.4% בחודש אוגוסט. </w:t>
      </w:r>
      <w:r w:rsidRPr="00AF0BA5">
        <w:rPr>
          <w:rFonts w:asciiTheme="minorHAnsi" w:hAnsiTheme="minorHAnsi" w:cs="Calibri" w:hint="cs"/>
          <w:color w:val="000000" w:themeColor="text1"/>
          <w:rtl/>
        </w:rPr>
        <w:t xml:space="preserve">קצב אינפלציית </w:t>
      </w:r>
      <w:r w:rsidRPr="00AF0BA5">
        <w:rPr>
          <w:rFonts w:asciiTheme="minorHAnsi" w:hAnsiTheme="minorHAnsi" w:cs="Calibri" w:hint="cs"/>
          <w:rtl/>
        </w:rPr>
        <w:t>הסחירים עמד על 0.2%- ב-</w:t>
      </w:r>
      <w:r w:rsidRPr="00AF0BA5">
        <w:rPr>
          <w:rFonts w:asciiTheme="minorHAnsi" w:hAnsiTheme="minorHAnsi" w:cs="Calibri" w:hint="cs"/>
          <w:color w:val="000000" w:themeColor="text1"/>
          <w:rtl/>
        </w:rPr>
        <w:t>12 החודשים האחרונים, בהשוואה ל-0.05% בחודש הקודם</w:t>
      </w:r>
      <w:r w:rsidRPr="00AF0BA5">
        <w:rPr>
          <w:rFonts w:asciiTheme="minorHAnsi" w:hAnsiTheme="minorHAnsi" w:cs="Calibri"/>
          <w:color w:val="000000" w:themeColor="text1"/>
          <w:rtl/>
        </w:rPr>
        <w:t xml:space="preserve"> </w:t>
      </w:r>
      <w:r w:rsidRPr="00AF0BA5">
        <w:rPr>
          <w:rFonts w:asciiTheme="minorHAnsi" w:hAnsiTheme="minorHAnsi" w:cs="Calibri"/>
          <w:b/>
          <w:bCs/>
          <w:color w:val="000000" w:themeColor="text1"/>
          <w:rtl/>
        </w:rPr>
        <w:t>(איור 3)</w:t>
      </w:r>
      <w:r w:rsidRPr="00AF0BA5">
        <w:rPr>
          <w:rFonts w:asciiTheme="minorHAnsi" w:hAnsiTheme="minorHAnsi" w:cs="Calibri"/>
          <w:b/>
          <w:bCs/>
          <w:color w:val="000000" w:themeColor="text1"/>
        </w:rPr>
        <w:t>.</w:t>
      </w:r>
      <w:r w:rsidRPr="00AF0BA5">
        <w:rPr>
          <w:rFonts w:asciiTheme="minorHAnsi" w:hAnsiTheme="minorHAnsi" w:cs="Calibri" w:hint="cs"/>
          <w:color w:val="000000" w:themeColor="text1"/>
          <w:rtl/>
        </w:rPr>
        <w:t xml:space="preserve"> </w:t>
      </w:r>
      <w:r w:rsidRPr="00AF0BA5">
        <w:rPr>
          <w:rFonts w:asciiTheme="minorHAnsi" w:hAnsiTheme="minorHAnsi" w:cs="Calibri"/>
          <w:color w:val="000000" w:themeColor="text1"/>
          <w:rtl/>
        </w:rPr>
        <w:t>על פי תחזיות החזאים האינפלציה צפויה להישאר ברמתה בחודשים הקרובים ולחזור ולהתכנס למרכז היעד בתחילת 2027</w:t>
      </w:r>
      <w:r w:rsidRPr="00AF0BA5">
        <w:rPr>
          <w:rFonts w:asciiTheme="minorHAnsi" w:hAnsiTheme="minorHAnsi" w:cs="Calibri" w:hint="cs"/>
          <w:color w:val="000000" w:themeColor="text1"/>
          <w:rtl/>
        </w:rPr>
        <w:t>,</w:t>
      </w:r>
      <w:r w:rsidRPr="00AF0BA5">
        <w:rPr>
          <w:rFonts w:asciiTheme="minorHAnsi" w:hAnsiTheme="minorHAnsi" w:cs="Calibri"/>
          <w:color w:val="000000" w:themeColor="text1"/>
          <w:rtl/>
        </w:rPr>
        <w:t xml:space="preserve"> ולהישאר בסביבה זו בהמשך השנה</w:t>
      </w:r>
      <w:r w:rsidRPr="00AF0BA5">
        <w:rPr>
          <w:rFonts w:asciiTheme="minorHAnsi" w:hAnsiTheme="minorHAnsi" w:cs="Calibri" w:hint="cs"/>
          <w:color w:val="000000" w:themeColor="text1"/>
          <w:rtl/>
        </w:rPr>
        <w:t xml:space="preserve"> </w:t>
      </w:r>
      <w:r w:rsidRPr="00AF0BA5">
        <w:rPr>
          <w:rFonts w:ascii="Segoe UI" w:eastAsia="Times New Roman" w:hAnsi="Segoe UI" w:cs="Segoe UI"/>
          <w:b/>
          <w:bCs/>
          <w:color w:val="000000" w:themeColor="text1"/>
          <w:sz w:val="21"/>
          <w:szCs w:val="21"/>
          <w:rtl/>
        </w:rPr>
        <w:t>(איור 5).</w:t>
      </w:r>
      <w:r w:rsidRPr="00AF0BA5">
        <w:rPr>
          <w:rFonts w:asciiTheme="minorHAnsi" w:hAnsiTheme="minorHAnsi" w:cs="Calibri"/>
          <w:color w:val="000000" w:themeColor="text1"/>
          <w:rtl/>
        </w:rPr>
        <w:t xml:space="preserve"> </w:t>
      </w:r>
      <w:r w:rsidRPr="00AF0BA5">
        <w:rPr>
          <w:rFonts w:asciiTheme="minorHAnsi" w:hAnsiTheme="minorHAnsi" w:cs="Calibri"/>
          <w:rtl/>
        </w:rPr>
        <w:t>הציפיות לאינפלציה לשנה קדימה מ</w:t>
      </w:r>
      <w:r w:rsidRPr="00AF0BA5">
        <w:rPr>
          <w:rFonts w:asciiTheme="minorHAnsi" w:hAnsiTheme="minorHAnsi" w:cs="Calibri" w:hint="cs"/>
          <w:rtl/>
        </w:rPr>
        <w:t xml:space="preserve">מרבית </w:t>
      </w:r>
      <w:r w:rsidRPr="00AF0BA5">
        <w:rPr>
          <w:rFonts w:asciiTheme="minorHAnsi" w:hAnsiTheme="minorHAnsi" w:cs="Calibri"/>
          <w:rtl/>
        </w:rPr>
        <w:t xml:space="preserve">המקורות </w:t>
      </w:r>
      <w:r w:rsidRPr="00AF0BA5">
        <w:rPr>
          <w:rFonts w:asciiTheme="minorHAnsi" w:hAnsiTheme="minorHAnsi" w:cs="Calibri" w:hint="eastAsia"/>
          <w:rtl/>
        </w:rPr>
        <w:t>שוהות</w:t>
      </w:r>
      <w:r w:rsidRPr="00AF0BA5">
        <w:rPr>
          <w:rFonts w:asciiTheme="minorHAnsi" w:hAnsiTheme="minorHAnsi" w:cs="Calibri" w:hint="cs"/>
          <w:rtl/>
        </w:rPr>
        <w:t xml:space="preserve"> בסביבת מרכ</w:t>
      </w:r>
      <w:r w:rsidRPr="00AF0BA5">
        <w:rPr>
          <w:rFonts w:asciiTheme="minorHAnsi" w:hAnsiTheme="minorHAnsi" w:cs="Calibri"/>
          <w:rtl/>
        </w:rPr>
        <w:t xml:space="preserve">ז היעד </w:t>
      </w:r>
      <w:r w:rsidRPr="00AF0BA5">
        <w:rPr>
          <w:rFonts w:asciiTheme="minorHAnsi" w:hAnsiTheme="minorHAnsi" w:cs="Calibri"/>
          <w:b/>
          <w:bCs/>
          <w:rtl/>
        </w:rPr>
        <w:t xml:space="preserve">(איור 6). </w:t>
      </w:r>
      <w:r w:rsidRPr="00AF0BA5">
        <w:rPr>
          <w:rFonts w:asciiTheme="minorHAnsi" w:hAnsiTheme="minorHAnsi" w:cs="Calibri"/>
          <w:rtl/>
        </w:rPr>
        <w:t xml:space="preserve">הציפיות לשנה השנייה ואילך </w:t>
      </w:r>
      <w:r w:rsidRPr="00AF0BA5">
        <w:rPr>
          <w:rFonts w:asciiTheme="minorHAnsi" w:hAnsiTheme="minorHAnsi" w:cs="Calibri" w:hint="cs"/>
          <w:rtl/>
        </w:rPr>
        <w:t>נמצאות בקרבת</w:t>
      </w:r>
      <w:r w:rsidRPr="00AF0BA5">
        <w:rPr>
          <w:rFonts w:asciiTheme="minorHAnsi" w:hAnsiTheme="minorHAnsi" w:cs="Calibri"/>
          <w:rtl/>
        </w:rPr>
        <w:t xml:space="preserve"> מרכז היעד </w:t>
      </w:r>
      <w:r w:rsidRPr="00AF0BA5">
        <w:rPr>
          <w:rFonts w:asciiTheme="minorHAnsi" w:hAnsiTheme="minorHAnsi" w:cs="Calibri"/>
          <w:b/>
          <w:bCs/>
          <w:rtl/>
        </w:rPr>
        <w:t>(איור 7).</w:t>
      </w:r>
    </w:p>
    <w:p w:rsidR="002047CF" w:rsidRDefault="002047CF" w:rsidP="002047CF">
      <w:pPr>
        <w:bidi/>
        <w:spacing w:line="360" w:lineRule="auto"/>
        <w:jc w:val="both"/>
        <w:rPr>
          <w:rFonts w:asciiTheme="minorHAnsi" w:hAnsiTheme="minorHAnsi" w:cs="Calibri"/>
          <w:color w:val="FF0000"/>
          <w:rtl/>
        </w:rPr>
      </w:pPr>
    </w:p>
    <w:p w:rsidR="002047CF" w:rsidRPr="00AF0BA5" w:rsidRDefault="002047CF" w:rsidP="002047CF">
      <w:pPr>
        <w:bidi/>
        <w:spacing w:line="360" w:lineRule="auto"/>
        <w:jc w:val="both"/>
        <w:rPr>
          <w:rFonts w:asciiTheme="minorHAnsi" w:hAnsiTheme="minorHAnsi" w:cs="Calibri"/>
          <w:color w:val="FF0000"/>
          <w:rtl/>
        </w:rPr>
      </w:pPr>
      <w:r w:rsidRPr="00AF0BA5">
        <w:rPr>
          <w:rFonts w:asciiTheme="minorHAnsi" w:hAnsiTheme="minorHAnsi" w:cs="Calibri"/>
          <w:rtl/>
        </w:rPr>
        <w:t xml:space="preserve">מאז </w:t>
      </w:r>
      <w:r w:rsidRPr="00F65307">
        <w:rPr>
          <w:rFonts w:asciiTheme="minorHAnsi" w:hAnsiTheme="minorHAnsi" w:cs="Calibri"/>
          <w:rtl/>
        </w:rPr>
        <w:t xml:space="preserve">החלטת הריבית האחרונה, </w:t>
      </w:r>
      <w:r w:rsidRPr="00F65307">
        <w:rPr>
          <w:rFonts w:asciiTheme="minorHAnsi" w:hAnsiTheme="minorHAnsi" w:cs="Calibri" w:hint="cs"/>
          <w:rtl/>
        </w:rPr>
        <w:t>(ועד ל-20.10) פוחת</w:t>
      </w:r>
      <w:r w:rsidRPr="00F65307">
        <w:rPr>
          <w:rFonts w:asciiTheme="minorHAnsi" w:hAnsiTheme="minorHAnsi" w:cs="Calibri"/>
          <w:rtl/>
        </w:rPr>
        <w:t xml:space="preserve"> השקל בשיעור של </w:t>
      </w:r>
      <w:r w:rsidRPr="00F65307">
        <w:rPr>
          <w:rFonts w:asciiTheme="minorHAnsi" w:hAnsiTheme="minorHAnsi" w:cs="Calibri" w:hint="cs"/>
          <w:rtl/>
        </w:rPr>
        <w:t>3.1%</w:t>
      </w:r>
      <w:r w:rsidRPr="00F65307">
        <w:rPr>
          <w:rFonts w:asciiTheme="minorHAnsi" w:hAnsiTheme="minorHAnsi" w:cs="Calibri"/>
          <w:rtl/>
        </w:rPr>
        <w:t xml:space="preserve"> מול הדולר </w:t>
      </w:r>
      <w:r w:rsidRPr="00F65307">
        <w:rPr>
          <w:rFonts w:asciiTheme="minorHAnsi" w:hAnsiTheme="minorHAnsi" w:cs="Calibri" w:hint="cs"/>
          <w:rtl/>
        </w:rPr>
        <w:t>ויוסף מול האירו ב</w:t>
      </w:r>
      <w:r>
        <w:rPr>
          <w:rFonts w:asciiTheme="minorHAnsi" w:hAnsiTheme="minorHAnsi" w:cs="Calibri" w:hint="cs"/>
          <w:rtl/>
        </w:rPr>
        <w:t>-</w:t>
      </w:r>
      <w:r w:rsidRPr="00F65307">
        <w:rPr>
          <w:rFonts w:asciiTheme="minorHAnsi" w:hAnsiTheme="minorHAnsi" w:cs="Calibri" w:hint="cs"/>
          <w:rtl/>
        </w:rPr>
        <w:t>0.3%</w:t>
      </w:r>
      <w:r w:rsidRPr="00F65307">
        <w:rPr>
          <w:rFonts w:asciiTheme="minorHAnsi" w:hAnsiTheme="minorHAnsi" w:cs="Calibri"/>
          <w:rtl/>
        </w:rPr>
        <w:t xml:space="preserve">. במונחים נומינליים אפקטיביים </w:t>
      </w:r>
      <w:r w:rsidRPr="00F65307">
        <w:rPr>
          <w:rFonts w:asciiTheme="minorHAnsi" w:hAnsiTheme="minorHAnsi" w:cs="Calibri" w:hint="cs"/>
          <w:rtl/>
        </w:rPr>
        <w:t>פוחת</w:t>
      </w:r>
      <w:r w:rsidRPr="00F65307">
        <w:rPr>
          <w:rFonts w:asciiTheme="minorHAnsi" w:hAnsiTheme="minorHAnsi" w:cs="Calibri"/>
          <w:rtl/>
        </w:rPr>
        <w:t xml:space="preserve"> השקל ב-</w:t>
      </w:r>
      <w:r w:rsidRPr="00F65307">
        <w:rPr>
          <w:rFonts w:asciiTheme="minorHAnsi" w:hAnsiTheme="minorHAnsi" w:cs="Calibri" w:hint="cs"/>
          <w:rtl/>
        </w:rPr>
        <w:t>2.2%.</w:t>
      </w:r>
    </w:p>
    <w:p w:rsidR="002047CF" w:rsidRPr="00AF0BA5" w:rsidRDefault="002047CF" w:rsidP="002047CF">
      <w:pPr>
        <w:bidi/>
        <w:spacing w:line="360" w:lineRule="auto"/>
        <w:jc w:val="both"/>
        <w:rPr>
          <w:rFonts w:cs="Calibri"/>
          <w:color w:val="000000" w:themeColor="text1"/>
        </w:rPr>
      </w:pPr>
      <w:r w:rsidRPr="00AF0BA5">
        <w:rPr>
          <w:rFonts w:cs="Calibri"/>
          <w:color w:val="000000" w:themeColor="text1"/>
          <w:rtl/>
        </w:rPr>
        <w:t xml:space="preserve">להערכת הוועדה, </w:t>
      </w:r>
      <w:r w:rsidRPr="00AF0BA5">
        <w:rPr>
          <w:rFonts w:cs="Calibri" w:hint="eastAsia"/>
          <w:color w:val="000000" w:themeColor="text1"/>
          <w:rtl/>
        </w:rPr>
        <w:t>קיימים</w:t>
      </w:r>
      <w:r w:rsidRPr="00AF0BA5">
        <w:rPr>
          <w:rFonts w:cs="Calibri"/>
          <w:color w:val="000000" w:themeColor="text1"/>
          <w:rtl/>
        </w:rPr>
        <w:t xml:space="preserve"> מספר גורמים שיכולים להשפיע בכיוונים מנוגדים על התפתחות האינפלציה. סביבת האינפלציה תושפע </w:t>
      </w:r>
      <w:r w:rsidRPr="00AF0BA5">
        <w:rPr>
          <w:rFonts w:cs="Calibri" w:hint="eastAsia"/>
          <w:color w:val="000000" w:themeColor="text1"/>
          <w:rtl/>
        </w:rPr>
        <w:t>במידה</w:t>
      </w:r>
      <w:r w:rsidRPr="00AF0BA5">
        <w:rPr>
          <w:rFonts w:cs="Calibri"/>
          <w:color w:val="000000" w:themeColor="text1"/>
          <w:rtl/>
        </w:rPr>
        <w:t xml:space="preserve"> רבה </w:t>
      </w:r>
      <w:r w:rsidRPr="00AF0BA5">
        <w:rPr>
          <w:rFonts w:cs="Calibri" w:hint="eastAsia"/>
          <w:color w:val="000000" w:themeColor="text1"/>
          <w:rtl/>
        </w:rPr>
        <w:t>מההתפתחויות</w:t>
      </w:r>
      <w:r w:rsidRPr="00AF0BA5">
        <w:rPr>
          <w:rFonts w:cs="Calibri"/>
          <w:color w:val="000000" w:themeColor="text1"/>
          <w:rtl/>
        </w:rPr>
        <w:t xml:space="preserve"> הגיאופוליטיות והשפעותיהן על הפעילות במשק ועל מחירי האנרגיה, </w:t>
      </w:r>
      <w:r w:rsidRPr="00AF0BA5">
        <w:rPr>
          <w:rFonts w:cs="Calibri" w:hint="eastAsia"/>
          <w:color w:val="000000" w:themeColor="text1"/>
          <w:rtl/>
        </w:rPr>
        <w:t>מפרמיית</w:t>
      </w:r>
      <w:r w:rsidRPr="00AF0BA5">
        <w:rPr>
          <w:rFonts w:cs="Calibri"/>
          <w:color w:val="000000" w:themeColor="text1"/>
          <w:rtl/>
        </w:rPr>
        <w:t xml:space="preserve"> הסיכון </w:t>
      </w:r>
      <w:proofErr w:type="spellStart"/>
      <w:r w:rsidRPr="00AF0BA5">
        <w:rPr>
          <w:rFonts w:cs="Calibri"/>
          <w:color w:val="000000" w:themeColor="text1"/>
          <w:rtl/>
        </w:rPr>
        <w:t>ושע"ח</w:t>
      </w:r>
      <w:proofErr w:type="spellEnd"/>
      <w:r w:rsidRPr="00AF0BA5">
        <w:rPr>
          <w:rFonts w:cs="Calibri"/>
          <w:color w:val="000000" w:themeColor="text1"/>
          <w:rtl/>
        </w:rPr>
        <w:t xml:space="preserve">, </w:t>
      </w:r>
      <w:r w:rsidRPr="00AF0BA5">
        <w:rPr>
          <w:rFonts w:cs="Calibri" w:hint="eastAsia"/>
          <w:color w:val="000000" w:themeColor="text1"/>
          <w:rtl/>
        </w:rPr>
        <w:t>מהתפתחות</w:t>
      </w:r>
      <w:r w:rsidRPr="00AF0BA5">
        <w:rPr>
          <w:rFonts w:cs="Calibri"/>
          <w:color w:val="000000" w:themeColor="text1"/>
          <w:rtl/>
        </w:rPr>
        <w:t xml:space="preserve"> </w:t>
      </w:r>
      <w:proofErr w:type="spellStart"/>
      <w:r w:rsidRPr="00AF0BA5">
        <w:rPr>
          <w:rFonts w:cs="Calibri" w:hint="eastAsia"/>
          <w:color w:val="000000" w:themeColor="text1"/>
          <w:rtl/>
        </w:rPr>
        <w:t>הביקושים</w:t>
      </w:r>
      <w:proofErr w:type="spellEnd"/>
      <w:r w:rsidRPr="00AF0BA5">
        <w:rPr>
          <w:rFonts w:cs="Calibri"/>
          <w:color w:val="000000" w:themeColor="text1"/>
          <w:rtl/>
        </w:rPr>
        <w:t xml:space="preserve"> </w:t>
      </w:r>
      <w:r w:rsidRPr="00AF0BA5">
        <w:rPr>
          <w:rFonts w:cs="Calibri" w:hint="eastAsia"/>
          <w:color w:val="000000" w:themeColor="text1"/>
          <w:rtl/>
        </w:rPr>
        <w:t>לצד</w:t>
      </w:r>
      <w:r w:rsidRPr="00AF0BA5">
        <w:rPr>
          <w:rFonts w:cs="Calibri"/>
          <w:color w:val="000000" w:themeColor="text1"/>
          <w:rtl/>
        </w:rPr>
        <w:t xml:space="preserve"> </w:t>
      </w:r>
      <w:r w:rsidRPr="00AF0BA5">
        <w:rPr>
          <w:rFonts w:cs="Calibri" w:hint="eastAsia"/>
          <w:color w:val="000000" w:themeColor="text1"/>
          <w:rtl/>
        </w:rPr>
        <w:t>מגבלות</w:t>
      </w:r>
      <w:r w:rsidRPr="00AF0BA5">
        <w:rPr>
          <w:rFonts w:cs="Calibri"/>
          <w:color w:val="000000" w:themeColor="text1"/>
          <w:rtl/>
        </w:rPr>
        <w:t xml:space="preserve"> </w:t>
      </w:r>
      <w:r w:rsidRPr="00AF0BA5">
        <w:rPr>
          <w:rFonts w:cs="Calibri" w:hint="eastAsia"/>
          <w:color w:val="000000" w:themeColor="text1"/>
          <w:rtl/>
        </w:rPr>
        <w:t>ההיצע</w:t>
      </w:r>
      <w:r w:rsidRPr="00AF0BA5">
        <w:rPr>
          <w:rFonts w:cs="Calibri"/>
          <w:color w:val="000000" w:themeColor="text1"/>
          <w:rtl/>
        </w:rPr>
        <w:t xml:space="preserve">, </w:t>
      </w:r>
      <w:r w:rsidRPr="00AF0BA5">
        <w:rPr>
          <w:rFonts w:cs="Calibri" w:hint="eastAsia"/>
          <w:color w:val="000000" w:themeColor="text1"/>
          <w:rtl/>
        </w:rPr>
        <w:t>ומההתפתחויות</w:t>
      </w:r>
      <w:r w:rsidRPr="00AF0BA5">
        <w:rPr>
          <w:rFonts w:cs="Calibri"/>
          <w:color w:val="000000" w:themeColor="text1"/>
          <w:rtl/>
        </w:rPr>
        <w:t xml:space="preserve"> </w:t>
      </w:r>
      <w:r w:rsidRPr="00AF0BA5">
        <w:rPr>
          <w:rFonts w:cs="Calibri" w:hint="eastAsia"/>
          <w:color w:val="000000" w:themeColor="text1"/>
          <w:rtl/>
        </w:rPr>
        <w:t>הפיסקליות</w:t>
      </w:r>
      <w:r w:rsidRPr="00AF0BA5">
        <w:rPr>
          <w:rFonts w:cs="Calibri"/>
          <w:color w:val="000000" w:themeColor="text1"/>
          <w:rtl/>
        </w:rPr>
        <w:t>.</w:t>
      </w:r>
    </w:p>
    <w:p w:rsidR="002047CF" w:rsidRPr="00AF0BA5" w:rsidRDefault="002047CF" w:rsidP="002047CF">
      <w:pPr>
        <w:bidi/>
        <w:spacing w:after="0" w:line="360" w:lineRule="auto"/>
        <w:jc w:val="both"/>
        <w:rPr>
          <w:rFonts w:cs="Calibri"/>
          <w:rtl/>
        </w:rPr>
      </w:pPr>
      <w:r w:rsidRPr="00AF0BA5">
        <w:rPr>
          <w:rFonts w:cs="Calibri"/>
          <w:rtl/>
        </w:rPr>
        <w:t xml:space="preserve">חטיבת המחקר עדכנה את התחזית </w:t>
      </w:r>
      <w:proofErr w:type="spellStart"/>
      <w:r w:rsidRPr="00AF0BA5">
        <w:rPr>
          <w:rFonts w:cs="Calibri"/>
          <w:rtl/>
        </w:rPr>
        <w:t>המקרו־כלכלית</w:t>
      </w:r>
      <w:proofErr w:type="spellEnd"/>
      <w:r w:rsidRPr="00AF0BA5">
        <w:rPr>
          <w:rFonts w:cs="Calibri"/>
          <w:rtl/>
        </w:rPr>
        <w:t xml:space="preserve"> שלה. הנחת העבודה בבסיס התחזית היא כי עצימות הלחימה </w:t>
      </w:r>
      <w:r w:rsidRPr="00AF0BA5">
        <w:rPr>
          <w:rFonts w:cs="Calibri" w:hint="cs"/>
          <w:rtl/>
        </w:rPr>
        <w:t xml:space="preserve">נותרת נמוכה, בדומה לרמה הנוכחית, </w:t>
      </w:r>
      <w:r w:rsidRPr="00AF0BA5">
        <w:rPr>
          <w:rFonts w:cs="Calibri"/>
          <w:rtl/>
        </w:rPr>
        <w:t>באופן התורם להקלה מסוימת במגבלות ההיצע במשק וכי הסביבה הגאו-פוליטית צפויה להישאר מתוחה</w:t>
      </w:r>
      <w:r w:rsidRPr="00AF0BA5">
        <w:rPr>
          <w:rFonts w:cs="Calibri" w:hint="cs"/>
          <w:rtl/>
        </w:rPr>
        <w:t xml:space="preserve">. </w:t>
      </w:r>
    </w:p>
    <w:p w:rsidR="002047CF" w:rsidRPr="00F65307" w:rsidRDefault="002047CF" w:rsidP="002047CF">
      <w:pPr>
        <w:bidi/>
        <w:spacing w:after="0" w:line="360" w:lineRule="auto"/>
        <w:jc w:val="both"/>
        <w:rPr>
          <w:rFonts w:cs="Calibri"/>
          <w:rtl/>
        </w:rPr>
      </w:pPr>
      <w:r w:rsidRPr="00AF0BA5">
        <w:rPr>
          <w:rFonts w:cs="Calibri" w:hint="cs"/>
          <w:rtl/>
        </w:rPr>
        <w:t>ע</w:t>
      </w:r>
      <w:r w:rsidRPr="00AF0BA5">
        <w:rPr>
          <w:rFonts w:cs="Calibri"/>
          <w:rtl/>
        </w:rPr>
        <w:t>ל פי הערכת החטיבה</w:t>
      </w:r>
      <w:r w:rsidRPr="00AF0BA5">
        <w:rPr>
          <w:rFonts w:cs="Calibri" w:hint="cs"/>
          <w:rtl/>
        </w:rPr>
        <w:t xml:space="preserve"> בתרחיש זה</w:t>
      </w:r>
      <w:r w:rsidRPr="00AF0BA5">
        <w:rPr>
          <w:rFonts w:cs="Calibri"/>
          <w:rtl/>
        </w:rPr>
        <w:t>, התוצר צפוי לצמוח ב-</w:t>
      </w:r>
      <w:r w:rsidRPr="00AF0BA5">
        <w:rPr>
          <w:rFonts w:cs="Calibri" w:hint="cs"/>
          <w:rtl/>
        </w:rPr>
        <w:t>5.</w:t>
      </w:r>
      <w:r>
        <w:rPr>
          <w:rFonts w:cs="Calibri" w:hint="cs"/>
          <w:rtl/>
        </w:rPr>
        <w:t>6</w:t>
      </w:r>
      <w:r w:rsidRPr="00AF0BA5">
        <w:rPr>
          <w:rFonts w:cs="Calibri"/>
          <w:rtl/>
        </w:rPr>
        <w:t xml:space="preserve">% </w:t>
      </w:r>
      <w:r>
        <w:rPr>
          <w:rFonts w:cs="Calibri" w:hint="cs"/>
          <w:rtl/>
        </w:rPr>
        <w:t xml:space="preserve">וב-7.5% </w:t>
      </w:r>
      <w:r w:rsidRPr="00AF0BA5">
        <w:rPr>
          <w:rFonts w:cs="Calibri"/>
          <w:rtl/>
        </w:rPr>
        <w:t>בשנ</w:t>
      </w:r>
      <w:r>
        <w:rPr>
          <w:rFonts w:cs="Calibri" w:hint="cs"/>
          <w:rtl/>
        </w:rPr>
        <w:t>ים</w:t>
      </w:r>
      <w:r w:rsidRPr="00AF0BA5">
        <w:rPr>
          <w:rFonts w:cs="Calibri"/>
          <w:rtl/>
        </w:rPr>
        <w:t xml:space="preserve"> 2026 </w:t>
      </w:r>
      <w:r w:rsidRPr="00AF0BA5">
        <w:rPr>
          <w:rFonts w:cs="Calibri" w:hint="cs"/>
          <w:rtl/>
        </w:rPr>
        <w:t>ו</w:t>
      </w:r>
      <w:r>
        <w:rPr>
          <w:rFonts w:cs="Calibri" w:hint="cs"/>
          <w:rtl/>
        </w:rPr>
        <w:t>-</w:t>
      </w:r>
      <w:r w:rsidRPr="00AF0BA5">
        <w:rPr>
          <w:rFonts w:cs="Calibri"/>
          <w:rtl/>
        </w:rPr>
        <w:t>2027</w:t>
      </w:r>
      <w:r>
        <w:rPr>
          <w:rFonts w:cs="Calibri" w:hint="cs"/>
          <w:rtl/>
        </w:rPr>
        <w:t xml:space="preserve"> בהתאמה</w:t>
      </w:r>
      <w:r w:rsidRPr="00AF0BA5">
        <w:rPr>
          <w:rFonts w:cs="Calibri"/>
          <w:rtl/>
        </w:rPr>
        <w:t xml:space="preserve"> </w:t>
      </w:r>
      <w:r w:rsidRPr="00AF0BA5">
        <w:rPr>
          <w:rFonts w:cs="Calibri"/>
          <w:b/>
          <w:bCs/>
          <w:rtl/>
        </w:rPr>
        <w:t>(איור 10)</w:t>
      </w:r>
      <w:r w:rsidRPr="00AF0BA5">
        <w:rPr>
          <w:rFonts w:cs="Calibri"/>
          <w:rtl/>
        </w:rPr>
        <w:t>.</w:t>
      </w:r>
      <w:r w:rsidRPr="00AF0BA5">
        <w:rPr>
          <w:rFonts w:cstheme="minorHAnsi"/>
          <w:rtl/>
        </w:rPr>
        <w:t xml:space="preserve"> עיקר העדכון משקף את התרומה הגדולה של הייצור בחו״ל</w:t>
      </w:r>
      <w:r w:rsidRPr="00AF0BA5">
        <w:rPr>
          <w:rFonts w:cstheme="minorHAnsi" w:hint="cs"/>
          <w:rtl/>
        </w:rPr>
        <w:t xml:space="preserve"> של חברות ישראליות</w:t>
      </w:r>
      <w:r w:rsidRPr="00AF0BA5">
        <w:rPr>
          <w:rFonts w:cstheme="minorHAnsi"/>
          <w:rtl/>
        </w:rPr>
        <w:t xml:space="preserve">. </w:t>
      </w:r>
      <w:r w:rsidRPr="00F65307">
        <w:rPr>
          <w:rFonts w:cs="Calibri" w:hint="cs"/>
          <w:rtl/>
        </w:rPr>
        <w:t>התוצר ללא ייצור בחו"ל משקף טוב יותר את הפעילות המקומית של הכלכלה הישראלית ועל כן התחזית מציגה גם אומדנים לגביו. בהתאם, התחזית לתוצר ללא ייצור בחו"ל עומדת על 3.4 אחוזים בשנת 2026 ועל 5.1 אחוזים בשנת 2027.</w:t>
      </w:r>
    </w:p>
    <w:p w:rsidR="002047CF" w:rsidRPr="00F65307" w:rsidRDefault="002047CF" w:rsidP="002047CF">
      <w:pPr>
        <w:bidi/>
        <w:spacing w:after="0" w:line="360" w:lineRule="auto"/>
        <w:jc w:val="both"/>
        <w:rPr>
          <w:rFonts w:cs="Calibri"/>
          <w:rtl/>
        </w:rPr>
      </w:pPr>
      <w:r w:rsidRPr="00F65307">
        <w:rPr>
          <w:rFonts w:cs="Calibri"/>
          <w:rtl/>
        </w:rPr>
        <w:t xml:space="preserve">בשוק העבודה, שיעור האבטלה הרחבה צפוי לעמוד בממוצע על </w:t>
      </w:r>
      <w:r w:rsidRPr="0094285A">
        <w:rPr>
          <w:rFonts w:cs="Calibri"/>
          <w:rtl/>
        </w:rPr>
        <w:t>3</w:t>
      </w:r>
      <w:r w:rsidRPr="00F65307">
        <w:rPr>
          <w:rFonts w:cs="Calibri"/>
          <w:rtl/>
        </w:rPr>
        <w:t xml:space="preserve">% </w:t>
      </w:r>
      <w:r w:rsidRPr="00F65307">
        <w:rPr>
          <w:rFonts w:cs="Calibri" w:hint="eastAsia"/>
          <w:rtl/>
        </w:rPr>
        <w:t>בשנת</w:t>
      </w:r>
      <w:r w:rsidRPr="00F65307">
        <w:rPr>
          <w:rFonts w:cs="Calibri"/>
          <w:rtl/>
        </w:rPr>
        <w:t xml:space="preserve"> 2027. שיעור האינפלציה במהלך שנת 2026 צפוי לעמוד על </w:t>
      </w:r>
      <w:r w:rsidRPr="0094285A">
        <w:rPr>
          <w:rFonts w:cs="Calibri"/>
          <w:rtl/>
        </w:rPr>
        <w:t>1.5%</w:t>
      </w:r>
      <w:r w:rsidRPr="00F65307">
        <w:rPr>
          <w:rFonts w:cs="Calibri"/>
          <w:rtl/>
        </w:rPr>
        <w:t xml:space="preserve"> ועל </w:t>
      </w:r>
      <w:r w:rsidRPr="0094285A">
        <w:rPr>
          <w:rFonts w:cs="Calibri"/>
          <w:rtl/>
        </w:rPr>
        <w:t>2.1</w:t>
      </w:r>
      <w:r w:rsidRPr="00F65307">
        <w:rPr>
          <w:rFonts w:cs="Calibri"/>
          <w:rtl/>
        </w:rPr>
        <w:t xml:space="preserve">% </w:t>
      </w:r>
      <w:r w:rsidRPr="00F65307">
        <w:rPr>
          <w:rFonts w:cs="Calibri" w:hint="eastAsia"/>
          <w:rtl/>
        </w:rPr>
        <w:t>בשנת</w:t>
      </w:r>
      <w:r w:rsidRPr="00F65307">
        <w:rPr>
          <w:rFonts w:cs="Calibri"/>
          <w:rtl/>
        </w:rPr>
        <w:t xml:space="preserve"> 2027. להערכת החטיבה, ככל שתקציב הביטחון לא יוגדל </w:t>
      </w:r>
      <w:r w:rsidRPr="00F65307">
        <w:rPr>
          <w:rFonts w:cs="Calibri" w:hint="eastAsia"/>
          <w:rtl/>
        </w:rPr>
        <w:t>עוד</w:t>
      </w:r>
      <w:r w:rsidRPr="00F65307">
        <w:rPr>
          <w:rFonts w:cs="Calibri"/>
          <w:rtl/>
        </w:rPr>
        <w:t xml:space="preserve"> מעבר לרזרבות שהוקצו בתקציב, הגרעון בתקציב הממשלה צפוי להסתכם ב-</w:t>
      </w:r>
      <w:r w:rsidRPr="0094285A">
        <w:rPr>
          <w:rFonts w:cs="Calibri"/>
          <w:rtl/>
        </w:rPr>
        <w:t xml:space="preserve">4.4% </w:t>
      </w:r>
      <w:r w:rsidRPr="00F65307">
        <w:rPr>
          <w:rFonts w:cs="Calibri"/>
          <w:rtl/>
        </w:rPr>
        <w:t>תוצר בשנת 2026 וב-</w:t>
      </w:r>
      <w:r w:rsidRPr="0094285A">
        <w:rPr>
          <w:rFonts w:cs="Calibri"/>
          <w:rtl/>
        </w:rPr>
        <w:t>4.6%</w:t>
      </w:r>
      <w:r w:rsidRPr="00F65307">
        <w:rPr>
          <w:rFonts w:cs="Calibri"/>
          <w:rtl/>
        </w:rPr>
        <w:t xml:space="preserve"> בשנת 2027. יחס החוב לתוצר צפוי לעמוד על כ-</w:t>
      </w:r>
      <w:r w:rsidRPr="0094285A">
        <w:rPr>
          <w:rFonts w:cs="Calibri"/>
          <w:rtl/>
        </w:rPr>
        <w:t xml:space="preserve">68 </w:t>
      </w:r>
      <w:r w:rsidRPr="00F65307">
        <w:rPr>
          <w:rFonts w:cs="Calibri"/>
          <w:rtl/>
        </w:rPr>
        <w:t>אחוזי תוצר בסוף 2026 ו</w:t>
      </w:r>
      <w:r w:rsidRPr="00F65307">
        <w:rPr>
          <w:rFonts w:cs="Calibri" w:hint="eastAsia"/>
          <w:rtl/>
        </w:rPr>
        <w:t>כ</w:t>
      </w:r>
      <w:r w:rsidRPr="00F65307">
        <w:rPr>
          <w:rFonts w:cs="Calibri"/>
          <w:rtl/>
        </w:rPr>
        <w:t>-</w:t>
      </w:r>
      <w:r w:rsidRPr="0094285A">
        <w:rPr>
          <w:rFonts w:cs="Calibri"/>
          <w:rtl/>
        </w:rPr>
        <w:t xml:space="preserve">66.5 </w:t>
      </w:r>
      <w:r w:rsidRPr="00F65307">
        <w:rPr>
          <w:rFonts w:cs="Calibri"/>
          <w:rtl/>
        </w:rPr>
        <w:t xml:space="preserve">אחוזי תוצר בסוף 2027. יחס החוב לתוצר </w:t>
      </w:r>
      <w:r w:rsidRPr="00F65307">
        <w:rPr>
          <w:rFonts w:cs="Calibri" w:hint="eastAsia"/>
          <w:rtl/>
        </w:rPr>
        <w:t>ללא</w:t>
      </w:r>
      <w:r w:rsidRPr="00F65307">
        <w:rPr>
          <w:rFonts w:cs="Calibri"/>
          <w:rtl/>
        </w:rPr>
        <w:t xml:space="preserve"> הייצור בחו"ל צפוי לעמוד על </w:t>
      </w:r>
      <w:r w:rsidRPr="00F65307">
        <w:rPr>
          <w:rFonts w:cs="Calibri" w:hint="eastAsia"/>
          <w:rtl/>
        </w:rPr>
        <w:t>כ</w:t>
      </w:r>
      <w:r w:rsidRPr="00F65307">
        <w:rPr>
          <w:rFonts w:cs="Calibri"/>
          <w:rtl/>
        </w:rPr>
        <w:t>-</w:t>
      </w:r>
      <w:r w:rsidRPr="0094285A">
        <w:rPr>
          <w:rFonts w:cs="Calibri"/>
          <w:rtl/>
        </w:rPr>
        <w:t xml:space="preserve">70 </w:t>
      </w:r>
      <w:r w:rsidRPr="00F65307">
        <w:rPr>
          <w:rFonts w:cs="Calibri" w:hint="eastAsia"/>
          <w:rtl/>
        </w:rPr>
        <w:t>אחוזים</w:t>
      </w:r>
      <w:r w:rsidRPr="00F65307">
        <w:rPr>
          <w:rFonts w:cs="Calibri"/>
          <w:rtl/>
        </w:rPr>
        <w:t xml:space="preserve"> בסוף 2026 ו</w:t>
      </w:r>
      <w:r>
        <w:rPr>
          <w:rFonts w:cs="Calibri" w:hint="cs"/>
          <w:rtl/>
        </w:rPr>
        <w:t>-</w:t>
      </w:r>
      <w:r w:rsidRPr="00F65307">
        <w:rPr>
          <w:rFonts w:cs="Calibri"/>
          <w:rtl/>
        </w:rPr>
        <w:t xml:space="preserve">70.5 בשנת 2027. </w:t>
      </w:r>
    </w:p>
    <w:p w:rsidR="002047CF" w:rsidRPr="00AF0BA5" w:rsidRDefault="002047CF" w:rsidP="002047CF">
      <w:pPr>
        <w:bidi/>
        <w:spacing w:after="0" w:line="360" w:lineRule="auto"/>
        <w:jc w:val="both"/>
        <w:rPr>
          <w:rFonts w:asciiTheme="minorHAnsi" w:hAnsiTheme="minorHAnsi" w:cs="Calibri"/>
          <w:rtl/>
        </w:rPr>
      </w:pPr>
      <w:r w:rsidRPr="00F65307">
        <w:rPr>
          <w:rFonts w:cs="Calibri"/>
          <w:rtl/>
        </w:rPr>
        <w:lastRenderedPageBreak/>
        <w:t xml:space="preserve">התחזית מאופיינת באי-וודאות באשר לסביבה הגיאופוליטית, ביחס להתפתחויות הביטחוניות בישראל, </w:t>
      </w:r>
      <w:r w:rsidRPr="00F65307">
        <w:rPr>
          <w:rFonts w:cs="Calibri" w:hint="eastAsia"/>
          <w:rtl/>
        </w:rPr>
        <w:t>ו</w:t>
      </w:r>
      <w:r w:rsidRPr="00F65307">
        <w:rPr>
          <w:rFonts w:cs="Calibri"/>
          <w:rtl/>
        </w:rPr>
        <w:t>ברחבי המזרח התיכון.</w:t>
      </w:r>
      <w:r w:rsidRPr="00F65307">
        <w:rPr>
          <w:rtl/>
        </w:rPr>
        <w:t xml:space="preserve"> </w:t>
      </w:r>
      <w:r w:rsidRPr="00F65307">
        <w:rPr>
          <w:rFonts w:cs="Calibri" w:hint="eastAsia"/>
          <w:rtl/>
        </w:rPr>
        <w:t>בנוסף</w:t>
      </w:r>
      <w:r w:rsidRPr="00F65307">
        <w:rPr>
          <w:rFonts w:cs="Calibri"/>
          <w:rtl/>
        </w:rPr>
        <w:t xml:space="preserve"> מאופיינת </w:t>
      </w:r>
      <w:r w:rsidRPr="00F65307">
        <w:rPr>
          <w:rFonts w:cs="Calibri" w:hint="eastAsia"/>
          <w:rtl/>
        </w:rPr>
        <w:t>התחזית</w:t>
      </w:r>
      <w:r w:rsidRPr="00F65307">
        <w:rPr>
          <w:rFonts w:cs="Calibri"/>
          <w:rtl/>
        </w:rPr>
        <w:t xml:space="preserve"> באי-ודאות פיסקלית משמעותית, הן בצד ההכנסות ממיסים והן בצד </w:t>
      </w:r>
      <w:r w:rsidRPr="00AF0BA5">
        <w:rPr>
          <w:rFonts w:cs="Calibri"/>
          <w:rtl/>
        </w:rPr>
        <w:t>ההוצאות</w:t>
      </w:r>
      <w:r w:rsidRPr="00AF0BA5">
        <w:rPr>
          <w:rFonts w:cs="Calibri" w:hint="cs"/>
          <w:rtl/>
        </w:rPr>
        <w:t>.</w:t>
      </w:r>
      <w:r w:rsidRPr="00AF0BA5">
        <w:rPr>
          <w:rtl/>
        </w:rPr>
        <w:t xml:space="preserve"> </w:t>
      </w:r>
      <w:r w:rsidRPr="00AF0BA5">
        <w:rPr>
          <w:rFonts w:cs="Calibri"/>
          <w:rtl/>
        </w:rPr>
        <w:t xml:space="preserve">אי </w:t>
      </w:r>
      <w:r w:rsidRPr="00AF0BA5">
        <w:rPr>
          <w:rFonts w:cs="Calibri" w:hint="cs"/>
          <w:rtl/>
        </w:rPr>
        <w:t>ה</w:t>
      </w:r>
      <w:r w:rsidRPr="00AF0BA5">
        <w:rPr>
          <w:rFonts w:cs="Calibri"/>
          <w:rtl/>
        </w:rPr>
        <w:t xml:space="preserve">ודאות </w:t>
      </w:r>
      <w:r w:rsidRPr="00AF0BA5">
        <w:rPr>
          <w:rFonts w:cs="Calibri" w:hint="cs"/>
          <w:rtl/>
        </w:rPr>
        <w:t xml:space="preserve">גדולה במיוחד לגבי תקציב הביטחון. </w:t>
      </w:r>
      <w:r w:rsidRPr="00AF0BA5">
        <w:rPr>
          <w:rFonts w:cs="Calibri"/>
          <w:rtl/>
        </w:rPr>
        <w:t xml:space="preserve">הגדלה נוספת שלו </w:t>
      </w:r>
      <w:r w:rsidRPr="00AF0BA5">
        <w:rPr>
          <w:rFonts w:cs="Calibri" w:hint="cs"/>
          <w:rtl/>
        </w:rPr>
        <w:t>ללא ביצוע התאמות כנגדה ת</w:t>
      </w:r>
      <w:r w:rsidRPr="00AF0BA5">
        <w:rPr>
          <w:rFonts w:cs="Calibri"/>
          <w:rtl/>
        </w:rPr>
        <w:t xml:space="preserve">וביל לעלייה </w:t>
      </w:r>
      <w:r w:rsidRPr="00AF0BA5">
        <w:rPr>
          <w:rFonts w:cs="Calibri" w:hint="cs"/>
          <w:rtl/>
        </w:rPr>
        <w:t>בגירעון</w:t>
      </w:r>
      <w:r w:rsidRPr="00AF0BA5">
        <w:rPr>
          <w:rFonts w:cs="Calibri"/>
          <w:rtl/>
        </w:rPr>
        <w:t xml:space="preserve"> </w:t>
      </w:r>
      <w:r w:rsidRPr="00AF0BA5">
        <w:rPr>
          <w:rFonts w:cs="Calibri" w:hint="cs"/>
          <w:rtl/>
        </w:rPr>
        <w:t xml:space="preserve">ועלולה להוביל לעלייה </w:t>
      </w:r>
      <w:r w:rsidRPr="00AF0BA5">
        <w:rPr>
          <w:rFonts w:cs="Calibri"/>
          <w:rtl/>
        </w:rPr>
        <w:t>באינפלציה.</w:t>
      </w:r>
      <w:r w:rsidRPr="00AF0BA5">
        <w:rPr>
          <w:rFonts w:cs="Calibri" w:hint="cs"/>
          <w:rtl/>
        </w:rPr>
        <w:t xml:space="preserve"> </w:t>
      </w:r>
    </w:p>
    <w:p w:rsidR="002047CF" w:rsidRPr="00AF0BA5" w:rsidRDefault="002047CF" w:rsidP="002047CF">
      <w:pPr>
        <w:bidi/>
        <w:spacing w:after="0" w:line="360" w:lineRule="auto"/>
        <w:jc w:val="both"/>
        <w:rPr>
          <w:rFonts w:cs="Calibri"/>
          <w:rtl/>
        </w:rPr>
      </w:pPr>
    </w:p>
    <w:p w:rsidR="002047CF" w:rsidRPr="00AF0BA5" w:rsidRDefault="002047CF" w:rsidP="002047CF">
      <w:pPr>
        <w:bidi/>
        <w:spacing w:after="0" w:line="360" w:lineRule="auto"/>
        <w:jc w:val="both"/>
        <w:rPr>
          <w:rFonts w:asciiTheme="minorHAnsi" w:hAnsiTheme="minorHAnsi" w:cstheme="minorHAnsi"/>
          <w:rtl/>
        </w:rPr>
      </w:pPr>
      <w:r w:rsidRPr="00AF0BA5">
        <w:rPr>
          <w:rFonts w:asciiTheme="minorHAnsi" w:hAnsiTheme="minorHAnsi" w:cstheme="minorHAnsi" w:hint="cs"/>
          <w:rtl/>
        </w:rPr>
        <w:t>ב</w:t>
      </w:r>
      <w:r w:rsidRPr="00AF0BA5">
        <w:rPr>
          <w:rFonts w:asciiTheme="minorHAnsi" w:hAnsiTheme="minorHAnsi" w:cs="Calibri" w:hint="cs"/>
          <w:rtl/>
        </w:rPr>
        <w:t xml:space="preserve">עדכון </w:t>
      </w:r>
      <w:r w:rsidRPr="00AF0BA5">
        <w:rPr>
          <w:rFonts w:asciiTheme="minorHAnsi" w:hAnsiTheme="minorHAnsi" w:cs="Calibri" w:hint="eastAsia"/>
          <w:rtl/>
        </w:rPr>
        <w:t>ה</w:t>
      </w:r>
      <w:r w:rsidRPr="00AF0BA5">
        <w:rPr>
          <w:rFonts w:asciiTheme="minorHAnsi" w:hAnsiTheme="minorHAnsi" w:cs="Calibri"/>
          <w:rtl/>
        </w:rPr>
        <w:t xml:space="preserve">אומדן </w:t>
      </w:r>
      <w:r w:rsidRPr="00AF0BA5">
        <w:rPr>
          <w:rFonts w:asciiTheme="minorHAnsi" w:hAnsiTheme="minorHAnsi" w:cs="Calibri" w:hint="eastAsia"/>
          <w:rtl/>
        </w:rPr>
        <w:t>ה</w:t>
      </w:r>
      <w:r w:rsidRPr="00AF0BA5">
        <w:rPr>
          <w:rFonts w:asciiTheme="minorHAnsi" w:hAnsiTheme="minorHAnsi" w:cs="Calibri"/>
          <w:rtl/>
        </w:rPr>
        <w:t xml:space="preserve">שלישי </w:t>
      </w:r>
      <w:r w:rsidRPr="00AF0BA5">
        <w:rPr>
          <w:rFonts w:asciiTheme="minorHAnsi" w:hAnsiTheme="minorHAnsi" w:cs="Calibri" w:hint="eastAsia"/>
          <w:rtl/>
        </w:rPr>
        <w:t>של</w:t>
      </w:r>
      <w:r w:rsidRPr="00AF0BA5">
        <w:rPr>
          <w:rFonts w:asciiTheme="minorHAnsi" w:hAnsiTheme="minorHAnsi" w:cs="Calibri"/>
          <w:rtl/>
        </w:rPr>
        <w:t xml:space="preserve"> נתוני החשבונאות הלאומית </w:t>
      </w:r>
      <w:r w:rsidRPr="00AF0BA5">
        <w:rPr>
          <w:rFonts w:asciiTheme="minorHAnsi" w:hAnsiTheme="minorHAnsi" w:cs="Calibri" w:hint="eastAsia"/>
          <w:rtl/>
        </w:rPr>
        <w:t>לרביע</w:t>
      </w:r>
      <w:r w:rsidRPr="00AF0BA5">
        <w:rPr>
          <w:rFonts w:asciiTheme="minorHAnsi" w:hAnsiTheme="minorHAnsi" w:cs="Calibri"/>
          <w:rtl/>
        </w:rPr>
        <w:t xml:space="preserve"> השני של השנה</w:t>
      </w:r>
      <w:r w:rsidRPr="00AF0BA5">
        <w:rPr>
          <w:rFonts w:asciiTheme="minorHAnsi" w:hAnsiTheme="minorHAnsi" w:cs="Calibri" w:hint="cs"/>
          <w:rtl/>
        </w:rPr>
        <w:t>,</w:t>
      </w:r>
      <w:r w:rsidRPr="00AF0BA5">
        <w:rPr>
          <w:rFonts w:asciiTheme="minorHAnsi" w:hAnsiTheme="minorHAnsi" w:cs="Calibri"/>
          <w:rtl/>
        </w:rPr>
        <w:t xml:space="preserve"> היצוא (ללא יהלומים והזנק) עלה ב-17.7% ביחס לרביע הקודם </w:t>
      </w:r>
      <w:r w:rsidRPr="00AF0BA5">
        <w:rPr>
          <w:rFonts w:asciiTheme="minorHAnsi" w:hAnsiTheme="minorHAnsi" w:cs="Calibri" w:hint="cs"/>
          <w:rtl/>
        </w:rPr>
        <w:t>ו</w:t>
      </w:r>
      <w:r w:rsidRPr="00AF0BA5">
        <w:rPr>
          <w:rFonts w:asciiTheme="minorHAnsi" w:hAnsiTheme="minorHAnsi" w:cs="Calibri"/>
          <w:rtl/>
        </w:rPr>
        <w:t>בניכוי הייצור בחו"ל עלה ב-5%</w:t>
      </w:r>
      <w:r w:rsidRPr="00AF0BA5">
        <w:rPr>
          <w:rFonts w:asciiTheme="minorHAnsi" w:hAnsiTheme="minorHAnsi" w:cs="Calibri" w:hint="cs"/>
          <w:rtl/>
        </w:rPr>
        <w:t>.</w:t>
      </w:r>
      <w:r w:rsidRPr="00AF0BA5">
        <w:rPr>
          <w:rFonts w:asciiTheme="minorHAnsi" w:hAnsiTheme="minorHAnsi" w:cs="Calibri"/>
          <w:rtl/>
        </w:rPr>
        <w:t xml:space="preserve"> בצד המקורות, התוצר העסקי בניכוי ייצור בחו"ל </w:t>
      </w:r>
      <w:r w:rsidRPr="00AF0BA5">
        <w:rPr>
          <w:rFonts w:asciiTheme="minorHAnsi" w:hAnsiTheme="minorHAnsi" w:cs="Calibri" w:hint="cs"/>
          <w:rtl/>
        </w:rPr>
        <w:t xml:space="preserve">עלה </w:t>
      </w:r>
      <w:r w:rsidRPr="00AF0BA5">
        <w:rPr>
          <w:rFonts w:asciiTheme="minorHAnsi" w:hAnsiTheme="minorHAnsi" w:cs="Calibri"/>
          <w:rtl/>
        </w:rPr>
        <w:t>ב-11.8% ביחס לרביע הקודם</w:t>
      </w:r>
      <w:r w:rsidRPr="00AF0BA5">
        <w:rPr>
          <w:rFonts w:asciiTheme="minorHAnsi" w:hAnsiTheme="minorHAnsi" w:cs="Calibri" w:hint="cs"/>
          <w:rtl/>
        </w:rPr>
        <w:t>,</w:t>
      </w:r>
      <w:r w:rsidRPr="00AF0BA5">
        <w:rPr>
          <w:rFonts w:asciiTheme="minorHAnsi" w:hAnsiTheme="minorHAnsi" w:cs="Calibri"/>
          <w:rtl/>
        </w:rPr>
        <w:t xml:space="preserve"> </w:t>
      </w:r>
      <w:r w:rsidRPr="00AF0BA5">
        <w:rPr>
          <w:rFonts w:asciiTheme="minorHAnsi" w:hAnsiTheme="minorHAnsi" w:cs="Calibri" w:hint="cs"/>
          <w:rtl/>
        </w:rPr>
        <w:t>ו</w:t>
      </w:r>
      <w:r w:rsidRPr="00AF0BA5">
        <w:rPr>
          <w:rFonts w:asciiTheme="minorHAnsi" w:hAnsiTheme="minorHAnsi" w:cs="Calibri"/>
          <w:rtl/>
        </w:rPr>
        <w:t xml:space="preserve">היבוא (ללא יבוא ביטחוני, </w:t>
      </w:r>
      <w:proofErr w:type="spellStart"/>
      <w:r w:rsidRPr="00AF0BA5">
        <w:rPr>
          <w:rFonts w:asciiTheme="minorHAnsi" w:hAnsiTheme="minorHAnsi" w:cs="Calibri"/>
          <w:rtl/>
        </w:rPr>
        <w:t>אוניות</w:t>
      </w:r>
      <w:proofErr w:type="spellEnd"/>
      <w:r w:rsidRPr="00AF0BA5">
        <w:rPr>
          <w:rFonts w:asciiTheme="minorHAnsi" w:hAnsiTheme="minorHAnsi" w:cs="Calibri"/>
          <w:rtl/>
        </w:rPr>
        <w:t>, מטוסים ויהלומים) עלה ב-24%.</w:t>
      </w:r>
      <w:r w:rsidRPr="00AF0BA5">
        <w:rPr>
          <w:rFonts w:asciiTheme="minorHAnsi" w:hAnsiTheme="minorHAnsi" w:cs="Calibri" w:hint="cs"/>
          <w:rtl/>
        </w:rPr>
        <w:t xml:space="preserve"> </w:t>
      </w:r>
      <w:r w:rsidRPr="00AF0BA5">
        <w:rPr>
          <w:rFonts w:asciiTheme="minorHAnsi" w:hAnsiTheme="minorHAnsi" w:cs="Calibri"/>
          <w:rtl/>
        </w:rPr>
        <w:t>התוצר בניכוי הייצור בחו"ל נמוך בכ-3.</w:t>
      </w:r>
      <w:r w:rsidRPr="00AF0BA5">
        <w:rPr>
          <w:rFonts w:asciiTheme="minorHAnsi" w:hAnsiTheme="minorHAnsi" w:cs="Calibri" w:hint="cs"/>
          <w:rtl/>
        </w:rPr>
        <w:t>7</w:t>
      </w:r>
      <w:r w:rsidRPr="00AF0BA5">
        <w:rPr>
          <w:rFonts w:asciiTheme="minorHAnsi" w:hAnsiTheme="minorHAnsi" w:cs="Calibri"/>
          <w:rtl/>
        </w:rPr>
        <w:t>%</w:t>
      </w:r>
      <w:r w:rsidRPr="00AF0BA5">
        <w:rPr>
          <w:rFonts w:asciiTheme="minorHAnsi" w:hAnsiTheme="minorHAnsi" w:cs="Calibri" w:hint="cs"/>
          <w:rtl/>
        </w:rPr>
        <w:t xml:space="preserve"> ממגמתו ארוכת הטווח</w:t>
      </w:r>
      <w:r w:rsidRPr="00AF0BA5">
        <w:rPr>
          <w:rFonts w:asciiTheme="minorHAnsi" w:hAnsiTheme="minorHAnsi" w:cs="Calibri"/>
          <w:rtl/>
        </w:rPr>
        <w:t xml:space="preserve"> </w:t>
      </w:r>
      <w:r w:rsidRPr="00AF0BA5">
        <w:rPr>
          <w:rFonts w:asciiTheme="minorHAnsi" w:hAnsiTheme="minorHAnsi" w:cs="Calibri" w:hint="cs"/>
          <w:rtl/>
        </w:rPr>
        <w:t>ו</w:t>
      </w:r>
      <w:r w:rsidRPr="00AF0BA5">
        <w:rPr>
          <w:rFonts w:asciiTheme="minorHAnsi" w:hAnsiTheme="minorHAnsi" w:cs="Calibri"/>
          <w:rtl/>
        </w:rPr>
        <w:t xml:space="preserve">התוצר העסקי </w:t>
      </w:r>
      <w:r w:rsidRPr="00AF0BA5">
        <w:rPr>
          <w:rFonts w:asciiTheme="minorHAnsi" w:hAnsiTheme="minorHAnsi" w:cs="Calibri" w:hint="cs"/>
          <w:rtl/>
        </w:rPr>
        <w:t xml:space="preserve">בניכוי הייצור בחו"ל </w:t>
      </w:r>
      <w:r w:rsidRPr="00AF0BA5">
        <w:rPr>
          <w:rFonts w:asciiTheme="minorHAnsi" w:hAnsiTheme="minorHAnsi" w:cs="Calibri"/>
          <w:rtl/>
        </w:rPr>
        <w:t>נמוך בכ-5.</w:t>
      </w:r>
      <w:r w:rsidRPr="00AF0BA5">
        <w:rPr>
          <w:rFonts w:asciiTheme="minorHAnsi" w:hAnsiTheme="minorHAnsi" w:cs="Calibri" w:hint="cs"/>
          <w:rtl/>
        </w:rPr>
        <w:t>4</w:t>
      </w:r>
      <w:r w:rsidRPr="00AF0BA5">
        <w:rPr>
          <w:rFonts w:asciiTheme="minorHAnsi" w:hAnsiTheme="minorHAnsi" w:cs="Calibri"/>
          <w:rtl/>
        </w:rPr>
        <w:t>%</w:t>
      </w:r>
      <w:r w:rsidRPr="00AF0BA5">
        <w:rPr>
          <w:rFonts w:asciiTheme="minorHAnsi" w:hAnsiTheme="minorHAnsi" w:cs="Calibri" w:hint="cs"/>
          <w:rtl/>
        </w:rPr>
        <w:t xml:space="preserve"> ממגמתו</w:t>
      </w:r>
      <w:r w:rsidRPr="00AF0BA5">
        <w:rPr>
          <w:rFonts w:asciiTheme="minorHAnsi" w:hAnsiTheme="minorHAnsi" w:cs="Calibri"/>
          <w:rtl/>
        </w:rPr>
        <w:t xml:space="preserve"> </w:t>
      </w:r>
      <w:r w:rsidRPr="00AF0BA5">
        <w:rPr>
          <w:rFonts w:asciiTheme="minorHAnsi" w:hAnsiTheme="minorHAnsi" w:cs="Calibri"/>
          <w:b/>
          <w:bCs/>
          <w:rtl/>
        </w:rPr>
        <w:t xml:space="preserve">(איור </w:t>
      </w:r>
      <w:r>
        <w:rPr>
          <w:rFonts w:asciiTheme="minorHAnsi" w:hAnsiTheme="minorHAnsi" w:cs="Calibri"/>
          <w:b/>
          <w:bCs/>
        </w:rPr>
        <w:t>11</w:t>
      </w:r>
      <w:r w:rsidRPr="00AF0BA5">
        <w:rPr>
          <w:rFonts w:asciiTheme="minorHAnsi" w:hAnsiTheme="minorHAnsi" w:cs="Calibri"/>
          <w:b/>
          <w:bCs/>
          <w:rtl/>
        </w:rPr>
        <w:t>)</w:t>
      </w:r>
      <w:r w:rsidRPr="00AF0BA5">
        <w:rPr>
          <w:rFonts w:asciiTheme="minorHAnsi" w:hAnsiTheme="minorHAnsi" w:cs="Calibri"/>
          <w:rtl/>
        </w:rPr>
        <w:t>.</w:t>
      </w:r>
      <w:r w:rsidRPr="00AF0BA5">
        <w:rPr>
          <w:rFonts w:asciiTheme="minorHAnsi" w:hAnsiTheme="minorHAnsi" w:cstheme="minorHAnsi" w:hint="cs"/>
          <w:shd w:val="clear" w:color="auto" w:fill="FFFFFF" w:themeFill="background1"/>
          <w:rtl/>
        </w:rPr>
        <w:t xml:space="preserve"> </w:t>
      </w:r>
    </w:p>
    <w:p w:rsidR="002047CF" w:rsidRPr="00AF0BA5" w:rsidRDefault="002047CF" w:rsidP="002047CF">
      <w:pPr>
        <w:bidi/>
        <w:spacing w:after="0" w:line="360" w:lineRule="auto"/>
        <w:jc w:val="both"/>
        <w:rPr>
          <w:rFonts w:cs="Calibri"/>
          <w:rtl/>
        </w:rPr>
      </w:pPr>
    </w:p>
    <w:p w:rsidR="002047CF" w:rsidRPr="00AF0BA5" w:rsidRDefault="002047CF" w:rsidP="002047CF">
      <w:pPr>
        <w:bidi/>
        <w:spacing w:after="0" w:line="360" w:lineRule="auto"/>
        <w:jc w:val="both"/>
        <w:rPr>
          <w:rFonts w:asciiTheme="minorHAnsi" w:hAnsiTheme="minorHAnsi" w:cs="Calibri"/>
          <w:rtl/>
        </w:rPr>
      </w:pPr>
      <w:r w:rsidRPr="00AF0BA5">
        <w:rPr>
          <w:rFonts w:cs="Calibri" w:hint="cs"/>
          <w:rtl/>
        </w:rPr>
        <w:t xml:space="preserve">האינדיקטורים השוטפים לפעילות הכלכלית מצביעים על המשך צמיחה לאחר </w:t>
      </w:r>
      <w:r>
        <w:rPr>
          <w:rFonts w:cs="Calibri" w:hint="cs"/>
          <w:rtl/>
        </w:rPr>
        <w:t>ה</w:t>
      </w:r>
      <w:r w:rsidRPr="00AF0BA5">
        <w:rPr>
          <w:rFonts w:cs="Calibri" w:hint="cs"/>
          <w:rtl/>
        </w:rPr>
        <w:t xml:space="preserve">התאוששות </w:t>
      </w:r>
      <w:r>
        <w:rPr>
          <w:rFonts w:cs="Calibri" w:hint="cs"/>
          <w:rtl/>
        </w:rPr>
        <w:t>ה</w:t>
      </w:r>
      <w:r w:rsidRPr="00AF0BA5">
        <w:rPr>
          <w:rFonts w:cs="Calibri" w:hint="cs"/>
          <w:rtl/>
        </w:rPr>
        <w:t>מהירה ברביע השני מהשפעות מבצע "שאגת הארי", וזאת לצד התמשכות מגבלות היצע. ה</w:t>
      </w:r>
      <w:r w:rsidRPr="00AF0BA5">
        <w:rPr>
          <w:rFonts w:asciiTheme="minorHAnsi" w:hAnsiTheme="minorHAnsi" w:cs="Calibri"/>
          <w:rtl/>
        </w:rPr>
        <w:t xml:space="preserve">הוצאות בכרטיסי אשראי במחירים שוטפים </w:t>
      </w:r>
      <w:r w:rsidRPr="00AF0BA5">
        <w:rPr>
          <w:rFonts w:asciiTheme="minorHAnsi" w:hAnsiTheme="minorHAnsi" w:cs="Calibri" w:hint="cs"/>
          <w:rtl/>
        </w:rPr>
        <w:t xml:space="preserve">תנודתיות ומצויות בקרבת </w:t>
      </w:r>
      <w:r w:rsidRPr="00AF0BA5">
        <w:rPr>
          <w:rFonts w:asciiTheme="minorHAnsi" w:hAnsiTheme="minorHAnsi" w:cs="Calibri"/>
          <w:rtl/>
        </w:rPr>
        <w:t xml:space="preserve">קו המגמה </w:t>
      </w:r>
      <w:r w:rsidRPr="00AF0BA5">
        <w:rPr>
          <w:rFonts w:asciiTheme="minorHAnsi" w:hAnsiTheme="minorHAnsi" w:cs="Calibri" w:hint="cs"/>
          <w:rtl/>
        </w:rPr>
        <w:t xml:space="preserve">ארוך הטווח </w:t>
      </w:r>
      <w:r w:rsidRPr="00AF0BA5">
        <w:rPr>
          <w:rFonts w:asciiTheme="minorHAnsi" w:hAnsiTheme="minorHAnsi" w:cstheme="minorHAnsi"/>
          <w:b/>
          <w:bCs/>
          <w:rtl/>
        </w:rPr>
        <w:t xml:space="preserve">(איור </w:t>
      </w:r>
      <w:r w:rsidRPr="00AF0BA5">
        <w:rPr>
          <w:rFonts w:asciiTheme="minorHAnsi" w:hAnsiTheme="minorHAnsi" w:cstheme="minorHAnsi" w:hint="cs"/>
          <w:b/>
          <w:bCs/>
          <w:rtl/>
        </w:rPr>
        <w:t>13</w:t>
      </w:r>
      <w:r w:rsidRPr="00AF0BA5">
        <w:rPr>
          <w:rFonts w:asciiTheme="minorHAnsi" w:hAnsiTheme="minorHAnsi" w:cstheme="minorHAnsi"/>
          <w:b/>
          <w:bCs/>
          <w:rtl/>
        </w:rPr>
        <w:t>).</w:t>
      </w:r>
      <w:r w:rsidRPr="00AF0BA5">
        <w:rPr>
          <w:rFonts w:asciiTheme="minorHAnsi" w:hAnsiTheme="minorHAnsi" w:cstheme="minorHAnsi" w:hint="cs"/>
          <w:rtl/>
        </w:rPr>
        <w:t xml:space="preserve"> ה</w:t>
      </w:r>
      <w:r w:rsidRPr="00AF0BA5">
        <w:rPr>
          <w:rFonts w:asciiTheme="minorHAnsi" w:hAnsiTheme="minorHAnsi" w:cstheme="minorHAnsi"/>
          <w:rtl/>
        </w:rPr>
        <w:t xml:space="preserve">מאזן המצרפי בסקר המגמות בעסקים של </w:t>
      </w:r>
      <w:proofErr w:type="spellStart"/>
      <w:r w:rsidRPr="00AF0BA5">
        <w:rPr>
          <w:rFonts w:asciiTheme="minorHAnsi" w:hAnsiTheme="minorHAnsi" w:cstheme="minorHAnsi"/>
          <w:rtl/>
        </w:rPr>
        <w:t>הלמ"ס</w:t>
      </w:r>
      <w:proofErr w:type="spellEnd"/>
      <w:r w:rsidRPr="00AF0BA5">
        <w:rPr>
          <w:rFonts w:asciiTheme="minorHAnsi" w:hAnsiTheme="minorHAnsi" w:cstheme="minorHAnsi" w:hint="cs"/>
          <w:rtl/>
        </w:rPr>
        <w:t xml:space="preserve"> </w:t>
      </w:r>
      <w:r w:rsidRPr="00AF0BA5">
        <w:rPr>
          <w:rFonts w:asciiTheme="minorHAnsi" w:hAnsiTheme="minorHAnsi" w:cstheme="minorHAnsi"/>
          <w:rtl/>
        </w:rPr>
        <w:t xml:space="preserve">לחודש </w:t>
      </w:r>
      <w:r w:rsidRPr="00AF0BA5">
        <w:rPr>
          <w:rFonts w:asciiTheme="minorHAnsi" w:hAnsiTheme="minorHAnsi" w:cstheme="minorHAnsi" w:hint="cs"/>
          <w:rtl/>
        </w:rPr>
        <w:t xml:space="preserve">ספטמבר </w:t>
      </w:r>
      <w:r w:rsidRPr="00AF0BA5">
        <w:rPr>
          <w:rFonts w:asciiTheme="minorHAnsi" w:hAnsiTheme="minorHAnsi" w:cs="Calibri" w:hint="cs"/>
          <w:rtl/>
        </w:rPr>
        <w:t>עלה</w:t>
      </w:r>
      <w:r w:rsidRPr="00AF0BA5">
        <w:rPr>
          <w:rFonts w:asciiTheme="minorHAnsi" w:hAnsiTheme="minorHAnsi" w:cs="Calibri"/>
          <w:rtl/>
        </w:rPr>
        <w:t xml:space="preserve"> </w:t>
      </w:r>
      <w:r w:rsidRPr="00AF0BA5">
        <w:rPr>
          <w:rFonts w:asciiTheme="minorHAnsi" w:hAnsiTheme="minorHAnsi" w:cs="Calibri" w:hint="cs"/>
          <w:rtl/>
        </w:rPr>
        <w:t>והוא חזר לרמתו ערב</w:t>
      </w:r>
      <w:r w:rsidRPr="00AF0BA5">
        <w:rPr>
          <w:rFonts w:asciiTheme="minorHAnsi" w:hAnsiTheme="minorHAnsi" w:cs="Calibri"/>
          <w:rtl/>
        </w:rPr>
        <w:t xml:space="preserve"> </w:t>
      </w:r>
      <w:r w:rsidRPr="00AF0BA5">
        <w:rPr>
          <w:rFonts w:asciiTheme="minorHAnsi" w:hAnsiTheme="minorHAnsi" w:cs="Calibri" w:hint="cs"/>
          <w:rtl/>
        </w:rPr>
        <w:t>"</w:t>
      </w:r>
      <w:r w:rsidRPr="00AF0BA5">
        <w:rPr>
          <w:rFonts w:asciiTheme="minorHAnsi" w:hAnsiTheme="minorHAnsi" w:cs="Calibri"/>
          <w:rtl/>
        </w:rPr>
        <w:t>שאגת הארי</w:t>
      </w:r>
      <w:r w:rsidRPr="00AF0BA5">
        <w:rPr>
          <w:rFonts w:asciiTheme="minorHAnsi" w:hAnsiTheme="minorHAnsi" w:cs="Calibri" w:hint="cs"/>
          <w:rtl/>
        </w:rPr>
        <w:t xml:space="preserve">". </w:t>
      </w:r>
      <w:r w:rsidRPr="00AF0BA5">
        <w:rPr>
          <w:rFonts w:asciiTheme="minorHAnsi" w:hAnsiTheme="minorHAnsi" w:cs="Calibri"/>
          <w:rtl/>
        </w:rPr>
        <w:t xml:space="preserve">השיפור במאזן הנטו </w:t>
      </w:r>
      <w:r w:rsidRPr="00AF0BA5">
        <w:rPr>
          <w:rFonts w:asciiTheme="minorHAnsi" w:hAnsiTheme="minorHAnsi" w:cs="Calibri" w:hint="cs"/>
          <w:rtl/>
        </w:rPr>
        <w:t>ה</w:t>
      </w:r>
      <w:r w:rsidRPr="00AF0BA5">
        <w:rPr>
          <w:rFonts w:asciiTheme="minorHAnsi" w:hAnsiTheme="minorHAnsi" w:cs="Calibri"/>
          <w:rtl/>
        </w:rPr>
        <w:t>תבטא בעיקר בענפי המלונאות והשירות</w:t>
      </w:r>
      <w:r w:rsidRPr="00AF0BA5">
        <w:rPr>
          <w:rFonts w:asciiTheme="minorHAnsi" w:hAnsiTheme="minorHAnsi" w:cs="Calibri" w:hint="cs"/>
          <w:rtl/>
        </w:rPr>
        <w:t xml:space="preserve">ים, </w:t>
      </w:r>
      <w:r w:rsidRPr="00AF0BA5">
        <w:rPr>
          <w:rFonts w:asciiTheme="minorHAnsi" w:hAnsiTheme="minorHAnsi" w:cs="Calibri"/>
          <w:rtl/>
        </w:rPr>
        <w:t xml:space="preserve">לעומת זאת, בענף הבינוי ובמרבית ענפי התעשייה נרשמה </w:t>
      </w:r>
      <w:r w:rsidRPr="00AF0BA5">
        <w:rPr>
          <w:rFonts w:asciiTheme="minorHAnsi" w:hAnsiTheme="minorHAnsi" w:cs="Calibri" w:hint="cs"/>
          <w:rtl/>
        </w:rPr>
        <w:t>ירידה</w:t>
      </w:r>
      <w:r w:rsidRPr="00AF0BA5">
        <w:rPr>
          <w:rFonts w:asciiTheme="minorHAnsi" w:hAnsiTheme="minorHAnsi" w:cs="Calibri"/>
          <w:rtl/>
        </w:rPr>
        <w:t xml:space="preserve"> קלה </w:t>
      </w:r>
      <w:r w:rsidRPr="00AF0BA5">
        <w:rPr>
          <w:rFonts w:asciiTheme="minorHAnsi" w:hAnsiTheme="minorHAnsi" w:cstheme="minorHAnsi"/>
          <w:b/>
          <w:bCs/>
          <w:rtl/>
        </w:rPr>
        <w:t>(איור 1</w:t>
      </w:r>
      <w:r w:rsidRPr="00AF0BA5">
        <w:rPr>
          <w:rFonts w:asciiTheme="minorHAnsi" w:hAnsiTheme="minorHAnsi" w:cstheme="minorHAnsi" w:hint="cs"/>
          <w:b/>
          <w:bCs/>
          <w:rtl/>
        </w:rPr>
        <w:t>2</w:t>
      </w:r>
      <w:r w:rsidRPr="00AF0BA5">
        <w:rPr>
          <w:rFonts w:asciiTheme="minorHAnsi" w:hAnsiTheme="minorHAnsi" w:cstheme="minorHAnsi"/>
          <w:b/>
          <w:bCs/>
          <w:rtl/>
        </w:rPr>
        <w:t>)</w:t>
      </w:r>
      <w:r w:rsidRPr="00AF0BA5">
        <w:rPr>
          <w:rFonts w:asciiTheme="minorHAnsi" w:hAnsiTheme="minorHAnsi" w:cstheme="minorHAnsi"/>
          <w:rtl/>
        </w:rPr>
        <w:t>.</w:t>
      </w:r>
      <w:r w:rsidRPr="00AF0BA5">
        <w:rPr>
          <w:rFonts w:asciiTheme="minorHAnsi" w:hAnsiTheme="minorHAnsi" w:cstheme="minorHAnsi" w:hint="cs"/>
          <w:rtl/>
        </w:rPr>
        <w:t xml:space="preserve"> </w:t>
      </w:r>
      <w:r w:rsidRPr="00AF0BA5">
        <w:rPr>
          <w:rFonts w:asciiTheme="minorHAnsi" w:hAnsiTheme="minorHAnsi" w:cstheme="minorHAnsi"/>
          <w:shd w:val="clear" w:color="auto" w:fill="FFFFFF" w:themeFill="background1"/>
          <w:rtl/>
        </w:rPr>
        <w:t>גיוסי</w:t>
      </w:r>
      <w:r w:rsidRPr="00AF0BA5">
        <w:rPr>
          <w:rFonts w:asciiTheme="minorHAnsi" w:hAnsiTheme="minorHAnsi" w:cstheme="minorHAnsi"/>
          <w:rtl/>
        </w:rPr>
        <w:t xml:space="preserve"> ההון במגזר ההייטק </w:t>
      </w:r>
      <w:r w:rsidRPr="00AF0BA5">
        <w:rPr>
          <w:rFonts w:asciiTheme="minorHAnsi" w:hAnsiTheme="minorHAnsi" w:cstheme="minorHAnsi" w:hint="eastAsia"/>
          <w:rtl/>
        </w:rPr>
        <w:t>ברביע</w:t>
      </w:r>
      <w:r w:rsidRPr="00AF0BA5">
        <w:rPr>
          <w:rFonts w:asciiTheme="minorHAnsi" w:hAnsiTheme="minorHAnsi" w:cstheme="minorHAnsi"/>
          <w:rtl/>
        </w:rPr>
        <w:t xml:space="preserve"> </w:t>
      </w:r>
      <w:r w:rsidRPr="00AF0BA5">
        <w:rPr>
          <w:rFonts w:asciiTheme="minorHAnsi" w:hAnsiTheme="minorHAnsi" w:cstheme="minorHAnsi" w:hint="cs"/>
          <w:rtl/>
        </w:rPr>
        <w:t>השלישי</w:t>
      </w:r>
      <w:r w:rsidRPr="00AF0BA5">
        <w:rPr>
          <w:rFonts w:asciiTheme="minorHAnsi" w:hAnsiTheme="minorHAnsi" w:cstheme="minorHAnsi"/>
          <w:rtl/>
        </w:rPr>
        <w:t xml:space="preserve"> של הש</w:t>
      </w:r>
      <w:r w:rsidRPr="00AF0BA5">
        <w:rPr>
          <w:rFonts w:asciiTheme="minorHAnsi" w:hAnsiTheme="minorHAnsi" w:cstheme="minorHAnsi" w:hint="eastAsia"/>
          <w:rtl/>
        </w:rPr>
        <w:t>נה</w:t>
      </w:r>
      <w:r w:rsidRPr="00AF0BA5">
        <w:rPr>
          <w:rFonts w:asciiTheme="minorHAnsi" w:hAnsiTheme="minorHAnsi" w:cstheme="minorHAnsi"/>
          <w:rtl/>
        </w:rPr>
        <w:t xml:space="preserve"> </w:t>
      </w:r>
      <w:r w:rsidRPr="00AF0BA5">
        <w:rPr>
          <w:rFonts w:asciiTheme="minorHAnsi" w:hAnsiTheme="minorHAnsi" w:cstheme="minorHAnsi" w:hint="cs"/>
          <w:rtl/>
        </w:rPr>
        <w:t xml:space="preserve">עומדים על כ-4.7 מיליארדי דולרים, רמה דומה לרביעים הקודמים של השנה </w:t>
      </w:r>
      <w:r w:rsidRPr="00AF0BA5">
        <w:rPr>
          <w:rFonts w:asciiTheme="minorHAnsi" w:hAnsiTheme="minorHAnsi" w:cstheme="minorHAnsi"/>
          <w:b/>
          <w:bCs/>
          <w:rtl/>
        </w:rPr>
        <w:t xml:space="preserve">(איור </w:t>
      </w:r>
      <w:r w:rsidRPr="00AF0BA5">
        <w:rPr>
          <w:rFonts w:asciiTheme="minorHAnsi" w:hAnsiTheme="minorHAnsi" w:cstheme="minorHAnsi" w:hint="cs"/>
          <w:b/>
          <w:bCs/>
          <w:rtl/>
        </w:rPr>
        <w:t>14</w:t>
      </w:r>
      <w:r w:rsidRPr="00AF0BA5">
        <w:rPr>
          <w:rFonts w:asciiTheme="minorHAnsi" w:hAnsiTheme="minorHAnsi" w:cstheme="minorHAnsi"/>
          <w:b/>
          <w:bCs/>
          <w:rtl/>
        </w:rPr>
        <w:t>)</w:t>
      </w:r>
      <w:r w:rsidRPr="00AF0BA5">
        <w:rPr>
          <w:rFonts w:asciiTheme="minorHAnsi" w:hAnsiTheme="minorHAnsi" w:cstheme="minorHAnsi"/>
          <w:rtl/>
        </w:rPr>
        <w:t>.</w:t>
      </w:r>
      <w:r w:rsidRPr="00AF0BA5">
        <w:rPr>
          <w:rFonts w:asciiTheme="minorHAnsi" w:hAnsiTheme="minorHAnsi" w:cs="Calibri" w:hint="cs"/>
          <w:rtl/>
        </w:rPr>
        <w:t xml:space="preserve"> </w:t>
      </w:r>
      <w:r w:rsidRPr="00AF0BA5">
        <w:rPr>
          <w:rFonts w:asciiTheme="minorHAnsi" w:hAnsiTheme="minorHAnsi" w:cs="Calibri"/>
          <w:rtl/>
        </w:rPr>
        <w:t xml:space="preserve">נתוני סחר החוץ לחודש </w:t>
      </w:r>
      <w:r w:rsidRPr="00AF0BA5">
        <w:rPr>
          <w:rFonts w:asciiTheme="minorHAnsi" w:hAnsiTheme="minorHAnsi" w:cs="Calibri" w:hint="cs"/>
          <w:rtl/>
        </w:rPr>
        <w:t>ספטמבר</w:t>
      </w:r>
      <w:r w:rsidRPr="00AF0BA5">
        <w:rPr>
          <w:rFonts w:asciiTheme="minorHAnsi" w:hAnsiTheme="minorHAnsi" w:cs="Calibri"/>
          <w:rtl/>
        </w:rPr>
        <w:t xml:space="preserve"> מצביעים על </w:t>
      </w:r>
      <w:r w:rsidRPr="00AF0BA5">
        <w:rPr>
          <w:rFonts w:asciiTheme="minorHAnsi" w:hAnsiTheme="minorHAnsi" w:cs="Calibri" w:hint="cs"/>
          <w:rtl/>
        </w:rPr>
        <w:t>עליה</w:t>
      </w:r>
      <w:r w:rsidRPr="00AF0BA5">
        <w:rPr>
          <w:rFonts w:asciiTheme="minorHAnsi" w:hAnsiTheme="minorHAnsi" w:cs="Calibri"/>
          <w:rtl/>
        </w:rPr>
        <w:t xml:space="preserve"> </w:t>
      </w:r>
      <w:r w:rsidRPr="00AF0BA5">
        <w:rPr>
          <w:rFonts w:asciiTheme="minorHAnsi" w:hAnsiTheme="minorHAnsi" w:cs="Calibri" w:hint="cs"/>
          <w:rtl/>
        </w:rPr>
        <w:t xml:space="preserve">ביצוא ויבוא הסחורות במונחים דולריים </w:t>
      </w:r>
      <w:r w:rsidRPr="00AF0BA5">
        <w:rPr>
          <w:rFonts w:asciiTheme="minorHAnsi" w:hAnsiTheme="minorHAnsi" w:cstheme="minorHAnsi"/>
          <w:b/>
          <w:bCs/>
          <w:rtl/>
        </w:rPr>
        <w:t xml:space="preserve">(איור </w:t>
      </w:r>
      <w:r>
        <w:rPr>
          <w:rFonts w:asciiTheme="minorHAnsi" w:hAnsiTheme="minorHAnsi" w:cstheme="minorHAnsi" w:hint="cs"/>
          <w:b/>
          <w:bCs/>
          <w:rtl/>
        </w:rPr>
        <w:t>21-22</w:t>
      </w:r>
      <w:r w:rsidRPr="00AF0BA5">
        <w:rPr>
          <w:rFonts w:asciiTheme="minorHAnsi" w:hAnsiTheme="minorHAnsi" w:cstheme="minorHAnsi"/>
          <w:b/>
          <w:bCs/>
          <w:rtl/>
        </w:rPr>
        <w:t>)</w:t>
      </w:r>
      <w:r w:rsidRPr="00AF0BA5">
        <w:rPr>
          <w:rFonts w:asciiTheme="minorHAnsi" w:hAnsiTheme="minorHAnsi" w:cstheme="minorHAnsi"/>
          <w:rtl/>
        </w:rPr>
        <w:t>.</w:t>
      </w:r>
      <w:r w:rsidRPr="00AF0BA5">
        <w:rPr>
          <w:rtl/>
        </w:rPr>
        <w:t xml:space="preserve"> </w:t>
      </w:r>
      <w:r w:rsidRPr="00AF0BA5">
        <w:rPr>
          <w:rFonts w:asciiTheme="minorHAnsi" w:hAnsiTheme="minorHAnsi" w:cs="Calibri"/>
          <w:rtl/>
        </w:rPr>
        <w:t xml:space="preserve"> </w:t>
      </w:r>
    </w:p>
    <w:p w:rsidR="002047CF" w:rsidRPr="00AF0BA5" w:rsidRDefault="002047CF" w:rsidP="002047CF">
      <w:pPr>
        <w:bidi/>
        <w:spacing w:after="0" w:line="360" w:lineRule="auto"/>
        <w:jc w:val="both"/>
        <w:rPr>
          <w:rFonts w:asciiTheme="minorHAnsi" w:hAnsiTheme="minorHAnsi" w:cstheme="minorHAnsi"/>
          <w:rtl/>
        </w:rPr>
      </w:pPr>
    </w:p>
    <w:p w:rsidR="002047CF" w:rsidRPr="00AF0BA5" w:rsidRDefault="002047CF" w:rsidP="002047CF">
      <w:pPr>
        <w:bidi/>
        <w:spacing w:after="0" w:line="360" w:lineRule="auto"/>
        <w:jc w:val="both"/>
        <w:rPr>
          <w:rFonts w:asciiTheme="minorHAnsi" w:hAnsiTheme="minorHAnsi" w:cstheme="minorHAnsi"/>
          <w:rtl/>
        </w:rPr>
      </w:pPr>
      <w:r w:rsidRPr="00AF0BA5">
        <w:rPr>
          <w:rFonts w:asciiTheme="minorHAnsi" w:hAnsiTheme="minorHAnsi" w:cs="Calibri"/>
          <w:rtl/>
        </w:rPr>
        <w:t xml:space="preserve">הגירעון המצטבר </w:t>
      </w:r>
      <w:r w:rsidRPr="00AF0BA5">
        <w:rPr>
          <w:rFonts w:asciiTheme="minorHAnsi" w:hAnsiTheme="minorHAnsi" w:cs="Calibri" w:hint="cs"/>
          <w:rtl/>
        </w:rPr>
        <w:t xml:space="preserve">של הממשלה </w:t>
      </w:r>
      <w:r w:rsidRPr="00AF0BA5">
        <w:rPr>
          <w:rFonts w:asciiTheme="minorHAnsi" w:hAnsiTheme="minorHAnsi" w:cs="Calibri"/>
          <w:rtl/>
        </w:rPr>
        <w:t xml:space="preserve">ב-12 החודשים האחרונים </w:t>
      </w:r>
      <w:r w:rsidRPr="00AF0BA5">
        <w:rPr>
          <w:rFonts w:asciiTheme="minorHAnsi" w:hAnsiTheme="minorHAnsi" w:cs="Calibri" w:hint="cs"/>
          <w:rtl/>
        </w:rPr>
        <w:t>עמד בחודש ספטמבר על 3.2 אחוזי</w:t>
      </w:r>
      <w:r w:rsidRPr="00AF0BA5">
        <w:rPr>
          <w:rFonts w:asciiTheme="minorHAnsi" w:hAnsiTheme="minorHAnsi" w:cs="Calibri"/>
          <w:rtl/>
        </w:rPr>
        <w:t xml:space="preserve"> תוצר</w:t>
      </w:r>
      <w:r w:rsidRPr="00AF0BA5">
        <w:rPr>
          <w:rFonts w:asciiTheme="minorHAnsi" w:hAnsiTheme="minorHAnsi" w:cs="Calibri" w:hint="cs"/>
          <w:rtl/>
        </w:rPr>
        <w:t>, מתחת ליעד הגירעון של הממשלה לשנת 2026. זאת,</w:t>
      </w:r>
      <w:r w:rsidRPr="00AF0BA5">
        <w:rPr>
          <w:rFonts w:asciiTheme="minorHAnsi" w:hAnsiTheme="minorHAnsi" w:cs="Calibri"/>
          <w:rtl/>
        </w:rPr>
        <w:t xml:space="preserve"> </w:t>
      </w:r>
      <w:r w:rsidRPr="00AF0BA5">
        <w:rPr>
          <w:rFonts w:asciiTheme="minorHAnsi" w:hAnsiTheme="minorHAnsi" w:cs="Calibri" w:hint="cs"/>
          <w:rtl/>
        </w:rPr>
        <w:t>בשל</w:t>
      </w:r>
      <w:r w:rsidRPr="00AF0BA5">
        <w:rPr>
          <w:rFonts w:asciiTheme="minorHAnsi" w:hAnsiTheme="minorHAnsi" w:cs="Calibri"/>
          <w:rtl/>
        </w:rPr>
        <w:t xml:space="preserve"> </w:t>
      </w:r>
      <w:r w:rsidRPr="00AF0BA5">
        <w:rPr>
          <w:rFonts w:asciiTheme="minorHAnsi" w:hAnsiTheme="minorHAnsi" w:cs="Calibri" w:hint="cs"/>
          <w:rtl/>
        </w:rPr>
        <w:t xml:space="preserve">שני גורמים: 1) </w:t>
      </w:r>
      <w:r w:rsidRPr="00AF0BA5">
        <w:rPr>
          <w:rFonts w:asciiTheme="minorHAnsi" w:hAnsiTheme="minorHAnsi" w:cs="Calibri"/>
          <w:rtl/>
        </w:rPr>
        <w:t>התקציב ההמשכי ברביע הראשון של השנה</w:t>
      </w:r>
      <w:r w:rsidRPr="00AF0BA5">
        <w:rPr>
          <w:rFonts w:asciiTheme="minorHAnsi" w:hAnsiTheme="minorHAnsi" w:cs="Calibri" w:hint="cs"/>
          <w:rtl/>
        </w:rPr>
        <w:t>, שהוביל</w:t>
      </w:r>
      <w:r w:rsidRPr="00AF0BA5">
        <w:rPr>
          <w:rFonts w:asciiTheme="minorHAnsi" w:hAnsiTheme="minorHAnsi" w:cs="Calibri"/>
          <w:rtl/>
        </w:rPr>
        <w:t xml:space="preserve"> </w:t>
      </w:r>
      <w:r w:rsidRPr="00AF0BA5">
        <w:rPr>
          <w:rFonts w:asciiTheme="minorHAnsi" w:hAnsiTheme="minorHAnsi" w:cs="Calibri" w:hint="cs"/>
          <w:rtl/>
        </w:rPr>
        <w:t>עד כה</w:t>
      </w:r>
      <w:r w:rsidRPr="00AF0BA5">
        <w:rPr>
          <w:rFonts w:asciiTheme="minorHAnsi" w:hAnsiTheme="minorHAnsi" w:cs="Calibri"/>
          <w:rtl/>
        </w:rPr>
        <w:t xml:space="preserve"> </w:t>
      </w:r>
      <w:r w:rsidRPr="00AF0BA5">
        <w:rPr>
          <w:rFonts w:asciiTheme="minorHAnsi" w:hAnsiTheme="minorHAnsi" w:cs="Calibri" w:hint="cs"/>
          <w:rtl/>
        </w:rPr>
        <w:t xml:space="preserve">לתת ביצוע של </w:t>
      </w:r>
      <w:r w:rsidRPr="00AF0BA5">
        <w:rPr>
          <w:rFonts w:asciiTheme="minorHAnsi" w:hAnsiTheme="minorHAnsi" w:cs="Calibri"/>
          <w:rtl/>
        </w:rPr>
        <w:t xml:space="preserve">הוצאות </w:t>
      </w:r>
      <w:r w:rsidRPr="00AF0BA5">
        <w:rPr>
          <w:rFonts w:asciiTheme="minorHAnsi" w:hAnsiTheme="minorHAnsi" w:cs="Calibri" w:hint="cs"/>
          <w:rtl/>
        </w:rPr>
        <w:t xml:space="preserve">אזרחיות של </w:t>
      </w:r>
      <w:r w:rsidRPr="00AF0BA5">
        <w:rPr>
          <w:rFonts w:asciiTheme="minorHAnsi" w:hAnsiTheme="minorHAnsi" w:cs="Calibri"/>
          <w:rtl/>
        </w:rPr>
        <w:t>הממשלה</w:t>
      </w:r>
      <w:r w:rsidRPr="00AF0BA5">
        <w:rPr>
          <w:rFonts w:asciiTheme="minorHAnsi" w:hAnsiTheme="minorHAnsi" w:cs="Calibri" w:hint="cs"/>
          <w:rtl/>
        </w:rPr>
        <w:t>;</w:t>
      </w:r>
      <w:r w:rsidRPr="00AF0BA5">
        <w:rPr>
          <w:rFonts w:asciiTheme="minorHAnsi" w:hAnsiTheme="minorHAnsi" w:cs="Calibri"/>
          <w:rtl/>
        </w:rPr>
        <w:t xml:space="preserve"> </w:t>
      </w:r>
      <w:r w:rsidRPr="00AF0BA5">
        <w:rPr>
          <w:rFonts w:asciiTheme="minorHAnsi" w:hAnsiTheme="minorHAnsi" w:cs="Calibri" w:hint="cs"/>
          <w:rtl/>
        </w:rPr>
        <w:t>2) הכנסות הגבוהות מהמגמה ארוכת הטווח</w:t>
      </w:r>
      <w:r w:rsidRPr="00AF0BA5">
        <w:rPr>
          <w:rFonts w:asciiTheme="minorHAnsi" w:hAnsiTheme="minorHAnsi" w:cstheme="minorHAnsi" w:hint="cs"/>
          <w:rtl/>
        </w:rPr>
        <w:t xml:space="preserve">. </w:t>
      </w:r>
      <w:r w:rsidRPr="00AF0BA5">
        <w:rPr>
          <w:rFonts w:asciiTheme="minorHAnsi" w:hAnsiTheme="minorHAnsi" w:cstheme="minorHAnsi"/>
          <w:rtl/>
        </w:rPr>
        <w:t xml:space="preserve">תקבולי הממשלה ממיסים ישירים בחודש </w:t>
      </w:r>
      <w:r w:rsidRPr="00AF0BA5">
        <w:rPr>
          <w:rFonts w:asciiTheme="minorHAnsi" w:hAnsiTheme="minorHAnsi" w:cstheme="minorHAnsi" w:hint="cs"/>
          <w:rtl/>
        </w:rPr>
        <w:t>ספטמבר</w:t>
      </w:r>
      <w:r w:rsidRPr="00AF0BA5">
        <w:rPr>
          <w:rFonts w:asciiTheme="minorHAnsi" w:hAnsiTheme="minorHAnsi" w:cstheme="minorHAnsi"/>
          <w:rtl/>
        </w:rPr>
        <w:t xml:space="preserve"> (במחירים קבועים ובניכוי שינויי חקיקה והכנסות חד פעמיות) </w:t>
      </w:r>
      <w:r w:rsidRPr="00AF0BA5">
        <w:rPr>
          <w:rFonts w:asciiTheme="minorHAnsi" w:hAnsiTheme="minorHAnsi" w:cs="Calibri" w:hint="cs"/>
          <w:rtl/>
        </w:rPr>
        <w:t>ירדו ושבו לקרבת</w:t>
      </w:r>
      <w:r w:rsidRPr="00AF0BA5">
        <w:rPr>
          <w:rFonts w:asciiTheme="minorHAnsi" w:hAnsiTheme="minorHAnsi" w:cs="Calibri"/>
          <w:rtl/>
        </w:rPr>
        <w:t xml:space="preserve"> קו המגמה </w:t>
      </w:r>
      <w:r w:rsidRPr="00AF0BA5">
        <w:rPr>
          <w:rFonts w:asciiTheme="minorHAnsi" w:hAnsiTheme="minorHAnsi" w:cstheme="minorHAnsi"/>
          <w:rtl/>
        </w:rPr>
        <w:t xml:space="preserve">ארוכת הטווח </w:t>
      </w:r>
      <w:r w:rsidRPr="00AF0BA5">
        <w:rPr>
          <w:rFonts w:asciiTheme="minorHAnsi" w:hAnsiTheme="minorHAnsi" w:cstheme="minorHAnsi"/>
          <w:b/>
          <w:bCs/>
          <w:rtl/>
        </w:rPr>
        <w:t xml:space="preserve">(איור </w:t>
      </w:r>
      <w:r w:rsidRPr="00AF0BA5">
        <w:rPr>
          <w:rFonts w:asciiTheme="minorHAnsi" w:hAnsiTheme="minorHAnsi" w:cstheme="minorHAnsi" w:hint="cs"/>
          <w:b/>
          <w:bCs/>
          <w:rtl/>
        </w:rPr>
        <w:t>15</w:t>
      </w:r>
      <w:r w:rsidRPr="00AF0BA5">
        <w:rPr>
          <w:rFonts w:asciiTheme="minorHAnsi" w:hAnsiTheme="minorHAnsi" w:cstheme="minorHAnsi"/>
          <w:b/>
          <w:bCs/>
          <w:rtl/>
        </w:rPr>
        <w:t>).</w:t>
      </w:r>
      <w:r w:rsidRPr="00AF0BA5">
        <w:rPr>
          <w:rFonts w:asciiTheme="minorHAnsi" w:hAnsiTheme="minorHAnsi" w:cstheme="minorHAnsi"/>
          <w:rtl/>
        </w:rPr>
        <w:t xml:space="preserve"> </w:t>
      </w:r>
    </w:p>
    <w:p w:rsidR="002047CF" w:rsidRPr="00AF0BA5" w:rsidRDefault="002047CF" w:rsidP="00593658">
      <w:pPr>
        <w:bidi/>
        <w:spacing w:line="360" w:lineRule="auto"/>
        <w:jc w:val="both"/>
        <w:rPr>
          <w:rFonts w:asciiTheme="minorHAnsi" w:hAnsiTheme="minorHAnsi" w:cs="Calibri"/>
          <w:rtl/>
        </w:rPr>
      </w:pPr>
      <w:r w:rsidRPr="00AF0BA5">
        <w:rPr>
          <w:rFonts w:asciiTheme="minorHAnsi" w:hAnsiTheme="minorHAnsi" w:cs="Calibri"/>
          <w:rtl/>
        </w:rPr>
        <w:t>שוק העבודה מוסיף להיות הדוק</w:t>
      </w:r>
      <w:r w:rsidRPr="00AF0BA5">
        <w:rPr>
          <w:rFonts w:hint="cs"/>
          <w:rtl/>
        </w:rPr>
        <w:t xml:space="preserve"> </w:t>
      </w:r>
      <w:r>
        <w:rPr>
          <w:rFonts w:asciiTheme="minorHAnsi" w:hAnsiTheme="minorHAnsi" w:cs="Calibri" w:hint="cs"/>
          <w:rtl/>
        </w:rPr>
        <w:t>ו</w:t>
      </w:r>
      <w:r w:rsidRPr="00AF0BA5">
        <w:rPr>
          <w:rFonts w:asciiTheme="minorHAnsi" w:hAnsiTheme="minorHAnsi" w:cs="Calibri"/>
          <w:rtl/>
        </w:rPr>
        <w:t>מגבלת היצע העבודה עדיין משמעותית</w:t>
      </w:r>
      <w:r w:rsidRPr="00AF0BA5">
        <w:rPr>
          <w:rFonts w:asciiTheme="minorHAnsi" w:hAnsiTheme="minorHAnsi" w:cs="Calibri" w:hint="cs"/>
          <w:rtl/>
        </w:rPr>
        <w:t>.</w:t>
      </w:r>
      <w:r w:rsidRPr="00AF0BA5">
        <w:rPr>
          <w:rFonts w:asciiTheme="minorHAnsi" w:hAnsiTheme="minorHAnsi" w:cs="Calibri"/>
          <w:rtl/>
        </w:rPr>
        <w:t xml:space="preserve"> שיעור התעסוקה ושיעור ההשתתפות בגילי 15+ עמדו </w:t>
      </w:r>
      <w:r w:rsidRPr="00AF0BA5">
        <w:rPr>
          <w:rFonts w:asciiTheme="minorHAnsi" w:hAnsiTheme="minorHAnsi" w:cs="Calibri" w:hint="eastAsia"/>
          <w:rtl/>
        </w:rPr>
        <w:t>בספטמבר</w:t>
      </w:r>
      <w:r w:rsidRPr="00AF0BA5">
        <w:rPr>
          <w:rFonts w:asciiTheme="minorHAnsi" w:hAnsiTheme="minorHAnsi" w:cs="Calibri"/>
          <w:rtl/>
        </w:rPr>
        <w:t xml:space="preserve"> על 60.3% ו-62.2% בהתאמה</w:t>
      </w:r>
      <w:r>
        <w:rPr>
          <w:rFonts w:asciiTheme="minorHAnsi" w:hAnsiTheme="minorHAnsi" w:cs="Calibri" w:hint="cs"/>
          <w:rtl/>
        </w:rPr>
        <w:t>,</w:t>
      </w:r>
      <w:r w:rsidRPr="00AF0BA5">
        <w:rPr>
          <w:rFonts w:asciiTheme="minorHAnsi" w:hAnsiTheme="minorHAnsi" w:cs="Calibri"/>
          <w:rtl/>
        </w:rPr>
        <w:t xml:space="preserve"> ושומרים על רמתם </w:t>
      </w:r>
      <w:r w:rsidRPr="00AF0BA5">
        <w:rPr>
          <w:rFonts w:asciiTheme="minorHAnsi" w:hAnsiTheme="minorHAnsi" w:cs="Calibri" w:hint="cs"/>
          <w:rtl/>
        </w:rPr>
        <w:t>תוך תנודתיות בחודשים האחרונים</w:t>
      </w:r>
      <w:r w:rsidRPr="00AF0BA5">
        <w:rPr>
          <w:rFonts w:asciiTheme="minorHAnsi" w:hAnsiTheme="minorHAnsi" w:cs="Calibri"/>
          <w:rtl/>
        </w:rPr>
        <w:t xml:space="preserve"> </w:t>
      </w:r>
      <w:r w:rsidRPr="00AF0BA5">
        <w:rPr>
          <w:rFonts w:asciiTheme="minorHAnsi" w:hAnsiTheme="minorHAnsi" w:cs="Calibri"/>
          <w:b/>
          <w:bCs/>
          <w:rtl/>
        </w:rPr>
        <w:t>(איור</w:t>
      </w:r>
      <w:r>
        <w:rPr>
          <w:rFonts w:asciiTheme="minorHAnsi" w:hAnsiTheme="minorHAnsi" w:cs="Calibri" w:hint="cs"/>
          <w:b/>
          <w:bCs/>
          <w:rtl/>
        </w:rPr>
        <w:t xml:space="preserve"> </w:t>
      </w:r>
      <w:r w:rsidRPr="00AF0BA5">
        <w:rPr>
          <w:rFonts w:asciiTheme="minorHAnsi" w:hAnsiTheme="minorHAnsi" w:cs="Calibri"/>
          <w:b/>
          <w:bCs/>
          <w:rtl/>
        </w:rPr>
        <w:t>16א)</w:t>
      </w:r>
      <w:r w:rsidRPr="00AF0BA5">
        <w:rPr>
          <w:rFonts w:asciiTheme="minorHAnsi" w:hAnsiTheme="minorHAnsi" w:cs="Calibri" w:hint="cs"/>
          <w:b/>
          <w:bCs/>
          <w:rtl/>
        </w:rPr>
        <w:t>.</w:t>
      </w:r>
      <w:r w:rsidRPr="00AF0BA5">
        <w:rPr>
          <w:rFonts w:asciiTheme="minorHAnsi" w:hAnsiTheme="minorHAnsi" w:cs="Calibri" w:hint="cs"/>
          <w:rtl/>
        </w:rPr>
        <w:t xml:space="preserve"> ככלל שיעורים אלו נמוכים ממרמתם טרום השבעה באוקטובר 2023. </w:t>
      </w:r>
      <w:r w:rsidRPr="00AF0BA5">
        <w:rPr>
          <w:rFonts w:asciiTheme="minorHAnsi" w:hAnsiTheme="minorHAnsi" w:cs="Calibri"/>
          <w:rtl/>
        </w:rPr>
        <w:t xml:space="preserve">שיעור הנעדרים זמנית מהעבודה בשל שירות מילואים </w:t>
      </w:r>
      <w:r w:rsidRPr="00AF0BA5">
        <w:rPr>
          <w:rFonts w:asciiTheme="minorHAnsi" w:hAnsiTheme="minorHAnsi" w:cs="Calibri" w:hint="cs"/>
          <w:rtl/>
        </w:rPr>
        <w:t>ירד מעט ו</w:t>
      </w:r>
      <w:r w:rsidRPr="00AF0BA5">
        <w:rPr>
          <w:rFonts w:asciiTheme="minorHAnsi" w:hAnsiTheme="minorHAnsi" w:cs="Calibri"/>
          <w:rtl/>
        </w:rPr>
        <w:t xml:space="preserve">עמד </w:t>
      </w:r>
      <w:r w:rsidRPr="00AF0BA5">
        <w:rPr>
          <w:rFonts w:asciiTheme="minorHAnsi" w:hAnsiTheme="minorHAnsi" w:cs="Calibri" w:hint="cs"/>
          <w:rtl/>
        </w:rPr>
        <w:t xml:space="preserve">בחודש ספטמבר </w:t>
      </w:r>
      <w:r w:rsidRPr="00AF0BA5">
        <w:rPr>
          <w:rFonts w:asciiTheme="minorHAnsi" w:hAnsiTheme="minorHAnsi" w:cs="Calibri"/>
          <w:rtl/>
        </w:rPr>
        <w:t xml:space="preserve">על </w:t>
      </w:r>
      <w:r w:rsidRPr="00AF0BA5">
        <w:rPr>
          <w:rFonts w:asciiTheme="minorHAnsi" w:hAnsiTheme="minorHAnsi" w:cs="Calibri" w:hint="cs"/>
          <w:rtl/>
        </w:rPr>
        <w:t>0.3%</w:t>
      </w:r>
      <w:r w:rsidRPr="00AF0BA5">
        <w:rPr>
          <w:rFonts w:asciiTheme="minorHAnsi" w:hAnsiTheme="minorHAnsi" w:cstheme="minorHAnsi"/>
          <w:rtl/>
        </w:rPr>
        <w:t>.</w:t>
      </w:r>
      <w:r w:rsidRPr="00AF0BA5">
        <w:rPr>
          <w:rFonts w:asciiTheme="minorHAnsi" w:hAnsiTheme="minorHAnsi" w:cs="Calibri"/>
          <w:rtl/>
        </w:rPr>
        <w:t xml:space="preserve"> שיעור האבטלה הרחבה בגילי </w:t>
      </w:r>
      <w:r w:rsidRPr="00AF0BA5">
        <w:rPr>
          <w:rFonts w:asciiTheme="minorHAnsi" w:hAnsiTheme="minorHAnsi" w:cs="Calibri" w:hint="cs"/>
          <w:rtl/>
        </w:rPr>
        <w:t>15+</w:t>
      </w:r>
      <w:r w:rsidRPr="00AF0BA5">
        <w:rPr>
          <w:rFonts w:asciiTheme="minorHAnsi" w:hAnsiTheme="minorHAnsi" w:cs="Calibri"/>
          <w:rtl/>
        </w:rPr>
        <w:t xml:space="preserve"> עמד על 3</w:t>
      </w:r>
      <w:r w:rsidRPr="00AF0BA5">
        <w:rPr>
          <w:rFonts w:asciiTheme="minorHAnsi" w:hAnsiTheme="minorHAnsi" w:cs="Calibri" w:hint="cs"/>
          <w:rtl/>
        </w:rPr>
        <w:t>.3</w:t>
      </w:r>
      <w:r w:rsidRPr="00AF0BA5">
        <w:rPr>
          <w:rFonts w:asciiTheme="minorHAnsi" w:hAnsiTheme="minorHAnsi" w:cs="Calibri"/>
          <w:rtl/>
        </w:rPr>
        <w:t xml:space="preserve">% בחודש </w:t>
      </w:r>
      <w:r w:rsidRPr="00AF0BA5">
        <w:rPr>
          <w:rFonts w:asciiTheme="minorHAnsi" w:hAnsiTheme="minorHAnsi" w:cs="Calibri" w:hint="cs"/>
          <w:rtl/>
        </w:rPr>
        <w:t>ספטמבר</w:t>
      </w:r>
      <w:r w:rsidRPr="00AF0BA5">
        <w:rPr>
          <w:rFonts w:asciiTheme="minorHAnsi" w:hAnsiTheme="minorHAnsi" w:cs="Calibri"/>
          <w:rtl/>
        </w:rPr>
        <w:t xml:space="preserve">, רמה הדומה לרמה ששררה ערב מבצע "שאגת הארי" </w:t>
      </w:r>
      <w:r w:rsidRPr="00AF0BA5">
        <w:rPr>
          <w:rFonts w:asciiTheme="minorHAnsi" w:hAnsiTheme="minorHAnsi" w:cs="Calibri"/>
          <w:b/>
          <w:bCs/>
          <w:rtl/>
        </w:rPr>
        <w:t>(איור 16ב)</w:t>
      </w:r>
      <w:r w:rsidRPr="00AF0BA5">
        <w:rPr>
          <w:rFonts w:asciiTheme="minorHAnsi" w:hAnsiTheme="minorHAnsi" w:cs="Calibri"/>
          <w:rtl/>
        </w:rPr>
        <w:t xml:space="preserve">. </w:t>
      </w:r>
      <w:r w:rsidRPr="00AF0BA5">
        <w:rPr>
          <w:rFonts w:asciiTheme="minorHAnsi" w:hAnsiTheme="minorHAnsi" w:cstheme="minorHAnsi"/>
          <w:rtl/>
        </w:rPr>
        <w:t xml:space="preserve">שיעור המשרות הפנויות </w:t>
      </w:r>
      <w:r w:rsidRPr="00AF0BA5">
        <w:rPr>
          <w:rFonts w:asciiTheme="minorHAnsi" w:hAnsiTheme="minorHAnsi" w:cstheme="minorHAnsi" w:hint="cs"/>
          <w:rtl/>
        </w:rPr>
        <w:t>נותר גבוה</w:t>
      </w:r>
      <w:r w:rsidRPr="00AF0BA5">
        <w:rPr>
          <w:rFonts w:asciiTheme="minorHAnsi" w:hAnsiTheme="minorHAnsi" w:cs="Calibri" w:hint="cs"/>
          <w:rtl/>
        </w:rPr>
        <w:t xml:space="preserve"> ועמד בחודש ספטמבר על 4.4% </w:t>
      </w:r>
      <w:r w:rsidRPr="00AF0BA5">
        <w:rPr>
          <w:rFonts w:asciiTheme="minorHAnsi" w:hAnsiTheme="minorHAnsi" w:cstheme="minorHAnsi" w:hint="cs"/>
          <w:b/>
          <w:bCs/>
          <w:rtl/>
        </w:rPr>
        <w:t>(</w:t>
      </w:r>
      <w:r w:rsidRPr="00AF0BA5">
        <w:rPr>
          <w:rFonts w:asciiTheme="minorHAnsi" w:hAnsiTheme="minorHAnsi" w:cstheme="minorHAnsi"/>
          <w:b/>
          <w:bCs/>
          <w:rtl/>
        </w:rPr>
        <w:t>איור</w:t>
      </w:r>
      <w:r>
        <w:rPr>
          <w:rFonts w:asciiTheme="minorHAnsi" w:hAnsiTheme="minorHAnsi" w:cstheme="minorHAnsi" w:hint="cs"/>
          <w:b/>
          <w:bCs/>
          <w:rtl/>
        </w:rPr>
        <w:t xml:space="preserve"> </w:t>
      </w:r>
      <w:r w:rsidRPr="00AF0BA5">
        <w:rPr>
          <w:rFonts w:asciiTheme="minorHAnsi" w:hAnsiTheme="minorHAnsi" w:cstheme="minorHAnsi" w:hint="cs"/>
          <w:b/>
          <w:bCs/>
          <w:rtl/>
        </w:rPr>
        <w:t>17</w:t>
      </w:r>
      <w:r w:rsidR="00593658">
        <w:rPr>
          <w:rFonts w:asciiTheme="minorHAnsi" w:hAnsiTheme="minorHAnsi" w:cstheme="minorHAnsi" w:hint="cs"/>
          <w:b/>
          <w:bCs/>
          <w:rtl/>
        </w:rPr>
        <w:t>א</w:t>
      </w:r>
      <w:bookmarkStart w:id="0" w:name="_GoBack"/>
      <w:bookmarkEnd w:id="0"/>
      <w:r w:rsidRPr="00AF0BA5">
        <w:rPr>
          <w:rFonts w:asciiTheme="minorHAnsi" w:hAnsiTheme="minorHAnsi" w:cstheme="minorHAnsi"/>
          <w:b/>
          <w:bCs/>
          <w:rtl/>
        </w:rPr>
        <w:t>)</w:t>
      </w:r>
      <w:r w:rsidRPr="00AF0BA5">
        <w:rPr>
          <w:rFonts w:asciiTheme="minorHAnsi" w:hAnsiTheme="minorHAnsi" w:cstheme="minorHAnsi"/>
          <w:rtl/>
        </w:rPr>
        <w:t>.</w:t>
      </w:r>
      <w:r w:rsidRPr="00AF0BA5">
        <w:rPr>
          <w:rFonts w:asciiTheme="minorHAnsi" w:hAnsiTheme="minorHAnsi" w:cstheme="minorHAnsi"/>
          <w:b/>
          <w:bCs/>
          <w:rtl/>
        </w:rPr>
        <w:t xml:space="preserve"> </w:t>
      </w:r>
      <w:r w:rsidRPr="00AF0BA5">
        <w:rPr>
          <w:rFonts w:asciiTheme="minorHAnsi" w:hAnsiTheme="minorHAnsi" w:cs="Calibri"/>
          <w:rtl/>
        </w:rPr>
        <w:t xml:space="preserve">קצב עליית השכר </w:t>
      </w:r>
      <w:r w:rsidRPr="00AF0BA5">
        <w:rPr>
          <w:rFonts w:asciiTheme="minorHAnsi" w:hAnsiTheme="minorHAnsi" w:cs="Calibri" w:hint="cs"/>
          <w:rtl/>
        </w:rPr>
        <w:t xml:space="preserve">הנומינלי </w:t>
      </w:r>
      <w:r w:rsidRPr="00AF0BA5">
        <w:rPr>
          <w:rFonts w:asciiTheme="minorHAnsi" w:hAnsiTheme="minorHAnsi" w:cs="Calibri"/>
          <w:rtl/>
        </w:rPr>
        <w:t>במשק בחודש</w:t>
      </w:r>
      <w:r w:rsidRPr="00AF0BA5">
        <w:rPr>
          <w:rFonts w:asciiTheme="minorHAnsi" w:hAnsiTheme="minorHAnsi" w:cs="Calibri" w:hint="cs"/>
          <w:rtl/>
        </w:rPr>
        <w:t>ים</w:t>
      </w:r>
      <w:r w:rsidRPr="00AF0BA5">
        <w:rPr>
          <w:rFonts w:asciiTheme="minorHAnsi" w:hAnsiTheme="minorHAnsi" w:cs="Calibri"/>
          <w:rtl/>
        </w:rPr>
        <w:t xml:space="preserve"> </w:t>
      </w:r>
      <w:r w:rsidRPr="00AF0BA5">
        <w:rPr>
          <w:rFonts w:asciiTheme="minorHAnsi" w:hAnsiTheme="minorHAnsi" w:cs="Calibri" w:hint="cs"/>
          <w:rtl/>
        </w:rPr>
        <w:t>יוני-אוגוסט</w:t>
      </w:r>
      <w:r w:rsidRPr="00AF0BA5">
        <w:rPr>
          <w:rFonts w:asciiTheme="minorHAnsi" w:hAnsiTheme="minorHAnsi" w:cs="Calibri"/>
          <w:rtl/>
        </w:rPr>
        <w:t xml:space="preserve"> </w:t>
      </w:r>
      <w:r w:rsidRPr="00AF0BA5">
        <w:rPr>
          <w:rFonts w:asciiTheme="minorHAnsi" w:hAnsiTheme="minorHAnsi" w:cs="Calibri" w:hint="cs"/>
          <w:rtl/>
        </w:rPr>
        <w:t>התמתן</w:t>
      </w:r>
      <w:r w:rsidRPr="00AF0BA5">
        <w:rPr>
          <w:rtl/>
        </w:rPr>
        <w:t xml:space="preserve"> </w:t>
      </w:r>
      <w:r w:rsidRPr="00AF0BA5">
        <w:rPr>
          <w:rFonts w:asciiTheme="minorHAnsi" w:hAnsiTheme="minorHAnsi" w:cs="Calibri"/>
          <w:rtl/>
        </w:rPr>
        <w:t xml:space="preserve">לאחר האצה בשל גורמים זמניים, </w:t>
      </w:r>
      <w:r w:rsidRPr="00AF0BA5">
        <w:rPr>
          <w:rFonts w:asciiTheme="minorHAnsi" w:hAnsiTheme="minorHAnsi" w:cs="Calibri" w:hint="cs"/>
          <w:rtl/>
        </w:rPr>
        <w:t>ו</w:t>
      </w:r>
      <w:r w:rsidRPr="00AF0BA5">
        <w:rPr>
          <w:rFonts w:asciiTheme="minorHAnsi" w:hAnsiTheme="minorHAnsi" w:cs="Calibri"/>
          <w:rtl/>
        </w:rPr>
        <w:t xml:space="preserve">עמד על </w:t>
      </w:r>
      <w:r w:rsidRPr="00AF0BA5">
        <w:rPr>
          <w:rFonts w:asciiTheme="minorHAnsi" w:hAnsiTheme="minorHAnsi" w:cs="Calibri" w:hint="cs"/>
          <w:rtl/>
        </w:rPr>
        <w:t>4.3</w:t>
      </w:r>
      <w:r w:rsidRPr="00AF0BA5">
        <w:rPr>
          <w:rFonts w:asciiTheme="minorHAnsi" w:hAnsiTheme="minorHAnsi" w:cs="Calibri"/>
          <w:rtl/>
        </w:rPr>
        <w:t xml:space="preserve">% לעומת </w:t>
      </w:r>
      <w:r w:rsidRPr="00AF0BA5">
        <w:rPr>
          <w:rFonts w:asciiTheme="minorHAnsi" w:hAnsiTheme="minorHAnsi" w:cs="Calibri" w:hint="cs"/>
          <w:rtl/>
        </w:rPr>
        <w:t>התקופה</w:t>
      </w:r>
      <w:r w:rsidRPr="00AF0BA5">
        <w:rPr>
          <w:rFonts w:asciiTheme="minorHAnsi" w:hAnsiTheme="minorHAnsi" w:cs="Calibri"/>
          <w:rtl/>
        </w:rPr>
        <w:t xml:space="preserve"> </w:t>
      </w:r>
      <w:r w:rsidRPr="00AF0BA5">
        <w:rPr>
          <w:rFonts w:asciiTheme="minorHAnsi" w:hAnsiTheme="minorHAnsi" w:cs="Calibri" w:hint="cs"/>
          <w:rtl/>
        </w:rPr>
        <w:t>ה</w:t>
      </w:r>
      <w:r w:rsidRPr="00AF0BA5">
        <w:rPr>
          <w:rFonts w:asciiTheme="minorHAnsi" w:hAnsiTheme="minorHAnsi" w:cs="Calibri"/>
          <w:rtl/>
        </w:rPr>
        <w:t>מקביל</w:t>
      </w:r>
      <w:r w:rsidRPr="00AF0BA5">
        <w:rPr>
          <w:rFonts w:asciiTheme="minorHAnsi" w:hAnsiTheme="minorHAnsi" w:cs="Calibri" w:hint="cs"/>
          <w:rtl/>
        </w:rPr>
        <w:t>ה</w:t>
      </w:r>
      <w:r w:rsidRPr="00AF0BA5">
        <w:rPr>
          <w:rFonts w:asciiTheme="minorHAnsi" w:hAnsiTheme="minorHAnsi" w:cs="Calibri"/>
          <w:rtl/>
        </w:rPr>
        <w:t xml:space="preserve"> אשתקד.</w:t>
      </w:r>
      <w:r w:rsidRPr="00AF0BA5">
        <w:rPr>
          <w:rFonts w:asciiTheme="minorHAnsi" w:hAnsiTheme="minorHAnsi" w:cs="Calibri"/>
          <w:color w:val="FF0000"/>
          <w:rtl/>
        </w:rPr>
        <w:t xml:space="preserve"> </w:t>
      </w:r>
      <w:r w:rsidRPr="00AF0BA5">
        <w:rPr>
          <w:rFonts w:asciiTheme="minorHAnsi" w:hAnsiTheme="minorHAnsi" w:cs="Calibri"/>
          <w:rtl/>
        </w:rPr>
        <w:t xml:space="preserve">קצב עליית השכר במגזר העסקי בחודשים </w:t>
      </w:r>
      <w:r w:rsidRPr="00AF0BA5">
        <w:rPr>
          <w:rFonts w:asciiTheme="minorHAnsi" w:hAnsiTheme="minorHAnsi" w:cs="Calibri" w:hint="cs"/>
          <w:rtl/>
        </w:rPr>
        <w:t>מאי</w:t>
      </w:r>
      <w:r w:rsidRPr="00AF0BA5">
        <w:rPr>
          <w:rFonts w:asciiTheme="minorHAnsi" w:hAnsiTheme="minorHAnsi" w:cs="Calibri"/>
          <w:rtl/>
        </w:rPr>
        <w:t>-</w:t>
      </w:r>
      <w:r w:rsidRPr="00AF0BA5">
        <w:rPr>
          <w:rFonts w:asciiTheme="minorHAnsi" w:hAnsiTheme="minorHAnsi" w:cs="Calibri" w:hint="cs"/>
          <w:rtl/>
        </w:rPr>
        <w:t>יולי</w:t>
      </w:r>
      <w:r w:rsidRPr="00AF0BA5">
        <w:rPr>
          <w:rFonts w:asciiTheme="minorHAnsi" w:hAnsiTheme="minorHAnsi" w:cs="Calibri"/>
          <w:rtl/>
        </w:rPr>
        <w:t xml:space="preserve"> עמד על</w:t>
      </w:r>
      <w:r w:rsidRPr="00AF0BA5">
        <w:rPr>
          <w:rFonts w:asciiTheme="minorHAnsi" w:hAnsiTheme="minorHAnsi" w:cs="Calibri" w:hint="cs"/>
          <w:rtl/>
        </w:rPr>
        <w:t xml:space="preserve"> 5.3%</w:t>
      </w:r>
      <w:r w:rsidRPr="00AF0BA5">
        <w:rPr>
          <w:rFonts w:asciiTheme="minorHAnsi" w:hAnsiTheme="minorHAnsi" w:cs="Calibri"/>
          <w:rtl/>
        </w:rPr>
        <w:t xml:space="preserve"> ביחס לתקופה המקבילה אשתקד </w:t>
      </w:r>
      <w:r w:rsidRPr="00AF0BA5">
        <w:rPr>
          <w:rFonts w:asciiTheme="minorHAnsi" w:hAnsiTheme="minorHAnsi" w:cs="Calibri"/>
          <w:b/>
          <w:bCs/>
          <w:rtl/>
        </w:rPr>
        <w:t>(איור 1</w:t>
      </w:r>
      <w:r w:rsidRPr="00AF0BA5">
        <w:rPr>
          <w:rFonts w:asciiTheme="minorHAnsi" w:hAnsiTheme="minorHAnsi" w:cs="Calibri" w:hint="cs"/>
          <w:b/>
          <w:bCs/>
          <w:rtl/>
        </w:rPr>
        <w:t>8</w:t>
      </w:r>
      <w:r w:rsidRPr="00AF0BA5">
        <w:rPr>
          <w:rFonts w:asciiTheme="minorHAnsi" w:hAnsiTheme="minorHAnsi" w:cs="Calibri"/>
          <w:b/>
          <w:bCs/>
          <w:rtl/>
        </w:rPr>
        <w:t>).</w:t>
      </w:r>
      <w:r w:rsidRPr="00AF0BA5">
        <w:rPr>
          <w:rFonts w:asciiTheme="minorHAnsi" w:hAnsiTheme="minorHAnsi" w:cs="Calibri"/>
          <w:rtl/>
        </w:rPr>
        <w:t xml:space="preserve"> </w:t>
      </w:r>
    </w:p>
    <w:p w:rsidR="002047CF" w:rsidRPr="00AF0BA5" w:rsidRDefault="002047CF" w:rsidP="002047CF">
      <w:pPr>
        <w:bidi/>
        <w:spacing w:line="360" w:lineRule="auto"/>
        <w:jc w:val="both"/>
        <w:rPr>
          <w:rFonts w:asciiTheme="minorHAnsi" w:hAnsiTheme="minorHAnsi" w:cs="Calibri"/>
          <w:rtl/>
        </w:rPr>
      </w:pPr>
      <w:r w:rsidRPr="00AF0BA5">
        <w:rPr>
          <w:rFonts w:asciiTheme="minorHAnsi" w:hAnsiTheme="minorHAnsi" w:cs="Calibri" w:hint="cs"/>
          <w:rtl/>
        </w:rPr>
        <w:lastRenderedPageBreak/>
        <w:t xml:space="preserve">היקפי </w:t>
      </w:r>
      <w:r w:rsidRPr="00AF0BA5">
        <w:rPr>
          <w:rFonts w:asciiTheme="minorHAnsi" w:hAnsiTheme="minorHAnsi" w:cs="Calibri"/>
          <w:rtl/>
        </w:rPr>
        <w:t>הבניה</w:t>
      </w:r>
      <w:r w:rsidRPr="00AF0BA5">
        <w:rPr>
          <w:rFonts w:asciiTheme="minorHAnsi" w:hAnsiTheme="minorHAnsi" w:cs="Calibri" w:hint="cs"/>
          <w:rtl/>
        </w:rPr>
        <w:t xml:space="preserve"> למגורים</w:t>
      </w:r>
      <w:r w:rsidRPr="00AF0BA5">
        <w:rPr>
          <w:rFonts w:asciiTheme="minorHAnsi" w:hAnsiTheme="minorHAnsi" w:cs="Calibri"/>
          <w:rtl/>
        </w:rPr>
        <w:t xml:space="preserve"> נותר</w:t>
      </w:r>
      <w:r w:rsidRPr="00AF0BA5">
        <w:rPr>
          <w:rFonts w:asciiTheme="minorHAnsi" w:hAnsiTheme="minorHAnsi" w:cs="Calibri" w:hint="cs"/>
          <w:rtl/>
        </w:rPr>
        <w:t>ו</w:t>
      </w:r>
      <w:r w:rsidRPr="00AF0BA5">
        <w:rPr>
          <w:rFonts w:asciiTheme="minorHAnsi" w:hAnsiTheme="minorHAnsi" w:cs="Calibri"/>
          <w:rtl/>
        </w:rPr>
        <w:t xml:space="preserve"> גבוה</w:t>
      </w:r>
      <w:r w:rsidRPr="00AF0BA5">
        <w:rPr>
          <w:rFonts w:asciiTheme="minorHAnsi" w:hAnsiTheme="minorHAnsi" w:cs="Calibri" w:hint="cs"/>
          <w:rtl/>
        </w:rPr>
        <w:t>ים</w:t>
      </w:r>
      <w:r w:rsidRPr="00AF0BA5">
        <w:rPr>
          <w:rFonts w:asciiTheme="minorHAnsi" w:hAnsiTheme="minorHAnsi" w:cs="Calibri"/>
          <w:rtl/>
        </w:rPr>
        <w:t xml:space="preserve">. עפ"י נתוני </w:t>
      </w:r>
      <w:proofErr w:type="spellStart"/>
      <w:r w:rsidRPr="00AF0BA5">
        <w:rPr>
          <w:rFonts w:asciiTheme="minorHAnsi" w:hAnsiTheme="minorHAnsi" w:cs="Calibri"/>
          <w:rtl/>
        </w:rPr>
        <w:t>הלמ"ס</w:t>
      </w:r>
      <w:proofErr w:type="spellEnd"/>
      <w:r w:rsidRPr="00AF0BA5">
        <w:rPr>
          <w:rFonts w:asciiTheme="minorHAnsi" w:hAnsiTheme="minorHAnsi" w:cs="Calibri"/>
          <w:rtl/>
        </w:rPr>
        <w:t xml:space="preserve"> ברביע </w:t>
      </w:r>
      <w:r w:rsidRPr="00AF0BA5">
        <w:rPr>
          <w:rFonts w:asciiTheme="minorHAnsi" w:hAnsiTheme="minorHAnsi" w:cs="Calibri" w:hint="cs"/>
          <w:rtl/>
        </w:rPr>
        <w:t>השני</w:t>
      </w:r>
      <w:r w:rsidRPr="00AF0BA5">
        <w:rPr>
          <w:rFonts w:asciiTheme="minorHAnsi" w:hAnsiTheme="minorHAnsi" w:cs="Calibri"/>
          <w:rtl/>
        </w:rPr>
        <w:t xml:space="preserve"> של שנת 2026 קצב התחלות הבניה </w:t>
      </w:r>
      <w:r w:rsidRPr="00AF0BA5">
        <w:rPr>
          <w:rFonts w:asciiTheme="minorHAnsi" w:hAnsiTheme="minorHAnsi" w:cs="Calibri" w:hint="cs"/>
          <w:rtl/>
        </w:rPr>
        <w:t>ירד מעט בהשוואה לרביע המקביל אשתקד, אולם רמתו עודנה גבוהה.</w:t>
      </w:r>
      <w:r w:rsidRPr="00AF0BA5">
        <w:rPr>
          <w:rFonts w:asciiTheme="minorHAnsi" w:hAnsiTheme="minorHAnsi" w:cs="Calibri"/>
          <w:rtl/>
        </w:rPr>
        <w:t xml:space="preserve"> היתרי הבניה </w:t>
      </w:r>
      <w:r w:rsidRPr="00AF0BA5">
        <w:rPr>
          <w:rFonts w:asciiTheme="minorHAnsi" w:hAnsiTheme="minorHAnsi" w:cs="Calibri" w:hint="cs"/>
          <w:rtl/>
        </w:rPr>
        <w:t xml:space="preserve">וגמר </w:t>
      </w:r>
      <w:r w:rsidRPr="00AF0BA5">
        <w:rPr>
          <w:rFonts w:asciiTheme="minorHAnsi" w:hAnsiTheme="minorHAnsi" w:cs="Calibri"/>
          <w:rtl/>
        </w:rPr>
        <w:t xml:space="preserve">הבניה </w:t>
      </w:r>
      <w:r w:rsidRPr="00AF0BA5">
        <w:rPr>
          <w:rFonts w:asciiTheme="minorHAnsi" w:hAnsiTheme="minorHAnsi" w:cs="Calibri" w:hint="cs"/>
          <w:rtl/>
        </w:rPr>
        <w:t>מצויים</w:t>
      </w:r>
      <w:r w:rsidRPr="00AF0BA5">
        <w:rPr>
          <w:rFonts w:asciiTheme="minorHAnsi" w:hAnsiTheme="minorHAnsi" w:cs="Calibri"/>
          <w:rtl/>
        </w:rPr>
        <w:t xml:space="preserve"> </w:t>
      </w:r>
      <w:r w:rsidRPr="00AF0BA5">
        <w:rPr>
          <w:rFonts w:asciiTheme="minorHAnsi" w:hAnsiTheme="minorHAnsi" w:cs="Calibri" w:hint="cs"/>
          <w:rtl/>
        </w:rPr>
        <w:t>ברמה</w:t>
      </w:r>
      <w:r w:rsidRPr="00AF0BA5">
        <w:rPr>
          <w:rFonts w:asciiTheme="minorHAnsi" w:hAnsiTheme="minorHAnsi" w:cs="Calibri"/>
          <w:rtl/>
        </w:rPr>
        <w:t xml:space="preserve"> גבוה</w:t>
      </w:r>
      <w:r w:rsidRPr="00AF0BA5">
        <w:rPr>
          <w:rFonts w:asciiTheme="minorHAnsi" w:hAnsiTheme="minorHAnsi" w:cs="Calibri" w:hint="cs"/>
          <w:rtl/>
        </w:rPr>
        <w:t>ה</w:t>
      </w:r>
      <w:r w:rsidRPr="00AF0BA5">
        <w:rPr>
          <w:rFonts w:asciiTheme="minorHAnsi" w:hAnsiTheme="minorHAnsi" w:cs="Calibri"/>
          <w:rtl/>
        </w:rPr>
        <w:t xml:space="preserve"> </w:t>
      </w:r>
      <w:r w:rsidRPr="00AF0BA5">
        <w:rPr>
          <w:rFonts w:asciiTheme="minorHAnsi" w:hAnsiTheme="minorHAnsi" w:cs="Calibri"/>
          <w:b/>
          <w:bCs/>
          <w:rtl/>
        </w:rPr>
        <w:t xml:space="preserve">(איור </w:t>
      </w:r>
      <w:r>
        <w:rPr>
          <w:rFonts w:asciiTheme="minorHAnsi" w:hAnsiTheme="minorHAnsi" w:cs="Calibri" w:hint="cs"/>
          <w:b/>
          <w:bCs/>
          <w:rtl/>
        </w:rPr>
        <w:t>20</w:t>
      </w:r>
      <w:r w:rsidRPr="00AF0BA5">
        <w:rPr>
          <w:rFonts w:asciiTheme="minorHAnsi" w:hAnsiTheme="minorHAnsi" w:cs="Calibri"/>
          <w:b/>
          <w:bCs/>
          <w:rtl/>
        </w:rPr>
        <w:t>).</w:t>
      </w:r>
      <w:r w:rsidRPr="00AF0BA5">
        <w:rPr>
          <w:rFonts w:asciiTheme="minorHAnsi" w:hAnsiTheme="minorHAnsi" w:cs="Calibri"/>
          <w:rtl/>
        </w:rPr>
        <w:t xml:space="preserve"> </w:t>
      </w:r>
      <w:r w:rsidRPr="00AF0BA5">
        <w:rPr>
          <w:rFonts w:asciiTheme="minorHAnsi" w:hAnsiTheme="minorHAnsi" w:cs="Calibri" w:hint="cs"/>
          <w:rtl/>
        </w:rPr>
        <w:t xml:space="preserve">היקף העסקאות </w:t>
      </w:r>
      <w:r w:rsidRPr="00AF0BA5">
        <w:rPr>
          <w:rFonts w:asciiTheme="minorHAnsi" w:hAnsiTheme="minorHAnsi" w:cs="Calibri"/>
          <w:rtl/>
        </w:rPr>
        <w:t>בדירות</w:t>
      </w:r>
      <w:r w:rsidRPr="00AF0BA5">
        <w:rPr>
          <w:rFonts w:asciiTheme="minorHAnsi" w:hAnsiTheme="minorHAnsi" w:cs="Calibri" w:hint="cs"/>
          <w:rtl/>
        </w:rPr>
        <w:t>,</w:t>
      </w:r>
      <w:r w:rsidRPr="00AF0BA5">
        <w:rPr>
          <w:rFonts w:asciiTheme="minorHAnsi" w:hAnsiTheme="minorHAnsi" w:cs="Calibri"/>
          <w:rtl/>
        </w:rPr>
        <w:t xml:space="preserve"> </w:t>
      </w:r>
      <w:r w:rsidRPr="00AF0BA5">
        <w:rPr>
          <w:rFonts w:asciiTheme="minorHAnsi" w:hAnsiTheme="minorHAnsi" w:cs="Calibri" w:hint="cs"/>
          <w:rtl/>
        </w:rPr>
        <w:t xml:space="preserve">בניכוי עונתיות, התמתן </w:t>
      </w:r>
      <w:r w:rsidRPr="00AF0BA5">
        <w:rPr>
          <w:rFonts w:asciiTheme="minorHAnsi" w:hAnsiTheme="minorHAnsi" w:cs="Calibri"/>
          <w:rtl/>
        </w:rPr>
        <w:t>בחודש</w:t>
      </w:r>
      <w:r w:rsidRPr="00AF0BA5">
        <w:rPr>
          <w:rFonts w:asciiTheme="minorHAnsi" w:hAnsiTheme="minorHAnsi" w:cs="Calibri" w:hint="cs"/>
          <w:rtl/>
        </w:rPr>
        <w:t>ים יולי</w:t>
      </w:r>
      <w:r>
        <w:rPr>
          <w:rFonts w:asciiTheme="minorHAnsi" w:hAnsiTheme="minorHAnsi" w:cs="Calibri" w:hint="cs"/>
          <w:rtl/>
        </w:rPr>
        <w:t>-</w:t>
      </w:r>
      <w:r w:rsidRPr="00AF0BA5">
        <w:rPr>
          <w:rFonts w:asciiTheme="minorHAnsi" w:hAnsiTheme="minorHAnsi" w:cs="Calibri"/>
          <w:rtl/>
        </w:rPr>
        <w:t>אוגוסט,</w:t>
      </w:r>
      <w:r w:rsidRPr="00AF0BA5">
        <w:rPr>
          <w:rFonts w:asciiTheme="minorHAnsi" w:hAnsiTheme="minorHAnsi" w:cs="Calibri" w:hint="cs"/>
          <w:rtl/>
        </w:rPr>
        <w:t xml:space="preserve"> לאחר עלייה במאי-יוני, אולם, ככלל רמתו יציבה יחסית בשנה האחרונה.</w:t>
      </w:r>
      <w:r w:rsidRPr="00AF0BA5">
        <w:rPr>
          <w:rFonts w:asciiTheme="minorHAnsi" w:hAnsiTheme="minorHAnsi" w:cs="Calibri"/>
          <w:rtl/>
        </w:rPr>
        <w:t xml:space="preserve"> מלאי הדירות שנותרו למכירה </w:t>
      </w:r>
      <w:r w:rsidRPr="00AF0BA5">
        <w:rPr>
          <w:rFonts w:asciiTheme="minorHAnsi" w:hAnsiTheme="minorHAnsi" w:cs="Calibri" w:hint="cs"/>
          <w:rtl/>
        </w:rPr>
        <w:t>יציב ו</w:t>
      </w:r>
      <w:r w:rsidRPr="00AF0BA5">
        <w:rPr>
          <w:rFonts w:asciiTheme="minorHAnsi" w:hAnsiTheme="minorHAnsi" w:cs="Calibri"/>
          <w:rtl/>
        </w:rPr>
        <w:t xml:space="preserve">מוסיף לשהות ברמה גבוהה. בחודשים </w:t>
      </w:r>
      <w:r w:rsidRPr="00AF0BA5">
        <w:rPr>
          <w:rFonts w:asciiTheme="minorHAnsi" w:hAnsiTheme="minorHAnsi" w:cs="Calibri" w:hint="cs"/>
          <w:rtl/>
        </w:rPr>
        <w:t>יולי-אוגוסט</w:t>
      </w:r>
      <w:r w:rsidRPr="00AF0BA5">
        <w:rPr>
          <w:rFonts w:asciiTheme="minorHAnsi" w:hAnsiTheme="minorHAnsi" w:cs="Calibri"/>
          <w:rtl/>
        </w:rPr>
        <w:t xml:space="preserve"> </w:t>
      </w:r>
      <w:r w:rsidRPr="00AF0BA5">
        <w:rPr>
          <w:rFonts w:asciiTheme="minorHAnsi" w:hAnsiTheme="minorHAnsi" w:cs="Calibri" w:hint="cs"/>
          <w:rtl/>
        </w:rPr>
        <w:t>ירדו</w:t>
      </w:r>
      <w:r w:rsidRPr="00AF0BA5">
        <w:rPr>
          <w:rFonts w:asciiTheme="minorHAnsi" w:hAnsiTheme="minorHAnsi" w:cs="Calibri"/>
          <w:rtl/>
        </w:rPr>
        <w:t xml:space="preserve"> מחירי הדירות ב-0.</w:t>
      </w:r>
      <w:r w:rsidRPr="00AF0BA5">
        <w:rPr>
          <w:rFonts w:asciiTheme="minorHAnsi" w:hAnsiTheme="minorHAnsi" w:cs="Calibri" w:hint="cs"/>
          <w:rtl/>
        </w:rPr>
        <w:t>6</w:t>
      </w:r>
      <w:r w:rsidRPr="00AF0BA5">
        <w:rPr>
          <w:rFonts w:asciiTheme="minorHAnsi" w:hAnsiTheme="minorHAnsi" w:cs="Calibri"/>
          <w:rtl/>
        </w:rPr>
        <w:t>%, ובמונחים שנתיים ירדו מחירי הדירות ב-1.</w:t>
      </w:r>
      <w:r w:rsidRPr="00AF0BA5">
        <w:rPr>
          <w:rFonts w:asciiTheme="minorHAnsi" w:hAnsiTheme="minorHAnsi" w:cs="Calibri" w:hint="cs"/>
          <w:rtl/>
        </w:rPr>
        <w:t>8</w:t>
      </w:r>
      <w:r w:rsidRPr="00AF0BA5">
        <w:rPr>
          <w:rFonts w:asciiTheme="minorHAnsi" w:hAnsiTheme="minorHAnsi" w:cs="Calibri"/>
          <w:rtl/>
        </w:rPr>
        <w:t xml:space="preserve">% </w:t>
      </w:r>
      <w:r w:rsidRPr="00AF0BA5">
        <w:rPr>
          <w:rFonts w:asciiTheme="minorHAnsi" w:hAnsiTheme="minorHAnsi" w:cs="Calibri"/>
          <w:b/>
          <w:bCs/>
          <w:rtl/>
        </w:rPr>
        <w:t>(איור 8).</w:t>
      </w:r>
      <w:r w:rsidRPr="00AF0BA5">
        <w:rPr>
          <w:rFonts w:asciiTheme="minorHAnsi" w:hAnsiTheme="minorHAnsi" w:cs="Calibri"/>
          <w:color w:val="FF0000"/>
          <w:rtl/>
        </w:rPr>
        <w:t xml:space="preserve"> </w:t>
      </w:r>
      <w:r w:rsidRPr="00AF0BA5">
        <w:rPr>
          <w:rFonts w:asciiTheme="minorHAnsi" w:hAnsiTheme="minorHAnsi" w:cs="Calibri"/>
          <w:rtl/>
        </w:rPr>
        <w:t xml:space="preserve">בחודש </w:t>
      </w:r>
      <w:r w:rsidRPr="00AF0BA5">
        <w:rPr>
          <w:rFonts w:asciiTheme="minorHAnsi" w:hAnsiTheme="minorHAnsi" w:cs="Calibri" w:hint="cs"/>
          <w:rtl/>
        </w:rPr>
        <w:t>ספטמבר</w:t>
      </w:r>
      <w:r w:rsidRPr="00AF0BA5">
        <w:rPr>
          <w:rFonts w:asciiTheme="minorHAnsi" w:hAnsiTheme="minorHAnsi" w:cs="Calibri"/>
          <w:rtl/>
        </w:rPr>
        <w:t xml:space="preserve"> הועמדו משכנתאות בסך של כ-</w:t>
      </w:r>
      <w:r w:rsidRPr="00AF0BA5">
        <w:rPr>
          <w:rFonts w:asciiTheme="minorHAnsi" w:hAnsiTheme="minorHAnsi" w:cs="Calibri" w:hint="cs"/>
          <w:rtl/>
        </w:rPr>
        <w:t>10.3</w:t>
      </w:r>
      <w:r w:rsidRPr="00AF0BA5">
        <w:rPr>
          <w:rFonts w:asciiTheme="minorHAnsi" w:hAnsiTheme="minorHAnsi" w:cs="Calibri"/>
          <w:rtl/>
        </w:rPr>
        <w:t xml:space="preserve"> מיליארדי ש"ח (בניכוי עונתיות) </w:t>
      </w:r>
      <w:r w:rsidRPr="00AF0BA5">
        <w:rPr>
          <w:rFonts w:asciiTheme="minorHAnsi" w:hAnsiTheme="minorHAnsi" w:cs="Calibri"/>
          <w:b/>
          <w:bCs/>
          <w:rtl/>
        </w:rPr>
        <w:t>(איור 9).</w:t>
      </w:r>
      <w:r w:rsidRPr="00AF0BA5">
        <w:rPr>
          <w:rFonts w:asciiTheme="minorHAnsi" w:hAnsiTheme="minorHAnsi" w:cs="Calibri"/>
          <w:rtl/>
        </w:rPr>
        <w:t xml:space="preserve"> קצב העלייה השנתי בסעיף הדיור במדד המחירים לצרכן </w:t>
      </w:r>
      <w:r w:rsidRPr="00AF0BA5">
        <w:rPr>
          <w:rFonts w:asciiTheme="minorHAnsi" w:hAnsiTheme="minorHAnsi" w:cs="Calibri" w:hint="cs"/>
          <w:rtl/>
        </w:rPr>
        <w:t>נותר ללא שינוי ועמד בספטמבר על</w:t>
      </w:r>
      <w:r w:rsidRPr="00AF0BA5">
        <w:rPr>
          <w:rFonts w:asciiTheme="minorHAnsi" w:hAnsiTheme="minorHAnsi" w:cs="Calibri"/>
          <w:rtl/>
        </w:rPr>
        <w:t xml:space="preserve"> </w:t>
      </w:r>
      <w:r w:rsidRPr="00AF0BA5">
        <w:rPr>
          <w:rFonts w:asciiTheme="minorHAnsi" w:hAnsiTheme="minorHAnsi" w:cs="Calibri" w:hint="cs"/>
          <w:rtl/>
        </w:rPr>
        <w:t>3.8%</w:t>
      </w:r>
      <w:r w:rsidRPr="00AF0BA5">
        <w:rPr>
          <w:rFonts w:asciiTheme="minorHAnsi" w:hAnsiTheme="minorHAnsi" w:cs="Calibri"/>
          <w:rtl/>
        </w:rPr>
        <w:t>.</w:t>
      </w:r>
      <w:r w:rsidRPr="00AF0BA5">
        <w:rPr>
          <w:rFonts w:asciiTheme="minorHAnsi" w:hAnsiTheme="minorHAnsi" w:cs="Calibri"/>
          <w:color w:val="FF0000"/>
          <w:rtl/>
        </w:rPr>
        <w:t xml:space="preserve"> </w:t>
      </w:r>
      <w:r w:rsidRPr="00AF0BA5">
        <w:rPr>
          <w:rFonts w:asciiTheme="minorHAnsi" w:hAnsiTheme="minorHAnsi" w:cs="Calibri"/>
          <w:rtl/>
        </w:rPr>
        <w:t>קצב עליית המחירים בחוזים המתחדשים עמד על 2.</w:t>
      </w:r>
      <w:r w:rsidRPr="00AF0BA5">
        <w:rPr>
          <w:rFonts w:asciiTheme="minorHAnsi" w:hAnsiTheme="minorHAnsi" w:cs="Calibri" w:hint="cs"/>
          <w:rtl/>
        </w:rPr>
        <w:t>4</w:t>
      </w:r>
      <w:r w:rsidRPr="00AF0BA5">
        <w:rPr>
          <w:rFonts w:asciiTheme="minorHAnsi" w:hAnsiTheme="minorHAnsi" w:cs="Calibri"/>
          <w:rtl/>
        </w:rPr>
        <w:t xml:space="preserve">%. קצב העלייה השנתי בחוזים בהם הייתה תחלופת שוכר </w:t>
      </w:r>
      <w:r w:rsidRPr="00AF0BA5">
        <w:rPr>
          <w:rFonts w:asciiTheme="minorHAnsi" w:hAnsiTheme="minorHAnsi" w:cs="Calibri" w:hint="cs"/>
          <w:rtl/>
        </w:rPr>
        <w:t>עלה ו</w:t>
      </w:r>
      <w:r w:rsidRPr="00AF0BA5">
        <w:rPr>
          <w:rFonts w:asciiTheme="minorHAnsi" w:hAnsiTheme="minorHAnsi" w:cs="Calibri"/>
          <w:rtl/>
        </w:rPr>
        <w:t xml:space="preserve">עמד במדד </w:t>
      </w:r>
      <w:r w:rsidRPr="00AF0BA5">
        <w:rPr>
          <w:rFonts w:asciiTheme="minorHAnsi" w:hAnsiTheme="minorHAnsi" w:cs="Calibri" w:hint="cs"/>
          <w:rtl/>
        </w:rPr>
        <w:t>ספטמבר</w:t>
      </w:r>
      <w:r w:rsidRPr="00AF0BA5">
        <w:rPr>
          <w:rFonts w:asciiTheme="minorHAnsi" w:hAnsiTheme="minorHAnsi" w:cs="Calibri"/>
          <w:rtl/>
        </w:rPr>
        <w:t xml:space="preserve"> על </w:t>
      </w:r>
      <w:r w:rsidRPr="00AF0BA5">
        <w:rPr>
          <w:rFonts w:asciiTheme="minorHAnsi" w:hAnsiTheme="minorHAnsi" w:cs="Calibri" w:hint="cs"/>
          <w:rtl/>
        </w:rPr>
        <w:t>5.3%.</w:t>
      </w:r>
    </w:p>
    <w:p w:rsidR="002047CF" w:rsidRPr="00AF0BA5" w:rsidRDefault="002047CF" w:rsidP="002047CF">
      <w:pPr>
        <w:bidi/>
        <w:spacing w:before="240" w:after="0" w:line="360" w:lineRule="auto"/>
        <w:jc w:val="both"/>
        <w:rPr>
          <w:rFonts w:asciiTheme="minorHAnsi" w:eastAsiaTheme="minorHAnsi" w:hAnsiTheme="minorHAnsi" w:cstheme="minorHAnsi"/>
          <w:color w:val="FF0000"/>
          <w:rtl/>
        </w:rPr>
      </w:pPr>
      <w:r w:rsidRPr="00AF0BA5">
        <w:rPr>
          <w:rFonts w:asciiTheme="minorHAnsi" w:hAnsiTheme="minorHAnsi" w:cs="Calibri"/>
          <w:rtl/>
        </w:rPr>
        <w:t xml:space="preserve">במהלך התקופה הנסקרת, מדדי המניות המקומיים </w:t>
      </w:r>
      <w:r w:rsidRPr="00AF0BA5">
        <w:rPr>
          <w:rFonts w:asciiTheme="minorHAnsi" w:hAnsiTheme="minorHAnsi" w:cs="Calibri" w:hint="cs"/>
          <w:rtl/>
        </w:rPr>
        <w:t xml:space="preserve">עלו תוך תנודתיות </w:t>
      </w:r>
      <w:r w:rsidRPr="00AF0BA5">
        <w:rPr>
          <w:rFonts w:asciiTheme="minorHAnsi" w:hAnsiTheme="minorHAnsi" w:cs="Calibri"/>
          <w:b/>
          <w:bCs/>
          <w:rtl/>
        </w:rPr>
        <w:t xml:space="preserve">(איור </w:t>
      </w:r>
      <w:r>
        <w:rPr>
          <w:rFonts w:asciiTheme="minorHAnsi" w:hAnsiTheme="minorHAnsi" w:cs="Calibri" w:hint="cs"/>
          <w:b/>
          <w:bCs/>
          <w:rtl/>
        </w:rPr>
        <w:t>28</w:t>
      </w:r>
      <w:r w:rsidRPr="00AF0BA5">
        <w:rPr>
          <w:rFonts w:asciiTheme="minorHAnsi" w:hAnsiTheme="minorHAnsi" w:cs="Calibri"/>
          <w:b/>
          <w:bCs/>
          <w:rtl/>
        </w:rPr>
        <w:t>)</w:t>
      </w:r>
      <w:r w:rsidRPr="00AF0BA5">
        <w:rPr>
          <w:rFonts w:asciiTheme="minorHAnsi" w:hAnsiTheme="minorHAnsi" w:cs="Calibri" w:hint="cs"/>
          <w:b/>
          <w:bCs/>
          <w:rtl/>
        </w:rPr>
        <w:t xml:space="preserve">. </w:t>
      </w:r>
      <w:r w:rsidRPr="00AF0BA5">
        <w:rPr>
          <w:rFonts w:asciiTheme="minorHAnsi" w:hAnsiTheme="minorHAnsi" w:cs="Calibri"/>
          <w:rtl/>
        </w:rPr>
        <w:t xml:space="preserve">תשואות </w:t>
      </w:r>
      <w:proofErr w:type="spellStart"/>
      <w:r w:rsidRPr="00AF0BA5">
        <w:rPr>
          <w:rFonts w:asciiTheme="minorHAnsi" w:hAnsiTheme="minorHAnsi" w:cs="Calibri"/>
          <w:rtl/>
        </w:rPr>
        <w:t>האג"ח</w:t>
      </w:r>
      <w:proofErr w:type="spellEnd"/>
      <w:r w:rsidRPr="00AF0BA5">
        <w:rPr>
          <w:rFonts w:asciiTheme="minorHAnsi" w:hAnsiTheme="minorHAnsi" w:cs="Calibri"/>
          <w:rtl/>
        </w:rPr>
        <w:t xml:space="preserve"> הממשלתיות עלו בתקופה הנסקרת, בהתאם למגמה העולמית</w:t>
      </w:r>
      <w:r>
        <w:rPr>
          <w:rFonts w:asciiTheme="minorHAnsi" w:hAnsiTheme="minorHAnsi" w:cs="Calibri" w:hint="cs"/>
          <w:rtl/>
        </w:rPr>
        <w:t>. עם זאת, מתחילת השנה עליית התשואות בעולם גבוהה משמעותית מזו שבישראל</w:t>
      </w:r>
      <w:r w:rsidRPr="00AF0BA5">
        <w:rPr>
          <w:rFonts w:asciiTheme="minorHAnsi" w:hAnsiTheme="minorHAnsi" w:cs="Calibri"/>
          <w:b/>
          <w:bCs/>
          <w:rtl/>
        </w:rPr>
        <w:t xml:space="preserve"> (איור </w:t>
      </w:r>
      <w:r>
        <w:rPr>
          <w:rFonts w:asciiTheme="minorHAnsi" w:hAnsiTheme="minorHAnsi" w:cs="Calibri" w:hint="cs"/>
          <w:b/>
          <w:bCs/>
          <w:rtl/>
        </w:rPr>
        <w:t>25</w:t>
      </w:r>
      <w:r w:rsidRPr="00AF0BA5">
        <w:rPr>
          <w:rFonts w:asciiTheme="minorHAnsi" w:hAnsiTheme="minorHAnsi" w:cs="Calibri"/>
          <w:b/>
          <w:bCs/>
          <w:rtl/>
        </w:rPr>
        <w:t>).</w:t>
      </w:r>
      <w:r w:rsidRPr="00AF0BA5">
        <w:rPr>
          <w:rFonts w:asciiTheme="minorHAnsi" w:hAnsiTheme="minorHAnsi" w:cs="Calibri" w:hint="cs"/>
          <w:color w:val="FF0000"/>
          <w:rtl/>
        </w:rPr>
        <w:t xml:space="preserve"> </w:t>
      </w:r>
      <w:r w:rsidRPr="00AF0BA5">
        <w:rPr>
          <w:rFonts w:asciiTheme="minorHAnsi" w:hAnsiTheme="minorHAnsi" w:cs="Calibri"/>
          <w:rtl/>
        </w:rPr>
        <w:t>פרמיית הסיכון של ישראל, כפי שבאה לידי ביטוי במרווח ה-</w:t>
      </w:r>
      <w:r w:rsidRPr="00AF0BA5">
        <w:rPr>
          <w:rFonts w:asciiTheme="minorHAnsi" w:hAnsiTheme="minorHAnsi" w:cstheme="minorHAnsi"/>
        </w:rPr>
        <w:t>CDS</w:t>
      </w:r>
      <w:r w:rsidRPr="00AF0BA5">
        <w:rPr>
          <w:rFonts w:asciiTheme="minorHAnsi" w:hAnsiTheme="minorHAnsi" w:cs="Calibri"/>
          <w:rtl/>
        </w:rPr>
        <w:t xml:space="preserve"> </w:t>
      </w:r>
      <w:r w:rsidRPr="00AF0BA5">
        <w:rPr>
          <w:rFonts w:asciiTheme="minorHAnsi" w:hAnsiTheme="minorHAnsi" w:cs="Calibri" w:hint="cs"/>
          <w:rtl/>
        </w:rPr>
        <w:t>עלתה</w:t>
      </w:r>
      <w:r w:rsidRPr="00AF0BA5">
        <w:rPr>
          <w:rFonts w:asciiTheme="minorHAnsi" w:hAnsiTheme="minorHAnsi" w:cs="Calibri"/>
          <w:rtl/>
        </w:rPr>
        <w:t xml:space="preserve"> </w:t>
      </w:r>
      <w:r w:rsidRPr="00AF0BA5">
        <w:rPr>
          <w:rFonts w:asciiTheme="minorHAnsi" w:hAnsiTheme="minorHAnsi" w:cs="Calibri" w:hint="cs"/>
          <w:rtl/>
        </w:rPr>
        <w:t xml:space="preserve">במעט </w:t>
      </w:r>
      <w:r w:rsidRPr="00AF0BA5">
        <w:rPr>
          <w:rFonts w:asciiTheme="minorHAnsi" w:hAnsiTheme="minorHAnsi" w:cs="Calibri"/>
          <w:rtl/>
        </w:rPr>
        <w:t>בתקופה הנסקרת</w:t>
      </w:r>
      <w:r w:rsidRPr="00AF0BA5">
        <w:rPr>
          <w:rFonts w:asciiTheme="minorHAnsi" w:hAnsiTheme="minorHAnsi" w:cs="Calibri" w:hint="cs"/>
          <w:rtl/>
        </w:rPr>
        <w:t xml:space="preserve">, </w:t>
      </w:r>
      <w:r>
        <w:rPr>
          <w:rFonts w:asciiTheme="minorHAnsi" w:hAnsiTheme="minorHAnsi" w:cs="Calibri" w:hint="cs"/>
          <w:rtl/>
        </w:rPr>
        <w:t xml:space="preserve">אך </w:t>
      </w:r>
      <w:r w:rsidRPr="00AF0BA5">
        <w:rPr>
          <w:rFonts w:asciiTheme="minorHAnsi" w:hAnsiTheme="minorHAnsi" w:cs="Calibri" w:hint="cs"/>
          <w:rtl/>
        </w:rPr>
        <w:t xml:space="preserve">שוהה ברמה הקרובה לרמתה טרם השבעה באוקטובר </w:t>
      </w:r>
      <w:r w:rsidRPr="00AF0BA5">
        <w:rPr>
          <w:rFonts w:asciiTheme="minorHAnsi" w:hAnsiTheme="minorHAnsi" w:cs="Calibri"/>
          <w:b/>
          <w:bCs/>
          <w:rtl/>
        </w:rPr>
        <w:t xml:space="preserve">(איור </w:t>
      </w:r>
      <w:r>
        <w:rPr>
          <w:rFonts w:asciiTheme="minorHAnsi" w:hAnsiTheme="minorHAnsi" w:cs="Calibri" w:hint="cs"/>
          <w:b/>
          <w:bCs/>
          <w:rtl/>
        </w:rPr>
        <w:t>29</w:t>
      </w:r>
      <w:r w:rsidRPr="00AF0BA5">
        <w:rPr>
          <w:rFonts w:asciiTheme="minorHAnsi" w:hAnsiTheme="minorHAnsi" w:cs="Calibri"/>
          <w:b/>
          <w:bCs/>
          <w:rtl/>
        </w:rPr>
        <w:t xml:space="preserve">א-ב). </w:t>
      </w:r>
      <w:r w:rsidRPr="00AF0BA5">
        <w:rPr>
          <w:rFonts w:asciiTheme="minorHAnsi" w:hAnsiTheme="minorHAnsi" w:cs="Calibri"/>
          <w:rtl/>
        </w:rPr>
        <w:t>המרווח בין תשוא</w:t>
      </w:r>
      <w:r w:rsidRPr="00AF0BA5">
        <w:rPr>
          <w:rFonts w:asciiTheme="minorHAnsi" w:hAnsiTheme="minorHAnsi" w:cs="Calibri" w:hint="cs"/>
          <w:rtl/>
        </w:rPr>
        <w:t>ו</w:t>
      </w:r>
      <w:r w:rsidRPr="00AF0BA5">
        <w:rPr>
          <w:rFonts w:asciiTheme="minorHAnsi" w:hAnsiTheme="minorHAnsi" w:cs="Calibri"/>
          <w:rtl/>
        </w:rPr>
        <w:t xml:space="preserve">ת </w:t>
      </w:r>
      <w:proofErr w:type="spellStart"/>
      <w:r w:rsidRPr="00AF0BA5">
        <w:rPr>
          <w:rFonts w:asciiTheme="minorHAnsi" w:hAnsiTheme="minorHAnsi" w:cs="Calibri"/>
          <w:rtl/>
        </w:rPr>
        <w:t>האג"ח</w:t>
      </w:r>
      <w:proofErr w:type="spellEnd"/>
      <w:r w:rsidRPr="00AF0BA5">
        <w:rPr>
          <w:rFonts w:asciiTheme="minorHAnsi" w:hAnsiTheme="minorHAnsi" w:cs="Calibri"/>
          <w:rtl/>
        </w:rPr>
        <w:t xml:space="preserve"> הממשלתיות הנקובות בדולרים </w:t>
      </w:r>
      <w:proofErr w:type="spellStart"/>
      <w:r w:rsidRPr="00AF0BA5">
        <w:rPr>
          <w:rFonts w:asciiTheme="minorHAnsi" w:hAnsiTheme="minorHAnsi" w:cs="Calibri"/>
          <w:rtl/>
        </w:rPr>
        <w:t>והאג"ח</w:t>
      </w:r>
      <w:proofErr w:type="spellEnd"/>
      <w:r w:rsidRPr="00AF0BA5">
        <w:rPr>
          <w:rFonts w:asciiTheme="minorHAnsi" w:hAnsiTheme="minorHAnsi" w:cs="Calibri"/>
          <w:rtl/>
        </w:rPr>
        <w:t xml:space="preserve"> הממשלתיות של ארה"ב </w:t>
      </w:r>
      <w:r w:rsidRPr="00AF0BA5">
        <w:rPr>
          <w:rFonts w:asciiTheme="minorHAnsi" w:hAnsiTheme="minorHAnsi" w:cs="Calibri" w:hint="cs"/>
          <w:rtl/>
        </w:rPr>
        <w:t>עלה קלות. בתקופה הנסקרת</w:t>
      </w:r>
      <w:r w:rsidRPr="00AF0BA5">
        <w:rPr>
          <w:rFonts w:asciiTheme="minorHAnsi" w:hAnsiTheme="minorHAnsi" w:cs="Calibri"/>
          <w:rtl/>
        </w:rPr>
        <w:t xml:space="preserve"> המשיך האשראי העסקי לצמוח בקצב גבוה, בהובלת האשראי הבנקא</w:t>
      </w:r>
      <w:r w:rsidRPr="00AF0BA5">
        <w:rPr>
          <w:rFonts w:asciiTheme="minorHAnsi" w:hAnsiTheme="minorHAnsi" w:cs="Calibri" w:hint="cs"/>
          <w:rtl/>
        </w:rPr>
        <w:t>י</w:t>
      </w:r>
      <w:r w:rsidRPr="00AF0BA5">
        <w:rPr>
          <w:rFonts w:asciiTheme="minorHAnsi" w:hAnsiTheme="minorHAnsi" w:cstheme="minorHAnsi" w:hint="cs"/>
          <w:rtl/>
        </w:rPr>
        <w:t xml:space="preserve">. </w:t>
      </w:r>
      <w:r w:rsidRPr="00AF0BA5">
        <w:rPr>
          <w:rFonts w:asciiTheme="minorHAnsi" w:hAnsiTheme="minorHAnsi" w:cstheme="minorHAnsi"/>
          <w:rtl/>
        </w:rPr>
        <w:t xml:space="preserve">האשראי הצרכני למשקי </w:t>
      </w:r>
      <w:r w:rsidRPr="00AF0BA5">
        <w:rPr>
          <w:rFonts w:asciiTheme="minorHAnsi" w:hAnsiTheme="minorHAnsi" w:cstheme="minorHAnsi" w:hint="cs"/>
          <w:rtl/>
        </w:rPr>
        <w:t>ה</w:t>
      </w:r>
      <w:r w:rsidRPr="00AF0BA5">
        <w:rPr>
          <w:rFonts w:asciiTheme="minorHAnsi" w:hAnsiTheme="minorHAnsi" w:cstheme="minorHAnsi"/>
          <w:rtl/>
        </w:rPr>
        <w:t>בית מכל</w:t>
      </w:r>
      <w:r w:rsidRPr="00AF0BA5">
        <w:rPr>
          <w:rFonts w:asciiTheme="minorHAnsi" w:hAnsiTheme="minorHAnsi" w:cstheme="minorHAnsi" w:hint="cs"/>
          <w:rtl/>
        </w:rPr>
        <w:t>ל</w:t>
      </w:r>
      <w:r w:rsidRPr="00AF0BA5">
        <w:rPr>
          <w:rFonts w:asciiTheme="minorHAnsi" w:hAnsiTheme="minorHAnsi" w:cstheme="minorHAnsi"/>
          <w:rtl/>
        </w:rPr>
        <w:t xml:space="preserve"> המקורות</w:t>
      </w:r>
      <w:r w:rsidRPr="00AF0BA5">
        <w:rPr>
          <w:rFonts w:asciiTheme="minorHAnsi" w:hAnsiTheme="minorHAnsi" w:cstheme="minorHAnsi" w:hint="cs"/>
          <w:rtl/>
        </w:rPr>
        <w:t xml:space="preserve"> ה</w:t>
      </w:r>
      <w:r w:rsidRPr="00AF0BA5">
        <w:rPr>
          <w:rFonts w:asciiTheme="minorHAnsi" w:hAnsiTheme="minorHAnsi" w:cstheme="minorHAnsi"/>
          <w:rtl/>
        </w:rPr>
        <w:t>משיך לצמוח. שיעורי הפיגורים בכל מגזרי הפעילות שומרים על רמה נמוכה</w:t>
      </w:r>
      <w:r w:rsidRPr="00AF0BA5">
        <w:rPr>
          <w:rFonts w:asciiTheme="minorHAnsi" w:hAnsiTheme="minorHAnsi" w:cstheme="minorHAnsi" w:hint="cs"/>
          <w:rtl/>
        </w:rPr>
        <w:t>.</w:t>
      </w:r>
      <w:r w:rsidRPr="00AF0BA5">
        <w:rPr>
          <w:rFonts w:asciiTheme="minorHAnsi" w:hAnsiTheme="minorHAnsi" w:cstheme="minorHAnsi" w:hint="cs"/>
          <w:color w:val="FF0000"/>
          <w:rtl/>
        </w:rPr>
        <w:t xml:space="preserve"> </w:t>
      </w:r>
    </w:p>
    <w:p w:rsidR="002047CF" w:rsidRPr="00F65307" w:rsidRDefault="002047CF" w:rsidP="002047CF">
      <w:pPr>
        <w:bidi/>
        <w:spacing w:before="240" w:after="0" w:line="360" w:lineRule="auto"/>
        <w:jc w:val="both"/>
        <w:rPr>
          <w:rFonts w:asciiTheme="minorHAnsi" w:eastAsiaTheme="minorHAnsi" w:hAnsiTheme="minorHAnsi" w:cs="Calibri"/>
          <w:rtl/>
        </w:rPr>
      </w:pPr>
      <w:r w:rsidRPr="00AF0BA5">
        <w:rPr>
          <w:rFonts w:asciiTheme="minorHAnsi" w:eastAsiaTheme="minorHAnsi" w:hAnsiTheme="minorHAnsi" w:cs="Calibri" w:hint="cs"/>
          <w:rtl/>
        </w:rPr>
        <w:t>בעולם</w:t>
      </w:r>
      <w:r w:rsidRPr="00F65307">
        <w:rPr>
          <w:rFonts w:asciiTheme="minorHAnsi" w:eastAsiaTheme="minorHAnsi" w:hAnsiTheme="minorHAnsi" w:cs="Calibri"/>
          <w:rtl/>
        </w:rPr>
        <w:t>, מחירי האנרגיה המשיכו לעלות בתקופה הנסקרת. מחיר חבית נפט מסוג ברנט עלה ב</w:t>
      </w:r>
      <w:r w:rsidRPr="00F65307">
        <w:rPr>
          <w:rFonts w:asciiTheme="minorHAnsi" w:eastAsiaTheme="minorHAnsi" w:hAnsiTheme="minorHAnsi" w:cs="Calibri" w:hint="eastAsia"/>
          <w:rtl/>
        </w:rPr>
        <w:t>כ</w:t>
      </w:r>
      <w:r w:rsidRPr="00F65307">
        <w:rPr>
          <w:rFonts w:asciiTheme="minorHAnsi" w:eastAsiaTheme="minorHAnsi" w:hAnsiTheme="minorHAnsi" w:cs="Calibri"/>
          <w:rtl/>
        </w:rPr>
        <w:t>-</w:t>
      </w:r>
      <w:r w:rsidRPr="0094285A">
        <w:rPr>
          <w:rFonts w:asciiTheme="minorHAnsi" w:eastAsiaTheme="minorHAnsi" w:hAnsiTheme="minorHAnsi" w:cs="Calibri"/>
          <w:rtl/>
        </w:rPr>
        <w:t>15%</w:t>
      </w:r>
      <w:r w:rsidRPr="00F65307">
        <w:rPr>
          <w:rFonts w:asciiTheme="minorHAnsi" w:eastAsiaTheme="minorHAnsi" w:hAnsiTheme="minorHAnsi" w:cs="Calibri"/>
          <w:rtl/>
        </w:rPr>
        <w:t xml:space="preserve"> והוא נסחר סביב ה-</w:t>
      </w:r>
      <w:r w:rsidRPr="0094285A">
        <w:rPr>
          <w:rFonts w:asciiTheme="minorHAnsi" w:eastAsiaTheme="minorHAnsi" w:hAnsiTheme="minorHAnsi" w:cs="Calibri"/>
          <w:rtl/>
        </w:rPr>
        <w:t>110$</w:t>
      </w:r>
      <w:r w:rsidRPr="00F65307">
        <w:rPr>
          <w:rFonts w:asciiTheme="minorHAnsi" w:eastAsiaTheme="minorHAnsi" w:hAnsiTheme="minorHAnsi" w:cs="Calibri"/>
          <w:rtl/>
        </w:rPr>
        <w:t xml:space="preserve"> לחבית. בנוסף, מחירי הגז הטבעי באירופה </w:t>
      </w:r>
      <w:r w:rsidRPr="00F65307">
        <w:rPr>
          <w:rFonts w:asciiTheme="minorHAnsi" w:eastAsiaTheme="minorHAnsi" w:hAnsiTheme="minorHAnsi" w:cs="Calibri" w:hint="eastAsia"/>
          <w:rtl/>
        </w:rPr>
        <w:t>הוסיפו</w:t>
      </w:r>
      <w:r w:rsidRPr="00F65307">
        <w:rPr>
          <w:rFonts w:asciiTheme="minorHAnsi" w:eastAsiaTheme="minorHAnsi" w:hAnsiTheme="minorHAnsi" w:cs="Calibri"/>
          <w:rtl/>
        </w:rPr>
        <w:t xml:space="preserve"> לעלות לרמות שיא מאז </w:t>
      </w:r>
      <w:r w:rsidRPr="00F65307">
        <w:rPr>
          <w:rFonts w:asciiTheme="minorHAnsi" w:eastAsiaTheme="minorHAnsi" w:hAnsiTheme="minorHAnsi" w:cs="Calibri" w:hint="eastAsia"/>
          <w:rtl/>
        </w:rPr>
        <w:t>פרוץ</w:t>
      </w:r>
      <w:r w:rsidRPr="00F65307">
        <w:rPr>
          <w:rFonts w:asciiTheme="minorHAnsi" w:eastAsiaTheme="minorHAnsi" w:hAnsiTheme="minorHAnsi" w:cs="Calibri"/>
          <w:rtl/>
        </w:rPr>
        <w:t xml:space="preserve"> "שאגת </w:t>
      </w:r>
      <w:r w:rsidRPr="00F65307">
        <w:rPr>
          <w:rFonts w:asciiTheme="minorHAnsi" w:eastAsiaTheme="minorHAnsi" w:hAnsiTheme="minorHAnsi" w:cs="Calibri" w:hint="eastAsia"/>
          <w:rtl/>
        </w:rPr>
        <w:t>הארי</w:t>
      </w:r>
      <w:r w:rsidRPr="00F65307">
        <w:rPr>
          <w:rFonts w:asciiTheme="minorHAnsi" w:eastAsiaTheme="minorHAnsi" w:hAnsiTheme="minorHAnsi" w:cs="Calibri"/>
          <w:rtl/>
        </w:rPr>
        <w:t xml:space="preserve">" </w:t>
      </w:r>
      <w:r w:rsidRPr="00F65307">
        <w:rPr>
          <w:rFonts w:asciiTheme="minorHAnsi" w:eastAsiaTheme="minorHAnsi" w:hAnsiTheme="minorHAnsi" w:cs="Calibri"/>
          <w:b/>
          <w:bCs/>
          <w:rtl/>
        </w:rPr>
        <w:t xml:space="preserve">(איור </w:t>
      </w:r>
      <w:r>
        <w:rPr>
          <w:rFonts w:asciiTheme="minorHAnsi" w:eastAsiaTheme="minorHAnsi" w:hAnsiTheme="minorHAnsi" w:cs="Calibri" w:hint="cs"/>
          <w:b/>
          <w:bCs/>
          <w:rtl/>
        </w:rPr>
        <w:t>31</w:t>
      </w:r>
      <w:r w:rsidRPr="00F65307">
        <w:rPr>
          <w:rFonts w:asciiTheme="minorHAnsi" w:eastAsiaTheme="minorHAnsi" w:hAnsiTheme="minorHAnsi" w:cs="Calibri"/>
          <w:b/>
          <w:bCs/>
          <w:rtl/>
        </w:rPr>
        <w:t xml:space="preserve">). </w:t>
      </w:r>
      <w:r w:rsidRPr="00F65307">
        <w:rPr>
          <w:rFonts w:asciiTheme="minorHAnsi" w:eastAsiaTheme="minorHAnsi" w:hAnsiTheme="minorHAnsi" w:cs="Calibri"/>
          <w:rtl/>
        </w:rPr>
        <w:t xml:space="preserve">הסחר העולמי צמח בקצב גבוה </w:t>
      </w:r>
      <w:r w:rsidRPr="00F65307">
        <w:rPr>
          <w:rFonts w:asciiTheme="minorHAnsi" w:eastAsiaTheme="minorHAnsi" w:hAnsiTheme="minorHAnsi" w:cs="Calibri" w:hint="eastAsia"/>
          <w:rtl/>
        </w:rPr>
        <w:t>ו</w:t>
      </w:r>
      <w:r w:rsidRPr="00F65307">
        <w:rPr>
          <w:rFonts w:asciiTheme="minorHAnsi" w:eastAsiaTheme="minorHAnsi" w:hAnsiTheme="minorHAnsi" w:cs="Calibri"/>
          <w:rtl/>
        </w:rPr>
        <w:t xml:space="preserve">מדד מנהלי הרכש הגלובלי עלה בחודשים </w:t>
      </w:r>
      <w:r w:rsidRPr="00F65307">
        <w:rPr>
          <w:rFonts w:asciiTheme="minorHAnsi" w:eastAsiaTheme="minorHAnsi" w:hAnsiTheme="minorHAnsi" w:cs="Calibri" w:hint="eastAsia"/>
          <w:rtl/>
        </w:rPr>
        <w:t>אוגוסט</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וספטמבר</w:t>
      </w:r>
      <w:r w:rsidRPr="00F65307">
        <w:rPr>
          <w:rFonts w:asciiTheme="minorHAnsi" w:eastAsiaTheme="minorHAnsi" w:hAnsiTheme="minorHAnsi" w:cs="Calibri"/>
          <w:rtl/>
        </w:rPr>
        <w:t xml:space="preserve">, ושוהה ברמה המצביעה על המשך התרחבות בתוצר העולמי </w:t>
      </w:r>
      <w:r w:rsidRPr="00F65307">
        <w:rPr>
          <w:rFonts w:asciiTheme="minorHAnsi" w:eastAsiaTheme="minorHAnsi" w:hAnsiTheme="minorHAnsi" w:cs="Calibri"/>
          <w:b/>
          <w:bCs/>
          <w:rtl/>
        </w:rPr>
        <w:t xml:space="preserve">(איור </w:t>
      </w:r>
      <w:r>
        <w:rPr>
          <w:rFonts w:asciiTheme="minorHAnsi" w:eastAsiaTheme="minorHAnsi" w:hAnsiTheme="minorHAnsi" w:cs="Calibri" w:hint="cs"/>
          <w:b/>
          <w:bCs/>
          <w:rtl/>
        </w:rPr>
        <w:t>33</w:t>
      </w:r>
      <w:r w:rsidRPr="00F65307">
        <w:rPr>
          <w:rFonts w:asciiTheme="minorHAnsi" w:eastAsiaTheme="minorHAnsi" w:hAnsiTheme="minorHAnsi" w:cs="Calibri"/>
          <w:b/>
          <w:bCs/>
          <w:rtl/>
        </w:rPr>
        <w:t xml:space="preserve">). </w:t>
      </w:r>
      <w:r w:rsidRPr="00F65307">
        <w:rPr>
          <w:rFonts w:asciiTheme="minorHAnsi" w:eastAsiaTheme="minorHAnsi" w:hAnsiTheme="minorHAnsi" w:cs="Calibri"/>
          <w:rtl/>
        </w:rPr>
        <w:t xml:space="preserve">תשואות </w:t>
      </w:r>
      <w:proofErr w:type="spellStart"/>
      <w:r w:rsidRPr="00F65307">
        <w:rPr>
          <w:rFonts w:asciiTheme="minorHAnsi" w:eastAsiaTheme="minorHAnsi" w:hAnsiTheme="minorHAnsi" w:cs="Calibri"/>
          <w:rtl/>
        </w:rPr>
        <w:t>האג"ח</w:t>
      </w:r>
      <w:proofErr w:type="spellEnd"/>
      <w:r w:rsidRPr="00F65307">
        <w:rPr>
          <w:rFonts w:asciiTheme="minorHAnsi" w:eastAsiaTheme="minorHAnsi" w:hAnsiTheme="minorHAnsi" w:cs="Calibri"/>
          <w:rtl/>
        </w:rPr>
        <w:t xml:space="preserve"> הממשלתיות בעול</w:t>
      </w:r>
      <w:r w:rsidRPr="00F65307">
        <w:rPr>
          <w:rFonts w:asciiTheme="minorHAnsi" w:eastAsiaTheme="minorHAnsi" w:hAnsiTheme="minorHAnsi" w:cs="Calibri" w:hint="eastAsia"/>
          <w:rtl/>
        </w:rPr>
        <w:t>ם</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עלו</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בחדות</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ו</w:t>
      </w:r>
      <w:r w:rsidRPr="00F65307">
        <w:rPr>
          <w:rFonts w:asciiTheme="minorHAnsi" w:eastAsiaTheme="minorHAnsi" w:hAnsiTheme="minorHAnsi" w:cs="Calibri"/>
          <w:rtl/>
        </w:rPr>
        <w:t xml:space="preserve">שוהות ברמות גבוהות. </w:t>
      </w:r>
      <w:r w:rsidRPr="00F65307">
        <w:rPr>
          <w:rFonts w:asciiTheme="minorHAnsi" w:eastAsiaTheme="minorHAnsi" w:hAnsiTheme="minorHAnsi" w:cstheme="minorHAnsi" w:hint="eastAsia"/>
          <w:rtl/>
        </w:rPr>
        <w:t>בארה</w:t>
      </w:r>
      <w:r w:rsidRPr="00F65307">
        <w:rPr>
          <w:rFonts w:asciiTheme="minorHAnsi" w:eastAsiaTheme="minorHAnsi" w:hAnsiTheme="minorHAnsi" w:cstheme="minorHAnsi"/>
          <w:rtl/>
        </w:rPr>
        <w:t xml:space="preserve">"ב </w:t>
      </w:r>
      <w:r w:rsidRPr="00F65307">
        <w:rPr>
          <w:rFonts w:asciiTheme="minorHAnsi" w:eastAsiaTheme="minorHAnsi" w:hAnsiTheme="minorHAnsi" w:cs="Calibri"/>
          <w:rtl/>
        </w:rPr>
        <w:t xml:space="preserve">התוצר צמח </w:t>
      </w:r>
      <w:r w:rsidRPr="00F65307">
        <w:rPr>
          <w:rFonts w:asciiTheme="minorHAnsi" w:eastAsiaTheme="minorHAnsi" w:hAnsiTheme="minorHAnsi" w:cs="Calibri" w:hint="eastAsia"/>
          <w:rtl/>
        </w:rPr>
        <w:t>ברביע</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השני</w:t>
      </w:r>
      <w:r w:rsidRPr="00F65307">
        <w:rPr>
          <w:rFonts w:asciiTheme="minorHAnsi" w:eastAsiaTheme="minorHAnsi" w:hAnsiTheme="minorHAnsi" w:cs="Calibri"/>
          <w:rtl/>
        </w:rPr>
        <w:t xml:space="preserve"> בקצב שנתי של 2.2% ובגוש האירו עמדה </w:t>
      </w:r>
      <w:r w:rsidRPr="00F65307">
        <w:rPr>
          <w:rFonts w:asciiTheme="minorHAnsi" w:eastAsiaTheme="minorHAnsi" w:hAnsiTheme="minorHAnsi" w:cs="Calibri" w:hint="eastAsia"/>
          <w:rtl/>
        </w:rPr>
        <w:t>הצמיחה</w:t>
      </w:r>
      <w:r w:rsidRPr="00F65307">
        <w:rPr>
          <w:rFonts w:asciiTheme="minorHAnsi" w:eastAsiaTheme="minorHAnsi" w:hAnsiTheme="minorHAnsi" w:cs="Calibri"/>
          <w:rtl/>
        </w:rPr>
        <w:t xml:space="preserve"> על 1.2%. קצב האינפלציה הכללית בגושים המרכזיים עלה. האינפלציה השנתית בארה"ב </w:t>
      </w:r>
      <w:r w:rsidRPr="00F65307">
        <w:rPr>
          <w:rFonts w:asciiTheme="minorHAnsi" w:eastAsiaTheme="minorHAnsi" w:hAnsiTheme="minorHAnsi" w:cs="Calibri" w:hint="eastAsia"/>
          <w:rtl/>
        </w:rPr>
        <w:t>לחודש</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ספטמבר</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עלתה</w:t>
      </w:r>
      <w:r w:rsidRPr="00F65307">
        <w:rPr>
          <w:rFonts w:asciiTheme="minorHAnsi" w:eastAsiaTheme="minorHAnsi" w:hAnsiTheme="minorHAnsi" w:cs="Calibri"/>
          <w:rtl/>
        </w:rPr>
        <w:t xml:space="preserve"> ומדד המחירים לצרכן (</w:t>
      </w:r>
      <w:r w:rsidRPr="00F65307">
        <w:rPr>
          <w:rFonts w:asciiTheme="minorHAnsi" w:eastAsiaTheme="minorHAnsi" w:hAnsiTheme="minorHAnsi" w:cstheme="minorHAnsi"/>
        </w:rPr>
        <w:t>CPI</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האיץ</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ועמד</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על</w:t>
      </w:r>
      <w:r w:rsidRPr="00F65307">
        <w:rPr>
          <w:rFonts w:asciiTheme="minorHAnsi" w:eastAsiaTheme="minorHAnsi" w:hAnsiTheme="minorHAnsi" w:cs="Calibri"/>
          <w:rtl/>
        </w:rPr>
        <w:t xml:space="preserve"> 3.7% ומדד הליבה </w:t>
      </w:r>
      <w:r w:rsidRPr="00F65307">
        <w:rPr>
          <w:rFonts w:asciiTheme="minorHAnsi" w:eastAsiaTheme="minorHAnsi" w:hAnsiTheme="minorHAnsi" w:cstheme="minorHAnsi"/>
        </w:rPr>
        <w:t>(Core CPI)</w:t>
      </w:r>
      <w:r w:rsidRPr="00F65307">
        <w:rPr>
          <w:rFonts w:asciiTheme="minorHAnsi" w:eastAsiaTheme="minorHAnsi" w:hAnsiTheme="minorHAnsi" w:cstheme="minorHAnsi"/>
          <w:rtl/>
        </w:rPr>
        <w:t xml:space="preserve"> </w:t>
      </w:r>
      <w:r w:rsidRPr="00F65307">
        <w:rPr>
          <w:rFonts w:asciiTheme="minorHAnsi" w:eastAsiaTheme="minorHAnsi" w:hAnsiTheme="minorHAnsi" w:cs="Calibri" w:hint="eastAsia"/>
          <w:rtl/>
        </w:rPr>
        <w:t>על</w:t>
      </w:r>
      <w:r w:rsidRPr="00F65307">
        <w:rPr>
          <w:rFonts w:asciiTheme="minorHAnsi" w:eastAsiaTheme="minorHAnsi" w:hAnsiTheme="minorHAnsi" w:cs="Calibri"/>
          <w:rtl/>
        </w:rPr>
        <w:t xml:space="preserve"> 2.6%.</w:t>
      </w:r>
      <w:r w:rsidRPr="0094285A">
        <w:rPr>
          <w:rFonts w:asciiTheme="minorHAnsi" w:eastAsiaTheme="minorHAnsi" w:hAnsiTheme="minorHAnsi" w:cs="Calibri"/>
          <w:rtl/>
        </w:rPr>
        <w:t xml:space="preserve"> </w:t>
      </w:r>
      <w:r w:rsidRPr="00F65307">
        <w:rPr>
          <w:rFonts w:asciiTheme="minorHAnsi" w:eastAsiaTheme="minorHAnsi" w:hAnsiTheme="minorHAnsi" w:cstheme="minorHAnsi"/>
          <w:rtl/>
        </w:rPr>
        <w:t xml:space="preserve">בגוש האירו, האינפלציה </w:t>
      </w:r>
      <w:r w:rsidRPr="00F65307">
        <w:rPr>
          <w:rFonts w:asciiTheme="minorHAnsi" w:eastAsiaTheme="minorHAnsi" w:hAnsiTheme="minorHAnsi" w:cstheme="minorHAnsi" w:hint="eastAsia"/>
          <w:rtl/>
        </w:rPr>
        <w:t>השנתית</w:t>
      </w:r>
      <w:r w:rsidRPr="00F65307">
        <w:rPr>
          <w:rFonts w:asciiTheme="minorHAnsi" w:eastAsiaTheme="minorHAnsi" w:hAnsiTheme="minorHAnsi" w:cstheme="minorHAnsi"/>
          <w:rtl/>
        </w:rPr>
        <w:t xml:space="preserve"> </w:t>
      </w:r>
      <w:r w:rsidRPr="00F65307">
        <w:rPr>
          <w:rFonts w:asciiTheme="minorHAnsi" w:eastAsiaTheme="minorHAnsi" w:hAnsiTheme="minorHAnsi" w:cstheme="minorHAnsi" w:hint="eastAsia"/>
          <w:rtl/>
        </w:rPr>
        <w:t>הוסיפה</w:t>
      </w:r>
      <w:r w:rsidRPr="00F65307">
        <w:rPr>
          <w:rFonts w:asciiTheme="minorHAnsi" w:eastAsiaTheme="minorHAnsi" w:hAnsiTheme="minorHAnsi" w:cstheme="minorHAnsi"/>
          <w:rtl/>
        </w:rPr>
        <w:t xml:space="preserve"> </w:t>
      </w:r>
      <w:r w:rsidRPr="00F65307">
        <w:rPr>
          <w:rFonts w:asciiTheme="minorHAnsi" w:eastAsiaTheme="minorHAnsi" w:hAnsiTheme="minorHAnsi" w:cstheme="minorHAnsi" w:hint="eastAsia"/>
          <w:rtl/>
        </w:rPr>
        <w:t>לעלות</w:t>
      </w:r>
      <w:r w:rsidRPr="00F65307">
        <w:rPr>
          <w:rFonts w:asciiTheme="minorHAnsi" w:eastAsiaTheme="minorHAnsi" w:hAnsiTheme="minorHAnsi" w:cstheme="minorHAnsi"/>
          <w:rtl/>
        </w:rPr>
        <w:t xml:space="preserve"> </w:t>
      </w:r>
      <w:r w:rsidRPr="00F65307">
        <w:rPr>
          <w:rFonts w:asciiTheme="minorHAnsi" w:eastAsiaTheme="minorHAnsi" w:hAnsiTheme="minorHAnsi" w:cstheme="minorHAnsi" w:hint="eastAsia"/>
          <w:rtl/>
        </w:rPr>
        <w:t>ועמדה</w:t>
      </w:r>
      <w:r w:rsidRPr="00F65307">
        <w:rPr>
          <w:rFonts w:asciiTheme="minorHAnsi" w:eastAsiaTheme="minorHAnsi" w:hAnsiTheme="minorHAnsi" w:cstheme="minorHAnsi"/>
          <w:rtl/>
        </w:rPr>
        <w:t xml:space="preserve"> </w:t>
      </w:r>
      <w:r w:rsidRPr="00F65307">
        <w:rPr>
          <w:rFonts w:asciiTheme="minorHAnsi" w:eastAsiaTheme="minorHAnsi" w:hAnsiTheme="minorHAnsi" w:cstheme="minorHAnsi" w:hint="eastAsia"/>
          <w:rtl/>
        </w:rPr>
        <w:t>ב</w:t>
      </w:r>
      <w:r w:rsidRPr="00F65307">
        <w:rPr>
          <w:rFonts w:asciiTheme="minorHAnsi" w:eastAsiaTheme="minorHAnsi" w:hAnsiTheme="minorHAnsi" w:cstheme="minorHAnsi"/>
          <w:rtl/>
        </w:rPr>
        <w:t xml:space="preserve">חודש </w:t>
      </w:r>
      <w:r w:rsidRPr="00F65307">
        <w:rPr>
          <w:rFonts w:asciiTheme="minorHAnsi" w:eastAsiaTheme="minorHAnsi" w:hAnsiTheme="minorHAnsi" w:cstheme="minorHAnsi" w:hint="eastAsia"/>
          <w:rtl/>
        </w:rPr>
        <w:t>ספטמבר</w:t>
      </w:r>
      <w:r w:rsidRPr="00F65307">
        <w:rPr>
          <w:rFonts w:asciiTheme="minorHAnsi" w:eastAsiaTheme="minorHAnsi" w:hAnsiTheme="minorHAnsi" w:cstheme="minorHAnsi"/>
          <w:rtl/>
        </w:rPr>
        <w:t xml:space="preserve"> על 3.8%, כשמדד הליבה </w:t>
      </w:r>
      <w:r w:rsidRPr="00F65307">
        <w:rPr>
          <w:rFonts w:asciiTheme="minorHAnsi" w:eastAsiaTheme="minorHAnsi" w:hAnsiTheme="minorHAnsi" w:cs="Calibri" w:hint="eastAsia"/>
          <w:rtl/>
        </w:rPr>
        <w:t>עלה</w:t>
      </w:r>
      <w:r w:rsidRPr="00F65307">
        <w:rPr>
          <w:rFonts w:asciiTheme="minorHAnsi" w:eastAsiaTheme="minorHAnsi" w:hAnsiTheme="minorHAnsi" w:cs="Calibri"/>
          <w:rtl/>
        </w:rPr>
        <w:t xml:space="preserve"> לרמה של </w:t>
      </w:r>
      <w:r w:rsidRPr="00F65307">
        <w:rPr>
          <w:rFonts w:asciiTheme="minorHAnsi" w:eastAsiaTheme="minorHAnsi" w:hAnsiTheme="minorHAnsi" w:cstheme="minorHAnsi"/>
          <w:rtl/>
        </w:rPr>
        <w:t xml:space="preserve">2.5% </w:t>
      </w:r>
      <w:r w:rsidRPr="00F65307">
        <w:rPr>
          <w:rFonts w:asciiTheme="minorHAnsi" w:eastAsiaTheme="minorHAnsi" w:hAnsiTheme="minorHAnsi" w:cs="Calibri"/>
          <w:b/>
          <w:bCs/>
          <w:rtl/>
        </w:rPr>
        <w:t>(איור 3</w:t>
      </w:r>
      <w:r>
        <w:rPr>
          <w:rFonts w:asciiTheme="minorHAnsi" w:eastAsiaTheme="minorHAnsi" w:hAnsiTheme="minorHAnsi" w:cs="Calibri" w:hint="cs"/>
          <w:b/>
          <w:bCs/>
          <w:rtl/>
        </w:rPr>
        <w:t>4</w:t>
      </w:r>
      <w:r w:rsidRPr="00F65307">
        <w:rPr>
          <w:rFonts w:asciiTheme="minorHAnsi" w:eastAsiaTheme="minorHAnsi" w:hAnsiTheme="minorHAnsi" w:cs="Calibri"/>
          <w:b/>
          <w:bCs/>
          <w:rtl/>
        </w:rPr>
        <w:t>א-ב)</w:t>
      </w:r>
      <w:r w:rsidRPr="00F65307">
        <w:rPr>
          <w:rFonts w:asciiTheme="minorHAnsi" w:eastAsiaTheme="minorHAnsi" w:hAnsiTheme="minorHAnsi" w:cs="Calibri"/>
          <w:rtl/>
        </w:rPr>
        <w:t>. בהחלטתם האחרונה ה-</w:t>
      </w:r>
      <w:r w:rsidRPr="00F65307">
        <w:rPr>
          <w:rFonts w:asciiTheme="minorHAnsi" w:eastAsiaTheme="minorHAnsi" w:hAnsiTheme="minorHAnsi" w:cs="Calibri"/>
        </w:rPr>
        <w:t>FED</w:t>
      </w:r>
      <w:r w:rsidRPr="00F65307">
        <w:rPr>
          <w:rFonts w:asciiTheme="minorHAnsi" w:eastAsiaTheme="minorHAnsi" w:hAnsiTheme="minorHAnsi" w:cs="Calibri"/>
          <w:rtl/>
        </w:rPr>
        <w:t xml:space="preserve"> וה-</w:t>
      </w:r>
      <w:r w:rsidRPr="00F65307">
        <w:rPr>
          <w:rFonts w:asciiTheme="minorHAnsi" w:eastAsiaTheme="minorHAnsi" w:hAnsiTheme="minorHAnsi" w:cs="Calibri"/>
        </w:rPr>
        <w:t>ECB</w:t>
      </w:r>
      <w:r w:rsidRPr="00F65307">
        <w:rPr>
          <w:rFonts w:asciiTheme="minorHAnsi" w:eastAsiaTheme="minorHAnsi" w:hAnsiTheme="minorHAnsi" w:cs="Calibri"/>
          <w:rtl/>
        </w:rPr>
        <w:t xml:space="preserve">, </w:t>
      </w:r>
      <w:r w:rsidRPr="00F65307">
        <w:rPr>
          <w:rFonts w:asciiTheme="minorHAnsi" w:eastAsiaTheme="minorHAnsi" w:hAnsiTheme="minorHAnsi" w:cs="Calibri" w:hint="eastAsia"/>
          <w:rtl/>
        </w:rPr>
        <w:t>העלו</w:t>
      </w:r>
      <w:r w:rsidRPr="00F65307">
        <w:rPr>
          <w:rFonts w:asciiTheme="minorHAnsi" w:eastAsiaTheme="minorHAnsi" w:hAnsiTheme="minorHAnsi" w:cs="Calibri"/>
          <w:rtl/>
        </w:rPr>
        <w:t xml:space="preserve"> את הריבית</w:t>
      </w:r>
      <w:r w:rsidRPr="00F65307">
        <w:rPr>
          <w:rtl/>
        </w:rPr>
        <w:t xml:space="preserve"> </w:t>
      </w:r>
      <w:r w:rsidRPr="00F65307">
        <w:rPr>
          <w:rFonts w:asciiTheme="minorHAnsi" w:eastAsiaTheme="minorHAnsi" w:hAnsiTheme="minorHAnsi" w:cs="Calibri"/>
          <w:rtl/>
        </w:rPr>
        <w:t xml:space="preserve">ב-25 נקודות בסיס ותוואי הריבית המתומחר בשווקים </w:t>
      </w:r>
      <w:r w:rsidRPr="00F65307">
        <w:rPr>
          <w:rFonts w:asciiTheme="minorHAnsi" w:eastAsiaTheme="minorHAnsi" w:hAnsiTheme="minorHAnsi" w:cs="Calibri" w:hint="eastAsia"/>
          <w:rtl/>
        </w:rPr>
        <w:t>עבור</w:t>
      </w:r>
      <w:r w:rsidRPr="00F65307">
        <w:rPr>
          <w:rFonts w:asciiTheme="minorHAnsi" w:eastAsiaTheme="minorHAnsi" w:hAnsiTheme="minorHAnsi" w:cs="Calibri"/>
          <w:rtl/>
        </w:rPr>
        <w:t xml:space="preserve"> בנקים אלו עלה בתקופה הנסקרת</w:t>
      </w:r>
      <w:r w:rsidRPr="00F65307">
        <w:rPr>
          <w:rtl/>
        </w:rPr>
        <w:t xml:space="preserve"> </w:t>
      </w:r>
      <w:r w:rsidRPr="00F65307">
        <w:rPr>
          <w:rFonts w:asciiTheme="minorHAnsi" w:eastAsiaTheme="minorHAnsi" w:hAnsiTheme="minorHAnsi" w:cs="Calibri"/>
          <w:rtl/>
        </w:rPr>
        <w:t xml:space="preserve">והוא כולל </w:t>
      </w:r>
      <w:r w:rsidRPr="00F65307">
        <w:rPr>
          <w:rFonts w:asciiTheme="minorHAnsi" w:eastAsiaTheme="minorHAnsi" w:hAnsiTheme="minorHAnsi" w:cs="Calibri" w:hint="eastAsia"/>
          <w:rtl/>
        </w:rPr>
        <w:t>כ</w:t>
      </w:r>
      <w:r w:rsidRPr="00F65307">
        <w:rPr>
          <w:rFonts w:asciiTheme="minorHAnsi" w:eastAsiaTheme="minorHAnsi" w:hAnsiTheme="minorHAnsi" w:cs="Calibri"/>
          <w:rtl/>
        </w:rPr>
        <w:t xml:space="preserve">שלוש העלאות ריבית בשנה הקרובה </w:t>
      </w:r>
      <w:r w:rsidRPr="00F65307">
        <w:rPr>
          <w:rFonts w:asciiTheme="minorHAnsi" w:eastAsiaTheme="minorHAnsi" w:hAnsiTheme="minorHAnsi" w:cs="Calibri"/>
          <w:b/>
          <w:bCs/>
          <w:rtl/>
        </w:rPr>
        <w:t>(איור 3</w:t>
      </w:r>
      <w:r>
        <w:rPr>
          <w:rFonts w:asciiTheme="minorHAnsi" w:eastAsiaTheme="minorHAnsi" w:hAnsiTheme="minorHAnsi" w:cs="Calibri" w:hint="cs"/>
          <w:b/>
          <w:bCs/>
          <w:rtl/>
        </w:rPr>
        <w:t>5</w:t>
      </w:r>
      <w:r w:rsidRPr="00F65307">
        <w:rPr>
          <w:rFonts w:asciiTheme="minorHAnsi" w:eastAsiaTheme="minorHAnsi" w:hAnsiTheme="minorHAnsi" w:cs="Calibri"/>
          <w:b/>
          <w:bCs/>
          <w:rtl/>
        </w:rPr>
        <w:t xml:space="preserve">- </w:t>
      </w:r>
      <w:r>
        <w:rPr>
          <w:rFonts w:asciiTheme="minorHAnsi" w:eastAsiaTheme="minorHAnsi" w:hAnsiTheme="minorHAnsi" w:cs="Calibri"/>
          <w:b/>
          <w:bCs/>
        </w:rPr>
        <w:t>36</w:t>
      </w:r>
      <w:r w:rsidRPr="00F65307">
        <w:rPr>
          <w:rFonts w:asciiTheme="minorHAnsi" w:eastAsiaTheme="minorHAnsi" w:hAnsiTheme="minorHAnsi" w:cs="Calibri"/>
          <w:b/>
          <w:bCs/>
          <w:rtl/>
        </w:rPr>
        <w:t>א-ב).</w:t>
      </w:r>
    </w:p>
    <w:p w:rsidR="002047CF" w:rsidRPr="006D3455" w:rsidRDefault="002047CF" w:rsidP="002047CF">
      <w:pPr>
        <w:bidi/>
        <w:spacing w:after="0" w:line="360" w:lineRule="auto"/>
        <w:jc w:val="both"/>
        <w:rPr>
          <w:rFonts w:asciiTheme="minorHAnsi" w:hAnsiTheme="minorHAnsi" w:cstheme="minorHAnsi"/>
          <w:color w:val="FF0000"/>
          <w:rtl/>
        </w:rPr>
      </w:pPr>
      <w:r w:rsidRPr="00F65307">
        <w:rPr>
          <w:rFonts w:asciiTheme="minorHAnsi" w:hAnsiTheme="minorHAnsi" w:cs="Calibri"/>
          <w:rtl/>
        </w:rPr>
        <w:t>סיכום הדיונים המוניטריים שהתקיימו ל</w:t>
      </w:r>
      <w:r w:rsidRPr="00AF0BA5">
        <w:rPr>
          <w:rFonts w:asciiTheme="minorHAnsi" w:hAnsiTheme="minorHAnsi" w:cs="Calibri"/>
          <w:rtl/>
        </w:rPr>
        <w:t>קראת החלטה זו יפורסם ב-</w:t>
      </w:r>
      <w:r w:rsidRPr="00AF0BA5">
        <w:rPr>
          <w:rFonts w:asciiTheme="minorHAnsi" w:hAnsiTheme="minorHAnsi" w:cs="Calibri" w:hint="cs"/>
          <w:rtl/>
        </w:rPr>
        <w:t>04.11</w:t>
      </w:r>
      <w:r w:rsidRPr="00AF0BA5">
        <w:rPr>
          <w:rFonts w:asciiTheme="minorHAnsi" w:hAnsiTheme="minorHAnsi" w:cs="Calibri"/>
          <w:rtl/>
        </w:rPr>
        <w:t>.202</w:t>
      </w:r>
      <w:r w:rsidRPr="00AF0BA5">
        <w:rPr>
          <w:rFonts w:asciiTheme="minorHAnsi" w:hAnsiTheme="minorHAnsi" w:cs="Calibri" w:hint="cs"/>
          <w:rtl/>
        </w:rPr>
        <w:t>6</w:t>
      </w:r>
      <w:r w:rsidRPr="00AF0BA5">
        <w:rPr>
          <w:rFonts w:asciiTheme="minorHAnsi" w:hAnsiTheme="minorHAnsi" w:cs="Calibri"/>
          <w:rtl/>
        </w:rPr>
        <w:t xml:space="preserve">. החלטת המדיניות המוניטרית הבאה תתפרסם ביום </w:t>
      </w:r>
      <w:r w:rsidRPr="00AF0BA5">
        <w:rPr>
          <w:rFonts w:asciiTheme="minorHAnsi" w:hAnsiTheme="minorHAnsi" w:cs="Calibri" w:hint="cs"/>
          <w:rtl/>
        </w:rPr>
        <w:t>שני</w:t>
      </w:r>
      <w:r w:rsidRPr="00AF0BA5">
        <w:rPr>
          <w:rFonts w:asciiTheme="minorHAnsi" w:hAnsiTheme="minorHAnsi" w:cs="Calibri"/>
          <w:rtl/>
        </w:rPr>
        <w:t>, ה-</w:t>
      </w:r>
      <w:r w:rsidRPr="00AF0BA5">
        <w:rPr>
          <w:rFonts w:asciiTheme="minorHAnsi" w:hAnsiTheme="minorHAnsi" w:cs="Calibri" w:hint="cs"/>
          <w:rtl/>
        </w:rPr>
        <w:t>23.11.2026</w:t>
      </w:r>
      <w:r w:rsidRPr="00AF0BA5">
        <w:rPr>
          <w:rFonts w:asciiTheme="minorHAnsi" w:hAnsiTheme="minorHAnsi" w:cs="Calibri"/>
          <w:rtl/>
        </w:rPr>
        <w:t>.</w:t>
      </w:r>
    </w:p>
    <w:p w:rsidR="002047CF" w:rsidRDefault="002047CF" w:rsidP="002047CF">
      <w:pPr>
        <w:bidi/>
        <w:spacing w:line="360" w:lineRule="auto"/>
        <w:rPr>
          <w:rFonts w:asciiTheme="minorHAnsi" w:hAnsiTheme="minorHAnsi" w:cstheme="minorHAnsi"/>
          <w:rtl/>
        </w:rPr>
      </w:pPr>
    </w:p>
    <w:p w:rsidR="000B589E" w:rsidRPr="000B589E" w:rsidRDefault="000B589E" w:rsidP="000B589E">
      <w:pPr>
        <w:bidi/>
        <w:spacing w:line="360" w:lineRule="auto"/>
        <w:rPr>
          <w:rFonts w:asciiTheme="minorHAnsi" w:hAnsiTheme="minorHAnsi" w:cstheme="minorHAnsi"/>
        </w:rPr>
      </w:pPr>
    </w:p>
    <w:sectPr w:rsidR="000B589E" w:rsidRPr="000B589E" w:rsidSect="00CC2499">
      <w:footerReference w:type="default" r:id="rId8"/>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BB6" w:rsidRDefault="00431BB6" w:rsidP="00E04682">
      <w:pPr>
        <w:spacing w:after="0" w:line="240" w:lineRule="auto"/>
      </w:pPr>
      <w:r>
        <w:separator/>
      </w:r>
    </w:p>
  </w:endnote>
  <w:endnote w:type="continuationSeparator" w:id="0">
    <w:p w:rsidR="00431BB6" w:rsidRDefault="00431BB6" w:rsidP="00E0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w:panose1 w:val="00000500000000000000"/>
    <w:charset w:val="00"/>
    <w:family w:val="auto"/>
    <w:pitch w:val="variable"/>
    <w:sig w:usb0="00000807" w:usb1="40000000" w:usb2="00000000" w:usb3="00000000" w:csb0="0000002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82" w:rsidRDefault="00F25BB5" w:rsidP="00F20046">
    <w:pPr>
      <w:pStyle w:val="a7"/>
      <w:rPr>
        <w:rtl/>
      </w:rPr>
    </w:pPr>
    <w:r>
      <w:rPr>
        <w:noProof/>
      </w:rPr>
      <mc:AlternateContent>
        <mc:Choice Requires="wps">
          <w:drawing>
            <wp:anchor distT="0" distB="0" distL="114300" distR="114300" simplePos="0" relativeHeight="251665408" behindDoc="0" locked="0" layoutInCell="1" allowOverlap="1" wp14:anchorId="6F2FA1B7" wp14:editId="115BEBC9">
              <wp:simplePos x="0" y="0"/>
              <wp:positionH relativeFrom="margin">
                <wp:posOffset>1590675</wp:posOffset>
              </wp:positionH>
              <wp:positionV relativeFrom="paragraph">
                <wp:posOffset>111760</wp:posOffset>
              </wp:positionV>
              <wp:extent cx="2009775" cy="361950"/>
              <wp:effectExtent l="0" t="0" r="0" b="0"/>
              <wp:wrapNone/>
              <wp:docPr id="13" name="תיבת טקסט 13"/>
              <wp:cNvGraphicFramePr/>
              <a:graphic xmlns:a="http://schemas.openxmlformats.org/drawingml/2006/main">
                <a:graphicData uri="http://schemas.microsoft.com/office/word/2010/wordprocessingShape">
                  <wps:wsp>
                    <wps:cNvSpPr txBox="1"/>
                    <wps:spPr>
                      <a:xfrm>
                        <a:off x="0" y="0"/>
                        <a:ext cx="2009775" cy="361950"/>
                      </a:xfrm>
                      <a:prstGeom prst="rect">
                        <a:avLst/>
                      </a:prstGeom>
                      <a:noFill/>
                      <a:ln w="6350">
                        <a:noFill/>
                      </a:ln>
                    </wps:spPr>
                    <wps:txb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1"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FA1B7" id="_x0000_t202" coordsize="21600,21600" o:spt="202" path="m,l,21600r21600,l21600,xe">
              <v:stroke joinstyle="miter"/>
              <v:path gradientshapeok="t" o:connecttype="rect"/>
            </v:shapetype>
            <v:shape id="תיבת טקסט 13" o:spid="_x0000_s1026" type="#_x0000_t202" style="position:absolute;margin-left:125.25pt;margin-top:8.8pt;width:158.25pt;height:2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" filled="f" stroked="f" strokeweight=".5pt">
              <v:textbo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2"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v:textbox>
              <w10:wrap anchorx="margin"/>
            </v:shape>
          </w:pict>
        </mc:Fallback>
      </mc:AlternateContent>
    </w:r>
    <w:r w:rsidR="00C10172" w:rsidRPr="00571971">
      <w:rPr>
        <w:rFonts w:cs="Calibri"/>
        <w:noProof/>
        <w:rtl/>
      </w:rPr>
      <w:drawing>
        <wp:anchor distT="0" distB="0" distL="114300" distR="114300" simplePos="0" relativeHeight="251667456" behindDoc="0" locked="0" layoutInCell="1" allowOverlap="1">
          <wp:simplePos x="0" y="0"/>
          <wp:positionH relativeFrom="margin">
            <wp:posOffset>5628736</wp:posOffset>
          </wp:positionH>
          <wp:positionV relativeFrom="paragraph">
            <wp:posOffset>-161769</wp:posOffset>
          </wp:positionV>
          <wp:extent cx="310551" cy="310551"/>
          <wp:effectExtent l="0" t="0" r="0" b="0"/>
          <wp:wrapNone/>
          <wp:docPr id="8" name="תמונה 8"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sidR="00F20046">
      <w:rPr>
        <w:noProof/>
      </w:rPr>
      <w:drawing>
        <wp:anchor distT="0" distB="0" distL="114300" distR="114300" simplePos="0" relativeHeight="251662336" behindDoc="0" locked="0" layoutInCell="1" allowOverlap="1">
          <wp:simplePos x="0" y="0"/>
          <wp:positionH relativeFrom="column">
            <wp:posOffset>4231257</wp:posOffset>
          </wp:positionH>
          <wp:positionV relativeFrom="paragraph">
            <wp:posOffset>-127468</wp:posOffset>
          </wp:positionV>
          <wp:extent cx="241539" cy="241539"/>
          <wp:effectExtent l="0" t="0" r="6350" b="635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8480" behindDoc="0" locked="0" layoutInCell="1" allowOverlap="1">
          <wp:simplePos x="0" y="0"/>
          <wp:positionH relativeFrom="column">
            <wp:posOffset>2411084</wp:posOffset>
          </wp:positionH>
          <wp:positionV relativeFrom="paragraph">
            <wp:posOffset>-135638</wp:posOffset>
          </wp:positionV>
          <wp:extent cx="266528" cy="262039"/>
          <wp:effectExtent l="0" t="0" r="635" b="5080"/>
          <wp:wrapNone/>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9504" behindDoc="0" locked="0" layoutInCell="1" allowOverlap="1">
          <wp:simplePos x="0" y="0"/>
          <wp:positionH relativeFrom="column">
            <wp:posOffset>565030</wp:posOffset>
          </wp:positionH>
          <wp:positionV relativeFrom="paragraph">
            <wp:posOffset>-118386</wp:posOffset>
          </wp:positionV>
          <wp:extent cx="329206" cy="241456"/>
          <wp:effectExtent l="0" t="0" r="0" b="6350"/>
          <wp:wrapNone/>
          <wp:docPr id="2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sidR="00F20046">
      <w:rPr>
        <w:noProof/>
      </w:rPr>
      <mc:AlternateContent>
        <mc:Choice Requires="wps">
          <w:drawing>
            <wp:anchor distT="0" distB="0" distL="114300" distR="114300" simplePos="0" relativeHeight="251671552" behindDoc="0" locked="0" layoutInCell="1" allowOverlap="1" wp14:anchorId="2A58D63D" wp14:editId="2D1F9C15">
              <wp:simplePos x="0" y="0"/>
              <wp:positionH relativeFrom="margin">
                <wp:posOffset>-292471</wp:posOffset>
              </wp:positionH>
              <wp:positionV relativeFrom="paragraph">
                <wp:posOffset>76200</wp:posOffset>
              </wp:positionV>
              <wp:extent cx="2130281" cy="621030"/>
              <wp:effectExtent l="0" t="0" r="0" b="7620"/>
              <wp:wrapNone/>
              <wp:docPr id="22" name="תיבת טקסט 2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0"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8D63D" id="תיבת טקסט 22" o:spid="_x0000_s1027" type="#_x0000_t202" style="position:absolute;margin-left:-23.05pt;margin-top:6pt;width:167.75pt;height:4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" filled="f" stroked="f" strokeweight=".5pt">
              <v:textbo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1"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v:textbox>
              <w10:wrap anchorx="margin"/>
            </v:shape>
          </w:pict>
        </mc:Fallback>
      </mc:AlternateContent>
    </w:r>
    <w:r w:rsidR="00F20046">
      <w:rPr>
        <w:noProof/>
      </w:rPr>
      <mc:AlternateContent>
        <mc:Choice Requires="wps">
          <w:drawing>
            <wp:anchor distT="0" distB="0" distL="114300" distR="114300" simplePos="0" relativeHeight="251661312" behindDoc="0" locked="0" layoutInCell="1" allowOverlap="1" wp14:anchorId="71AF4990" wp14:editId="6CA604D5">
              <wp:simplePos x="0" y="0"/>
              <wp:positionH relativeFrom="column">
                <wp:posOffset>3257861</wp:posOffset>
              </wp:positionH>
              <wp:positionV relativeFrom="paragraph">
                <wp:posOffset>89750</wp:posOffset>
              </wp:positionV>
              <wp:extent cx="2181860" cy="457200"/>
              <wp:effectExtent l="0" t="0" r="0" b="0"/>
              <wp:wrapNone/>
              <wp:docPr id="9" name="תיבת טקסט 9"/>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2" w:history="1">
                            <w:r w:rsidR="00571971" w:rsidRPr="00031A9D">
                              <w:rPr>
                                <w:rStyle w:val="Hyperlink"/>
                                <w:rFonts w:asciiTheme="minorHAnsi" w:hAnsiTheme="minorHAnsi"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AF4990" id="תיבת טקסט 9" o:spid="_x0000_s1028" type="#_x0000_t202" style="position:absolute;margin-left:256.5pt;margin-top:7.05pt;width:171.8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" filled="f" stroked="f" strokeweight=".5pt">
              <v:textbo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3" w:history="1">
                      <w:r w:rsidR="00571971" w:rsidRPr="00031A9D">
                        <w:rPr>
                          <w:rStyle w:val="Hyperlink"/>
                          <w:rFonts w:asciiTheme="minorHAnsi" w:hAnsiTheme="minorHAnsi" w:cstheme="minorHAnsi"/>
                          <w:sz w:val="14"/>
                          <w:szCs w:val="14"/>
                        </w:rPr>
                        <w:t>https://www.facebook.com/bankisraelvc</w:t>
                      </w:r>
                    </w:hyperlink>
                  </w:p>
                </w:txbxContent>
              </v:textbox>
            </v:shape>
          </w:pict>
        </mc:Fallback>
      </mc:AlternateContent>
    </w:r>
    <w:r w:rsidR="00F20046">
      <w:rPr>
        <w:noProof/>
      </w:rPr>
      <mc:AlternateContent>
        <mc:Choice Requires="wps">
          <w:drawing>
            <wp:anchor distT="0" distB="0" distL="114300" distR="114300" simplePos="0" relativeHeight="251659264" behindDoc="0" locked="0" layoutInCell="1" allowOverlap="1">
              <wp:simplePos x="0" y="0"/>
              <wp:positionH relativeFrom="column">
                <wp:posOffset>5014583</wp:posOffset>
              </wp:positionH>
              <wp:positionV relativeFrom="paragraph">
                <wp:posOffset>89164</wp:posOffset>
              </wp:positionV>
              <wp:extent cx="1535430" cy="457200"/>
              <wp:effectExtent l="0" t="0" r="0" b="0"/>
              <wp:wrapNone/>
              <wp:docPr id="7" name="תיבת טקסט 7"/>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7" o:spid="_x0000_s1029" type="#_x0000_t202" style="position:absolute;margin-left:394.85pt;margin-top:7pt;width:120.9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" filled="f" stroked="f" strokeweight=".5pt">
              <v:textbo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sidR="00B677DC">
      <w:rPr>
        <w:noProof/>
      </w:rPr>
      <mc:AlternateContent>
        <mc:Choice Requires="wps">
          <w:drawing>
            <wp:anchor distT="0" distB="0" distL="114300" distR="114300" simplePos="0" relativeHeight="251666432" behindDoc="0" locked="0" layoutInCell="1" allowOverlap="1">
              <wp:simplePos x="0" y="0"/>
              <wp:positionH relativeFrom="column">
                <wp:posOffset>-81915</wp:posOffset>
              </wp:positionH>
              <wp:positionV relativeFrom="paragraph">
                <wp:posOffset>-223149</wp:posOffset>
              </wp:positionV>
              <wp:extent cx="6228080" cy="0"/>
              <wp:effectExtent l="0" t="0" r="20320" b="19050"/>
              <wp:wrapNone/>
              <wp:docPr id="15" name="מחבר ישר 1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AD1803" id="מחבר ישר 15" o:spid="_x0000_s1026" style="position:absolute;left:0;text-align:left;flip:x;z-index:251666432;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" strokecolor="black [3040]"/>
          </w:pict>
        </mc:Fallback>
      </mc:AlternateContent>
    </w:r>
    <w:r w:rsidR="00972198" w:rsidRPr="00571971">
      <w:rPr>
        <w:rFonts w:cs="Calibri"/>
        <w:noProof/>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BB6" w:rsidRDefault="00431BB6" w:rsidP="00E04682">
      <w:pPr>
        <w:spacing w:after="0" w:line="240" w:lineRule="auto"/>
      </w:pPr>
      <w:r>
        <w:separator/>
      </w:r>
    </w:p>
  </w:footnote>
  <w:footnote w:type="continuationSeparator" w:id="0">
    <w:p w:rsidR="00431BB6" w:rsidRDefault="00431BB6" w:rsidP="00E04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C6049"/>
    <w:multiLevelType w:val="hybridMultilevel"/>
    <w:tmpl w:val="3A4AADEA"/>
    <w:lvl w:ilvl="0" w:tplc="BCEC41EA">
      <w:numFmt w:val="bullet"/>
      <w:lvlText w:val=""/>
      <w:lvlJc w:val="left"/>
      <w:pPr>
        <w:ind w:left="720" w:hanging="360"/>
      </w:pPr>
      <w:rPr>
        <w:rFonts w:ascii="Symbol" w:eastAsia="David"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1D01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654D7F"/>
    <w:multiLevelType w:val="hybridMultilevel"/>
    <w:tmpl w:val="7ECE0DC4"/>
    <w:lvl w:ilvl="0" w:tplc="311A03AC">
      <w:start w:val="1"/>
      <w:numFmt w:val="bullet"/>
      <w:lvlText w:val=""/>
      <w:lvlJc w:val="left"/>
      <w:pPr>
        <w:ind w:left="1513" w:hanging="360"/>
      </w:pPr>
      <w:rPr>
        <w:rFonts w:ascii="Symbol" w:hAnsi="Symbol" w:hint="default"/>
      </w:rPr>
    </w:lvl>
    <w:lvl w:ilvl="1" w:tplc="2CB8D966" w:tentative="1">
      <w:start w:val="1"/>
      <w:numFmt w:val="bullet"/>
      <w:lvlText w:val="o"/>
      <w:lvlJc w:val="left"/>
      <w:pPr>
        <w:ind w:left="2233" w:hanging="360"/>
      </w:pPr>
      <w:rPr>
        <w:rFonts w:ascii="Courier New" w:hAnsi="Courier New" w:cs="Courier New" w:hint="default"/>
      </w:rPr>
    </w:lvl>
    <w:lvl w:ilvl="2" w:tplc="D0E099F0" w:tentative="1">
      <w:start w:val="1"/>
      <w:numFmt w:val="bullet"/>
      <w:lvlText w:val=""/>
      <w:lvlJc w:val="left"/>
      <w:pPr>
        <w:ind w:left="2953" w:hanging="360"/>
      </w:pPr>
      <w:rPr>
        <w:rFonts w:ascii="Wingdings" w:hAnsi="Wingdings" w:hint="default"/>
      </w:rPr>
    </w:lvl>
    <w:lvl w:ilvl="3" w:tplc="F84073CA" w:tentative="1">
      <w:start w:val="1"/>
      <w:numFmt w:val="bullet"/>
      <w:lvlText w:val=""/>
      <w:lvlJc w:val="left"/>
      <w:pPr>
        <w:ind w:left="3673" w:hanging="360"/>
      </w:pPr>
      <w:rPr>
        <w:rFonts w:ascii="Symbol" w:hAnsi="Symbol" w:hint="default"/>
      </w:rPr>
    </w:lvl>
    <w:lvl w:ilvl="4" w:tplc="95A41C3A" w:tentative="1">
      <w:start w:val="1"/>
      <w:numFmt w:val="bullet"/>
      <w:lvlText w:val="o"/>
      <w:lvlJc w:val="left"/>
      <w:pPr>
        <w:ind w:left="4393" w:hanging="360"/>
      </w:pPr>
      <w:rPr>
        <w:rFonts w:ascii="Courier New" w:hAnsi="Courier New" w:cs="Courier New" w:hint="default"/>
      </w:rPr>
    </w:lvl>
    <w:lvl w:ilvl="5" w:tplc="4D0635D2" w:tentative="1">
      <w:start w:val="1"/>
      <w:numFmt w:val="bullet"/>
      <w:lvlText w:val=""/>
      <w:lvlJc w:val="left"/>
      <w:pPr>
        <w:ind w:left="5113" w:hanging="360"/>
      </w:pPr>
      <w:rPr>
        <w:rFonts w:ascii="Wingdings" w:hAnsi="Wingdings" w:hint="default"/>
      </w:rPr>
    </w:lvl>
    <w:lvl w:ilvl="6" w:tplc="0CF8D35A" w:tentative="1">
      <w:start w:val="1"/>
      <w:numFmt w:val="bullet"/>
      <w:lvlText w:val=""/>
      <w:lvlJc w:val="left"/>
      <w:pPr>
        <w:ind w:left="5833" w:hanging="360"/>
      </w:pPr>
      <w:rPr>
        <w:rFonts w:ascii="Symbol" w:hAnsi="Symbol" w:hint="default"/>
      </w:rPr>
    </w:lvl>
    <w:lvl w:ilvl="7" w:tplc="DE04F528" w:tentative="1">
      <w:start w:val="1"/>
      <w:numFmt w:val="bullet"/>
      <w:lvlText w:val="o"/>
      <w:lvlJc w:val="left"/>
      <w:pPr>
        <w:ind w:left="6553" w:hanging="360"/>
      </w:pPr>
      <w:rPr>
        <w:rFonts w:ascii="Courier New" w:hAnsi="Courier New" w:cs="Courier New" w:hint="default"/>
      </w:rPr>
    </w:lvl>
    <w:lvl w:ilvl="8" w:tplc="822AFB6E" w:tentative="1">
      <w:start w:val="1"/>
      <w:numFmt w:val="bullet"/>
      <w:lvlText w:val=""/>
      <w:lvlJc w:val="left"/>
      <w:pPr>
        <w:ind w:left="7273" w:hanging="360"/>
      </w:pPr>
      <w:rPr>
        <w:rFonts w:ascii="Wingdings" w:hAnsi="Wingdings" w:hint="default"/>
      </w:rPr>
    </w:lvl>
  </w:abstractNum>
  <w:abstractNum w:abstractNumId="3" w15:restartNumberingAfterBreak="0">
    <w:nsid w:val="3A951D18"/>
    <w:multiLevelType w:val="hybridMultilevel"/>
    <w:tmpl w:val="8D94D286"/>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210C5A"/>
    <w:multiLevelType w:val="hybridMultilevel"/>
    <w:tmpl w:val="1F0214CA"/>
    <w:lvl w:ilvl="0" w:tplc="D41CDC90">
      <w:numFmt w:val="bullet"/>
      <w:lvlText w:val=""/>
      <w:lvlJc w:val="left"/>
      <w:pPr>
        <w:ind w:left="668" w:hanging="360"/>
      </w:pPr>
      <w:rPr>
        <w:rFonts w:ascii="Symbol" w:eastAsiaTheme="minorHAnsi" w:hAnsi="Symbol" w:cs="Assistant" w:hint="default"/>
      </w:rPr>
    </w:lvl>
    <w:lvl w:ilvl="1" w:tplc="04090003">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5" w15:restartNumberingAfterBreak="0">
    <w:nsid w:val="577F64B2"/>
    <w:multiLevelType w:val="hybridMultilevel"/>
    <w:tmpl w:val="A3EC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14A7D"/>
    <w:multiLevelType w:val="hybridMultilevel"/>
    <w:tmpl w:val="CC7060DA"/>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8B7446"/>
    <w:multiLevelType w:val="hybridMultilevel"/>
    <w:tmpl w:val="EC7A8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8F0E69"/>
    <w:multiLevelType w:val="hybridMultilevel"/>
    <w:tmpl w:val="109A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0642CF"/>
    <w:multiLevelType w:val="hybridMultilevel"/>
    <w:tmpl w:val="917A7A3C"/>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0941A4"/>
    <w:multiLevelType w:val="hybridMultilevel"/>
    <w:tmpl w:val="D5825F84"/>
    <w:lvl w:ilvl="0" w:tplc="2C8673AE">
      <w:start w:val="1"/>
      <w:numFmt w:val="bullet"/>
      <w:lvlText w:val=""/>
      <w:lvlJc w:val="left"/>
      <w:pPr>
        <w:ind w:left="720" w:hanging="360"/>
      </w:pPr>
      <w:rPr>
        <w:rFonts w:ascii="Symbol" w:hAnsi="Symbol" w:hint="default"/>
      </w:rPr>
    </w:lvl>
    <w:lvl w:ilvl="1" w:tplc="416E8F56" w:tentative="1">
      <w:start w:val="1"/>
      <w:numFmt w:val="bullet"/>
      <w:lvlText w:val="o"/>
      <w:lvlJc w:val="left"/>
      <w:pPr>
        <w:ind w:left="1440" w:hanging="360"/>
      </w:pPr>
      <w:rPr>
        <w:rFonts w:ascii="Courier New" w:hAnsi="Courier New" w:cs="Courier New" w:hint="default"/>
      </w:rPr>
    </w:lvl>
    <w:lvl w:ilvl="2" w:tplc="392CE05C" w:tentative="1">
      <w:start w:val="1"/>
      <w:numFmt w:val="bullet"/>
      <w:lvlText w:val=""/>
      <w:lvlJc w:val="left"/>
      <w:pPr>
        <w:ind w:left="2160" w:hanging="360"/>
      </w:pPr>
      <w:rPr>
        <w:rFonts w:ascii="Wingdings" w:hAnsi="Wingdings" w:hint="default"/>
      </w:rPr>
    </w:lvl>
    <w:lvl w:ilvl="3" w:tplc="BFAEF2A0" w:tentative="1">
      <w:start w:val="1"/>
      <w:numFmt w:val="bullet"/>
      <w:lvlText w:val=""/>
      <w:lvlJc w:val="left"/>
      <w:pPr>
        <w:ind w:left="2880" w:hanging="360"/>
      </w:pPr>
      <w:rPr>
        <w:rFonts w:ascii="Symbol" w:hAnsi="Symbol" w:hint="default"/>
      </w:rPr>
    </w:lvl>
    <w:lvl w:ilvl="4" w:tplc="9F04FF50" w:tentative="1">
      <w:start w:val="1"/>
      <w:numFmt w:val="bullet"/>
      <w:lvlText w:val="o"/>
      <w:lvlJc w:val="left"/>
      <w:pPr>
        <w:ind w:left="3600" w:hanging="360"/>
      </w:pPr>
      <w:rPr>
        <w:rFonts w:ascii="Courier New" w:hAnsi="Courier New" w:cs="Courier New" w:hint="default"/>
      </w:rPr>
    </w:lvl>
    <w:lvl w:ilvl="5" w:tplc="602A822A" w:tentative="1">
      <w:start w:val="1"/>
      <w:numFmt w:val="bullet"/>
      <w:lvlText w:val=""/>
      <w:lvlJc w:val="left"/>
      <w:pPr>
        <w:ind w:left="4320" w:hanging="360"/>
      </w:pPr>
      <w:rPr>
        <w:rFonts w:ascii="Wingdings" w:hAnsi="Wingdings" w:hint="default"/>
      </w:rPr>
    </w:lvl>
    <w:lvl w:ilvl="6" w:tplc="098C949E" w:tentative="1">
      <w:start w:val="1"/>
      <w:numFmt w:val="bullet"/>
      <w:lvlText w:val=""/>
      <w:lvlJc w:val="left"/>
      <w:pPr>
        <w:ind w:left="5040" w:hanging="360"/>
      </w:pPr>
      <w:rPr>
        <w:rFonts w:ascii="Symbol" w:hAnsi="Symbol" w:hint="default"/>
      </w:rPr>
    </w:lvl>
    <w:lvl w:ilvl="7" w:tplc="E3E09A74" w:tentative="1">
      <w:start w:val="1"/>
      <w:numFmt w:val="bullet"/>
      <w:lvlText w:val="o"/>
      <w:lvlJc w:val="left"/>
      <w:pPr>
        <w:ind w:left="5760" w:hanging="360"/>
      </w:pPr>
      <w:rPr>
        <w:rFonts w:ascii="Courier New" w:hAnsi="Courier New" w:cs="Courier New" w:hint="default"/>
      </w:rPr>
    </w:lvl>
    <w:lvl w:ilvl="8" w:tplc="F7B45E2A"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1"/>
  </w:num>
  <w:num w:numId="6">
    <w:abstractNumId w:val="10"/>
  </w:num>
  <w:num w:numId="7">
    <w:abstractNumId w:val="7"/>
  </w:num>
  <w:num w:numId="8">
    <w:abstractNumId w:val="6"/>
  </w:num>
  <w:num w:numId="9">
    <w:abstractNumId w:val="3"/>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0A"/>
    <w:rsid w:val="0000680E"/>
    <w:rsid w:val="00012503"/>
    <w:rsid w:val="00031A9D"/>
    <w:rsid w:val="00040A7F"/>
    <w:rsid w:val="00045C65"/>
    <w:rsid w:val="00055CC5"/>
    <w:rsid w:val="00065B9B"/>
    <w:rsid w:val="000727FD"/>
    <w:rsid w:val="00084B5A"/>
    <w:rsid w:val="000857B7"/>
    <w:rsid w:val="00087BB3"/>
    <w:rsid w:val="00095555"/>
    <w:rsid w:val="00096238"/>
    <w:rsid w:val="000A5329"/>
    <w:rsid w:val="000B589E"/>
    <w:rsid w:val="000C1E4D"/>
    <w:rsid w:val="000D2157"/>
    <w:rsid w:val="000D5445"/>
    <w:rsid w:val="000E7ED2"/>
    <w:rsid w:val="00100012"/>
    <w:rsid w:val="00113BC9"/>
    <w:rsid w:val="00115277"/>
    <w:rsid w:val="00115FEF"/>
    <w:rsid w:val="00127DAC"/>
    <w:rsid w:val="00151A07"/>
    <w:rsid w:val="00156135"/>
    <w:rsid w:val="00162DCC"/>
    <w:rsid w:val="00166DBC"/>
    <w:rsid w:val="001705B9"/>
    <w:rsid w:val="00170DDB"/>
    <w:rsid w:val="00184E4C"/>
    <w:rsid w:val="0019079B"/>
    <w:rsid w:val="00196785"/>
    <w:rsid w:val="001A2670"/>
    <w:rsid w:val="001A53CE"/>
    <w:rsid w:val="001B05C6"/>
    <w:rsid w:val="001B28C8"/>
    <w:rsid w:val="001B5E43"/>
    <w:rsid w:val="001C194B"/>
    <w:rsid w:val="001C7D79"/>
    <w:rsid w:val="001D5E62"/>
    <w:rsid w:val="001E0275"/>
    <w:rsid w:val="001E2886"/>
    <w:rsid w:val="001E46DB"/>
    <w:rsid w:val="001F2BE7"/>
    <w:rsid w:val="002047CF"/>
    <w:rsid w:val="00223D37"/>
    <w:rsid w:val="00225BDF"/>
    <w:rsid w:val="00245BA3"/>
    <w:rsid w:val="00256095"/>
    <w:rsid w:val="00256D97"/>
    <w:rsid w:val="00265657"/>
    <w:rsid w:val="00274912"/>
    <w:rsid w:val="00275FE8"/>
    <w:rsid w:val="002834B6"/>
    <w:rsid w:val="00290B54"/>
    <w:rsid w:val="00297F94"/>
    <w:rsid w:val="002A2E4C"/>
    <w:rsid w:val="002A3CC4"/>
    <w:rsid w:val="002B564E"/>
    <w:rsid w:val="002B7877"/>
    <w:rsid w:val="002C05A5"/>
    <w:rsid w:val="002C754F"/>
    <w:rsid w:val="002D7AA8"/>
    <w:rsid w:val="002E330F"/>
    <w:rsid w:val="002E5F96"/>
    <w:rsid w:val="002F62A1"/>
    <w:rsid w:val="00301F96"/>
    <w:rsid w:val="003144E6"/>
    <w:rsid w:val="00315D7C"/>
    <w:rsid w:val="00316C9F"/>
    <w:rsid w:val="0031701E"/>
    <w:rsid w:val="0032792A"/>
    <w:rsid w:val="003353C9"/>
    <w:rsid w:val="00341083"/>
    <w:rsid w:val="00352E3C"/>
    <w:rsid w:val="003552BD"/>
    <w:rsid w:val="0036030B"/>
    <w:rsid w:val="003641E2"/>
    <w:rsid w:val="00370E6F"/>
    <w:rsid w:val="0037101B"/>
    <w:rsid w:val="003730B8"/>
    <w:rsid w:val="00375149"/>
    <w:rsid w:val="003A1561"/>
    <w:rsid w:val="003C2931"/>
    <w:rsid w:val="003E7478"/>
    <w:rsid w:val="003F01E4"/>
    <w:rsid w:val="003F57B2"/>
    <w:rsid w:val="00407D90"/>
    <w:rsid w:val="00431BB6"/>
    <w:rsid w:val="00440E7F"/>
    <w:rsid w:val="004537A7"/>
    <w:rsid w:val="004561A3"/>
    <w:rsid w:val="00460DDF"/>
    <w:rsid w:val="00461C90"/>
    <w:rsid w:val="00471092"/>
    <w:rsid w:val="004A120F"/>
    <w:rsid w:val="004A32D7"/>
    <w:rsid w:val="004A6295"/>
    <w:rsid w:val="004C6182"/>
    <w:rsid w:val="004C7925"/>
    <w:rsid w:val="004F26A1"/>
    <w:rsid w:val="004F5E3C"/>
    <w:rsid w:val="00567B1A"/>
    <w:rsid w:val="00571971"/>
    <w:rsid w:val="0057422C"/>
    <w:rsid w:val="00575141"/>
    <w:rsid w:val="00593658"/>
    <w:rsid w:val="0059782C"/>
    <w:rsid w:val="005A52A2"/>
    <w:rsid w:val="005C5BF9"/>
    <w:rsid w:val="005D5F2B"/>
    <w:rsid w:val="005E28F6"/>
    <w:rsid w:val="00614024"/>
    <w:rsid w:val="00632CD2"/>
    <w:rsid w:val="006344CC"/>
    <w:rsid w:val="0063559D"/>
    <w:rsid w:val="0063690B"/>
    <w:rsid w:val="00640309"/>
    <w:rsid w:val="00660075"/>
    <w:rsid w:val="00660F46"/>
    <w:rsid w:val="006811C3"/>
    <w:rsid w:val="006907D5"/>
    <w:rsid w:val="0069557C"/>
    <w:rsid w:val="006C3C36"/>
    <w:rsid w:val="006C5099"/>
    <w:rsid w:val="006F0964"/>
    <w:rsid w:val="00701240"/>
    <w:rsid w:val="00715D7F"/>
    <w:rsid w:val="00716C90"/>
    <w:rsid w:val="007172E4"/>
    <w:rsid w:val="00737090"/>
    <w:rsid w:val="00780795"/>
    <w:rsid w:val="00783F55"/>
    <w:rsid w:val="007916D5"/>
    <w:rsid w:val="0079406F"/>
    <w:rsid w:val="00797111"/>
    <w:rsid w:val="007A0330"/>
    <w:rsid w:val="007A25C0"/>
    <w:rsid w:val="007A2A08"/>
    <w:rsid w:val="007B2299"/>
    <w:rsid w:val="007B2E35"/>
    <w:rsid w:val="007B64D4"/>
    <w:rsid w:val="007C40B7"/>
    <w:rsid w:val="007C41CE"/>
    <w:rsid w:val="007D028E"/>
    <w:rsid w:val="007E3CCC"/>
    <w:rsid w:val="00803D2A"/>
    <w:rsid w:val="008058DF"/>
    <w:rsid w:val="00810049"/>
    <w:rsid w:val="008137A5"/>
    <w:rsid w:val="00832597"/>
    <w:rsid w:val="008371BA"/>
    <w:rsid w:val="00844664"/>
    <w:rsid w:val="008466F0"/>
    <w:rsid w:val="008473FB"/>
    <w:rsid w:val="00850CC4"/>
    <w:rsid w:val="00886388"/>
    <w:rsid w:val="008A707D"/>
    <w:rsid w:val="008B3199"/>
    <w:rsid w:val="008C47FB"/>
    <w:rsid w:val="008C4A46"/>
    <w:rsid w:val="008C706D"/>
    <w:rsid w:val="008D5488"/>
    <w:rsid w:val="008E2484"/>
    <w:rsid w:val="008F0B52"/>
    <w:rsid w:val="008F617A"/>
    <w:rsid w:val="00914AC1"/>
    <w:rsid w:val="00921F03"/>
    <w:rsid w:val="0095375C"/>
    <w:rsid w:val="00965C79"/>
    <w:rsid w:val="00972198"/>
    <w:rsid w:val="00984B1A"/>
    <w:rsid w:val="009851B0"/>
    <w:rsid w:val="00996DA6"/>
    <w:rsid w:val="009A089E"/>
    <w:rsid w:val="009A50FF"/>
    <w:rsid w:val="009B0FA7"/>
    <w:rsid w:val="009B2E19"/>
    <w:rsid w:val="009C6D0D"/>
    <w:rsid w:val="009E2FD2"/>
    <w:rsid w:val="00A076E6"/>
    <w:rsid w:val="00A13844"/>
    <w:rsid w:val="00A27085"/>
    <w:rsid w:val="00A344EF"/>
    <w:rsid w:val="00A41BD0"/>
    <w:rsid w:val="00A47944"/>
    <w:rsid w:val="00A61A41"/>
    <w:rsid w:val="00A6309F"/>
    <w:rsid w:val="00A678C6"/>
    <w:rsid w:val="00A71B93"/>
    <w:rsid w:val="00A730E0"/>
    <w:rsid w:val="00A8460D"/>
    <w:rsid w:val="00A92A3D"/>
    <w:rsid w:val="00AA00A5"/>
    <w:rsid w:val="00AB01E0"/>
    <w:rsid w:val="00AB1761"/>
    <w:rsid w:val="00AB37A4"/>
    <w:rsid w:val="00AC35CD"/>
    <w:rsid w:val="00AE7479"/>
    <w:rsid w:val="00AF1FA7"/>
    <w:rsid w:val="00B02A8E"/>
    <w:rsid w:val="00B071B6"/>
    <w:rsid w:val="00B13490"/>
    <w:rsid w:val="00B161CC"/>
    <w:rsid w:val="00B35876"/>
    <w:rsid w:val="00B569FD"/>
    <w:rsid w:val="00B63A33"/>
    <w:rsid w:val="00B677DC"/>
    <w:rsid w:val="00B70E6F"/>
    <w:rsid w:val="00B91BF0"/>
    <w:rsid w:val="00B937C5"/>
    <w:rsid w:val="00B955C2"/>
    <w:rsid w:val="00BA0282"/>
    <w:rsid w:val="00BB6985"/>
    <w:rsid w:val="00BD0783"/>
    <w:rsid w:val="00BD17EF"/>
    <w:rsid w:val="00BD7743"/>
    <w:rsid w:val="00BE729B"/>
    <w:rsid w:val="00BF4F97"/>
    <w:rsid w:val="00BF5589"/>
    <w:rsid w:val="00C0095C"/>
    <w:rsid w:val="00C02512"/>
    <w:rsid w:val="00C10172"/>
    <w:rsid w:val="00C25C86"/>
    <w:rsid w:val="00C36D00"/>
    <w:rsid w:val="00C42A4B"/>
    <w:rsid w:val="00C463C1"/>
    <w:rsid w:val="00C46931"/>
    <w:rsid w:val="00C47A89"/>
    <w:rsid w:val="00C73E6B"/>
    <w:rsid w:val="00C85D4E"/>
    <w:rsid w:val="00C86CFC"/>
    <w:rsid w:val="00C9088B"/>
    <w:rsid w:val="00C91BA8"/>
    <w:rsid w:val="00C94FDB"/>
    <w:rsid w:val="00CA2ACF"/>
    <w:rsid w:val="00CB5C9F"/>
    <w:rsid w:val="00CB5CD9"/>
    <w:rsid w:val="00CB74C6"/>
    <w:rsid w:val="00CC2499"/>
    <w:rsid w:val="00CC57F4"/>
    <w:rsid w:val="00CC73CB"/>
    <w:rsid w:val="00CD11DB"/>
    <w:rsid w:val="00CD2037"/>
    <w:rsid w:val="00CD2A65"/>
    <w:rsid w:val="00CE2F8B"/>
    <w:rsid w:val="00D004D1"/>
    <w:rsid w:val="00D02324"/>
    <w:rsid w:val="00D06884"/>
    <w:rsid w:val="00D15579"/>
    <w:rsid w:val="00D45541"/>
    <w:rsid w:val="00D53BFE"/>
    <w:rsid w:val="00D73D49"/>
    <w:rsid w:val="00D747A1"/>
    <w:rsid w:val="00D85F94"/>
    <w:rsid w:val="00D878DF"/>
    <w:rsid w:val="00DB09F3"/>
    <w:rsid w:val="00DC23E1"/>
    <w:rsid w:val="00DC727C"/>
    <w:rsid w:val="00DD2E1F"/>
    <w:rsid w:val="00DD6497"/>
    <w:rsid w:val="00DE140A"/>
    <w:rsid w:val="00DF4B57"/>
    <w:rsid w:val="00E04682"/>
    <w:rsid w:val="00E20D4C"/>
    <w:rsid w:val="00E22BAA"/>
    <w:rsid w:val="00E44A34"/>
    <w:rsid w:val="00E52D98"/>
    <w:rsid w:val="00E52DAA"/>
    <w:rsid w:val="00E566ED"/>
    <w:rsid w:val="00E728E5"/>
    <w:rsid w:val="00E731F0"/>
    <w:rsid w:val="00E80E0F"/>
    <w:rsid w:val="00E84228"/>
    <w:rsid w:val="00EC51AC"/>
    <w:rsid w:val="00ED67BE"/>
    <w:rsid w:val="00EE07B1"/>
    <w:rsid w:val="00EF41BE"/>
    <w:rsid w:val="00F11065"/>
    <w:rsid w:val="00F20046"/>
    <w:rsid w:val="00F2528F"/>
    <w:rsid w:val="00F25BB5"/>
    <w:rsid w:val="00F40307"/>
    <w:rsid w:val="00F571F9"/>
    <w:rsid w:val="00F655AC"/>
    <w:rsid w:val="00F8256F"/>
    <w:rsid w:val="00F95970"/>
    <w:rsid w:val="00FB1B10"/>
    <w:rsid w:val="00FB278F"/>
    <w:rsid w:val="00FB3D7B"/>
    <w:rsid w:val="00FB6F6A"/>
    <w:rsid w:val="00FC67CB"/>
    <w:rsid w:val="00FD61EB"/>
    <w:rsid w:val="00FE245D"/>
    <w:rsid w:val="00FE3344"/>
    <w:rsid w:val="00FE77A7"/>
    <w:rsid w:val="00FF5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93EA0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A9D"/>
    <w:pPr>
      <w:spacing w:after="160" w:line="259" w:lineRule="auto"/>
    </w:pPr>
    <w:rPr>
      <w:rFonts w:ascii="David" w:eastAsia="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75141"/>
    <w:rPr>
      <w:color w:val="0000FF"/>
      <w:u w:val="single"/>
    </w:rPr>
  </w:style>
  <w:style w:type="paragraph" w:styleId="a3">
    <w:name w:val="Balloon Text"/>
    <w:basedOn w:val="a"/>
    <w:link w:val="a4"/>
    <w:uiPriority w:val="99"/>
    <w:semiHidden/>
    <w:unhideWhenUsed/>
    <w:rsid w:val="007B64D4"/>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7B64D4"/>
    <w:rPr>
      <w:rFonts w:ascii="Tahoma" w:hAnsi="Tahoma" w:cs="Tahoma"/>
      <w:sz w:val="18"/>
      <w:szCs w:val="18"/>
    </w:rPr>
  </w:style>
  <w:style w:type="paragraph" w:styleId="a5">
    <w:name w:val="header"/>
    <w:basedOn w:val="a"/>
    <w:link w:val="a6"/>
    <w:uiPriority w:val="99"/>
    <w:unhideWhenUsed/>
    <w:rsid w:val="00E04682"/>
    <w:pPr>
      <w:tabs>
        <w:tab w:val="center" w:pos="4153"/>
        <w:tab w:val="right" w:pos="8306"/>
      </w:tabs>
      <w:spacing w:after="0" w:line="240" w:lineRule="auto"/>
    </w:pPr>
  </w:style>
  <w:style w:type="character" w:customStyle="1" w:styleId="a6">
    <w:name w:val="כותרת עליונה תו"/>
    <w:basedOn w:val="a0"/>
    <w:link w:val="a5"/>
    <w:uiPriority w:val="99"/>
    <w:rsid w:val="00E04682"/>
  </w:style>
  <w:style w:type="paragraph" w:styleId="a7">
    <w:name w:val="footer"/>
    <w:basedOn w:val="a"/>
    <w:link w:val="a8"/>
    <w:uiPriority w:val="99"/>
    <w:unhideWhenUsed/>
    <w:rsid w:val="00E04682"/>
    <w:pPr>
      <w:tabs>
        <w:tab w:val="center" w:pos="4153"/>
        <w:tab w:val="right" w:pos="8306"/>
      </w:tabs>
      <w:spacing w:after="0" w:line="240" w:lineRule="auto"/>
    </w:pPr>
  </w:style>
  <w:style w:type="character" w:customStyle="1" w:styleId="a8">
    <w:name w:val="כותרת תחתונה תו"/>
    <w:basedOn w:val="a0"/>
    <w:link w:val="a7"/>
    <w:uiPriority w:val="99"/>
    <w:rsid w:val="00E04682"/>
  </w:style>
  <w:style w:type="paragraph" w:styleId="a9">
    <w:name w:val="List Paragraph"/>
    <w:aliases w:val="פיסקת רשימה12,פיסקת רשימה121,פיסקת רשימה2,פיסקת רשימה11"/>
    <w:basedOn w:val="a"/>
    <w:link w:val="aa"/>
    <w:uiPriority w:val="34"/>
    <w:qFormat/>
    <w:rsid w:val="00CD2A65"/>
    <w:pPr>
      <w:ind w:left="720"/>
      <w:contextualSpacing/>
    </w:pPr>
  </w:style>
  <w:style w:type="character" w:styleId="ab">
    <w:name w:val="annotation reference"/>
    <w:basedOn w:val="a0"/>
    <w:uiPriority w:val="99"/>
    <w:semiHidden/>
    <w:unhideWhenUsed/>
    <w:rsid w:val="004F26A1"/>
    <w:rPr>
      <w:sz w:val="16"/>
      <w:szCs w:val="16"/>
    </w:rPr>
  </w:style>
  <w:style w:type="paragraph" w:styleId="ac">
    <w:name w:val="annotation text"/>
    <w:basedOn w:val="a"/>
    <w:link w:val="ad"/>
    <w:uiPriority w:val="99"/>
    <w:semiHidden/>
    <w:unhideWhenUsed/>
    <w:rsid w:val="004F26A1"/>
    <w:pPr>
      <w:spacing w:line="240" w:lineRule="auto"/>
    </w:pPr>
    <w:rPr>
      <w:sz w:val="20"/>
      <w:szCs w:val="20"/>
    </w:rPr>
  </w:style>
  <w:style w:type="character" w:customStyle="1" w:styleId="ad">
    <w:name w:val="טקסט הערה תו"/>
    <w:basedOn w:val="a0"/>
    <w:link w:val="ac"/>
    <w:uiPriority w:val="99"/>
    <w:semiHidden/>
    <w:rsid w:val="004F26A1"/>
    <w:rPr>
      <w:sz w:val="20"/>
      <w:szCs w:val="20"/>
    </w:rPr>
  </w:style>
  <w:style w:type="paragraph" w:styleId="ae">
    <w:name w:val="annotation subject"/>
    <w:basedOn w:val="ac"/>
    <w:next w:val="ac"/>
    <w:link w:val="af"/>
    <w:uiPriority w:val="99"/>
    <w:semiHidden/>
    <w:unhideWhenUsed/>
    <w:rsid w:val="004F26A1"/>
    <w:rPr>
      <w:b/>
      <w:bCs/>
    </w:rPr>
  </w:style>
  <w:style w:type="character" w:customStyle="1" w:styleId="af">
    <w:name w:val="נושא הערה תו"/>
    <w:basedOn w:val="ad"/>
    <w:link w:val="ae"/>
    <w:uiPriority w:val="99"/>
    <w:semiHidden/>
    <w:rsid w:val="004F26A1"/>
    <w:rPr>
      <w:b/>
      <w:bCs/>
      <w:sz w:val="20"/>
      <w:szCs w:val="20"/>
    </w:rPr>
  </w:style>
  <w:style w:type="character" w:styleId="FollowedHyperlink">
    <w:name w:val="FollowedHyperlink"/>
    <w:basedOn w:val="a0"/>
    <w:uiPriority w:val="99"/>
    <w:semiHidden/>
    <w:unhideWhenUsed/>
    <w:rsid w:val="00B569FD"/>
    <w:rPr>
      <w:color w:val="800080" w:themeColor="followedHyperlink"/>
      <w:u w:val="single"/>
    </w:rPr>
  </w:style>
  <w:style w:type="character" w:customStyle="1" w:styleId="aa">
    <w:name w:val="פיסקת רשימה תו"/>
    <w:aliases w:val="פיסקת רשימה12 תו,פיסקת רשימה121 תו,פיסקת רשימה2 תו,פיסקת רשימה11 תו"/>
    <w:basedOn w:val="a0"/>
    <w:link w:val="a9"/>
    <w:uiPriority w:val="34"/>
    <w:rsid w:val="00031A9D"/>
  </w:style>
  <w:style w:type="paragraph" w:styleId="NormalWeb">
    <w:name w:val="Normal (Web)"/>
    <w:basedOn w:val="a"/>
    <w:uiPriority w:val="99"/>
    <w:unhideWhenUsed/>
    <w:rsid w:val="002047CF"/>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134256">
      <w:bodyDiv w:val="1"/>
      <w:marLeft w:val="0"/>
      <w:marRight w:val="0"/>
      <w:marTop w:val="0"/>
      <w:marBottom w:val="0"/>
      <w:divBdr>
        <w:top w:val="none" w:sz="0" w:space="0" w:color="auto"/>
        <w:left w:val="none" w:sz="0" w:space="0" w:color="auto"/>
        <w:bottom w:val="none" w:sz="0" w:space="0" w:color="auto"/>
        <w:right w:val="none" w:sz="0" w:space="0" w:color="auto"/>
      </w:divBdr>
    </w:div>
    <w:div w:id="872764382">
      <w:bodyDiv w:val="1"/>
      <w:marLeft w:val="0"/>
      <w:marRight w:val="0"/>
      <w:marTop w:val="0"/>
      <w:marBottom w:val="0"/>
      <w:divBdr>
        <w:top w:val="none" w:sz="0" w:space="0" w:color="auto"/>
        <w:left w:val="none" w:sz="0" w:space="0" w:color="auto"/>
        <w:bottom w:val="none" w:sz="0" w:space="0" w:color="auto"/>
        <w:right w:val="none" w:sz="0" w:space="0" w:color="auto"/>
      </w:divBdr>
    </w:div>
    <w:div w:id="1112937149">
      <w:bodyDiv w:val="1"/>
      <w:marLeft w:val="0"/>
      <w:marRight w:val="0"/>
      <w:marTop w:val="0"/>
      <w:marBottom w:val="0"/>
      <w:divBdr>
        <w:top w:val="none" w:sz="0" w:space="0" w:color="auto"/>
        <w:left w:val="none" w:sz="0" w:space="0" w:color="auto"/>
        <w:bottom w:val="none" w:sz="0" w:space="0" w:color="auto"/>
        <w:right w:val="none" w:sz="0" w:space="0" w:color="auto"/>
      </w:divBdr>
    </w:div>
    <w:div w:id="1557356728">
      <w:bodyDiv w:val="1"/>
      <w:marLeft w:val="0"/>
      <w:marRight w:val="0"/>
      <w:marTop w:val="0"/>
      <w:marBottom w:val="0"/>
      <w:divBdr>
        <w:top w:val="none" w:sz="0" w:space="0" w:color="auto"/>
        <w:left w:val="none" w:sz="0" w:space="0" w:color="auto"/>
        <w:bottom w:val="none" w:sz="0" w:space="0" w:color="auto"/>
        <w:right w:val="none" w:sz="0" w:space="0" w:color="auto"/>
      </w:divBdr>
    </w:div>
    <w:div w:id="1963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facebook.com/bankisraelvc" TargetMode="External"/><Relationship Id="rId3" Type="http://schemas.openxmlformats.org/officeDocument/2006/relationships/image" Target="media/image2.png"/><Relationship Id="rId7" Type="http://schemas.microsoft.com/office/2007/relationships/hdphoto" Target="media/hdphoto2.wdp"/><Relationship Id="rId12" Type="http://schemas.openxmlformats.org/officeDocument/2006/relationships/hyperlink" Target="https://www.facebook.com/bankisraelvc" TargetMode="External"/><Relationship Id="rId2" Type="http://schemas.openxmlformats.org/officeDocument/2006/relationships/hyperlink" Target="https://www.boi.org.il/bank-of-israel/boi-podcast/" TargetMode="External"/><Relationship Id="rId1" Type="http://schemas.openxmlformats.org/officeDocument/2006/relationships/hyperlink" Target="https://www.boi.org.il/bank-of-israel/boi-podcast/" TargetMode="External"/><Relationship Id="rId6" Type="http://schemas.openxmlformats.org/officeDocument/2006/relationships/image" Target="media/image4.png"/><Relationship Id="rId11" Type="http://schemas.openxmlformats.org/officeDocument/2006/relationships/hyperlink" Target="https://www.youtube.com/user/thebankofisrael" TargetMode="External"/><Relationship Id="rId5" Type="http://schemas.microsoft.com/office/2007/relationships/hdphoto" Target="media/hdphoto1.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3.png"/><Relationship Id="rId9" Type="http://schemas.microsoft.com/office/2007/relationships/hdphoto" Target="media/hdphoto3.wdp"/><Relationship Id="rId14" Type="http://schemas.openxmlformats.org/officeDocument/2006/relationships/hyperlink" Target="https://www.boi.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1536</Words>
  <Characters>7680</Characters>
  <Application>Microsoft Office Word</Application>
  <DocSecurity>0</DocSecurity>
  <Lines>64</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2026-10-21T12:47:00Z</dcterms:created>
  <dcterms:modified xsi:type="dcterms:W3CDTF">2026-10-21T12:47:00Z</dcterms:modified>
</cp:coreProperties>
</file>