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E7" w:rsidRDefault="00B557E7" w:rsidP="00B557E7">
      <w:pPr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B557E7" w:rsidRPr="00DB1CBC" w:rsidTr="006560B3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7E7" w:rsidRPr="00520BB4" w:rsidRDefault="00B557E7" w:rsidP="006560B3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B557E7" w:rsidRDefault="00B557E7" w:rsidP="006560B3">
            <w:pPr>
              <w:spacing w:line="360" w:lineRule="auto"/>
              <w:ind w:right="-101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B557E7" w:rsidRDefault="00B557E7" w:rsidP="006560B3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990E86F" wp14:editId="0731C85D">
                  <wp:extent cx="914400" cy="914400"/>
                  <wp:effectExtent l="0" t="0" r="0" b="0"/>
                  <wp:docPr id="2" name="תמונה 2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7E7" w:rsidRPr="00B20A2F" w:rsidRDefault="00B557E7" w:rsidP="006560B3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‏א' אדר תשפ"ג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B557E7" w:rsidRDefault="00B557E7" w:rsidP="006560B3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rtl/>
              </w:rPr>
              <w:t>‏22 פברואר 2023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B557E7" w:rsidRPr="00DF107C" w:rsidRDefault="00B557E7" w:rsidP="006560B3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B557E7" w:rsidRDefault="00B50351" w:rsidP="00B557E7">
      <w:pPr>
        <w:spacing w:line="360" w:lineRule="auto"/>
        <w:ind w:right="-101"/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sz w:val="24"/>
          <w:szCs w:val="24"/>
          <w:rtl/>
        </w:rPr>
        <w:t>הודעה לעיתונות:</w:t>
      </w:r>
    </w:p>
    <w:p w:rsidR="00B557E7" w:rsidRDefault="00B557E7" w:rsidP="005B534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FE7360" w:rsidRDefault="00210512" w:rsidP="005B534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EE39DC" w:rsidRPr="00EE39DC">
        <w:rPr>
          <w:rFonts w:ascii="David" w:hAnsi="David" w:cs="David"/>
          <w:b/>
          <w:bCs/>
          <w:sz w:val="28"/>
          <w:szCs w:val="28"/>
          <w:rtl/>
        </w:rPr>
        <w:t xml:space="preserve">עקרונות לפעילות </w:t>
      </w:r>
      <w:r w:rsidR="00432B15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EE39DC" w:rsidRPr="00EE39DC">
        <w:rPr>
          <w:rFonts w:ascii="David" w:hAnsi="David" w:cs="David"/>
          <w:b/>
          <w:bCs/>
          <w:sz w:val="28"/>
          <w:szCs w:val="28"/>
          <w:rtl/>
        </w:rPr>
        <w:t xml:space="preserve">מטבעות </w:t>
      </w:r>
      <w:r w:rsidR="009A4397">
        <w:rPr>
          <w:rFonts w:ascii="David" w:hAnsi="David" w:cs="David" w:hint="cs"/>
          <w:b/>
          <w:bCs/>
          <w:sz w:val="28"/>
          <w:szCs w:val="28"/>
          <w:rtl/>
        </w:rPr>
        <w:t xml:space="preserve">דיגיטליים </w:t>
      </w:r>
      <w:r w:rsidR="00EE39DC" w:rsidRPr="00EE39DC">
        <w:rPr>
          <w:rFonts w:ascii="David" w:hAnsi="David" w:cs="David"/>
          <w:b/>
          <w:bCs/>
          <w:sz w:val="28"/>
          <w:szCs w:val="28"/>
          <w:rtl/>
        </w:rPr>
        <w:t>יציבים</w:t>
      </w:r>
      <w:r w:rsidR="002B27D5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9F6F9F">
        <w:rPr>
          <w:rFonts w:ascii="David" w:hAnsi="David" w:cs="David" w:hint="cs"/>
          <w:b/>
          <w:bCs/>
          <w:sz w:val="28"/>
          <w:szCs w:val="28"/>
          <w:rtl/>
        </w:rPr>
        <w:t xml:space="preserve"> בישראל</w:t>
      </w:r>
      <w:r w:rsidR="005B534C">
        <w:rPr>
          <w:rFonts w:ascii="David" w:hAnsi="David" w:cs="David" w:hint="cs"/>
          <w:b/>
          <w:bCs/>
          <w:sz w:val="28"/>
          <w:szCs w:val="28"/>
          <w:rtl/>
        </w:rPr>
        <w:t xml:space="preserve"> - </w:t>
      </w:r>
      <w:r w:rsidR="00FE7360">
        <w:rPr>
          <w:rFonts w:ascii="David" w:hAnsi="David" w:cs="David" w:hint="cs"/>
          <w:b/>
          <w:bCs/>
          <w:sz w:val="28"/>
          <w:szCs w:val="28"/>
          <w:rtl/>
        </w:rPr>
        <w:t>מסמך להערות הציבור</w:t>
      </w:r>
    </w:p>
    <w:p w:rsidR="003C52F8" w:rsidRDefault="003C52F8" w:rsidP="009D7FA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B534C" w:rsidRDefault="002C0694" w:rsidP="005B53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מתוקף </w:t>
      </w:r>
      <w:r w:rsidR="005B534C" w:rsidRPr="005B534C">
        <w:rPr>
          <w:rFonts w:ascii="David" w:hAnsi="David" w:cs="David"/>
          <w:sz w:val="24"/>
          <w:szCs w:val="24"/>
          <w:rtl/>
        </w:rPr>
        <w:t xml:space="preserve">תפקידו לשמירת היציבות הפיננסית, לניהול המדיניות המוניטרית ולהסדרת מערכות התשלומים בישראל, </w:t>
      </w:r>
      <w:r>
        <w:rPr>
          <w:rFonts w:ascii="David" w:hAnsi="David" w:cs="David" w:hint="cs"/>
          <w:sz w:val="24"/>
          <w:szCs w:val="24"/>
          <w:rtl/>
        </w:rPr>
        <w:t xml:space="preserve">בנק ישראל </w:t>
      </w:r>
      <w:r w:rsidR="005B534C">
        <w:rPr>
          <w:rFonts w:ascii="David" w:hAnsi="David" w:cs="David" w:hint="cs"/>
          <w:sz w:val="24"/>
          <w:szCs w:val="24"/>
          <w:rtl/>
        </w:rPr>
        <w:t xml:space="preserve">בוחן </w:t>
      </w:r>
      <w:r w:rsidR="005B534C" w:rsidRPr="005B534C">
        <w:rPr>
          <w:rFonts w:ascii="David" w:hAnsi="David" w:cs="David"/>
          <w:sz w:val="24"/>
          <w:szCs w:val="24"/>
          <w:rtl/>
        </w:rPr>
        <w:t xml:space="preserve">את </w:t>
      </w:r>
      <w:r>
        <w:rPr>
          <w:rFonts w:ascii="David" w:hAnsi="David" w:cs="David" w:hint="cs"/>
          <w:sz w:val="24"/>
          <w:szCs w:val="24"/>
          <w:rtl/>
        </w:rPr>
        <w:t xml:space="preserve">נושא </w:t>
      </w:r>
      <w:r>
        <w:rPr>
          <w:rFonts w:ascii="David" w:hAnsi="David" w:cs="David"/>
          <w:sz w:val="24"/>
          <w:szCs w:val="24"/>
          <w:rtl/>
        </w:rPr>
        <w:t xml:space="preserve">הפעילות בנכסים </w:t>
      </w:r>
      <w:r w:rsidR="005B534C" w:rsidRPr="005B534C">
        <w:rPr>
          <w:rFonts w:ascii="David" w:hAnsi="David" w:cs="David"/>
          <w:sz w:val="24"/>
          <w:szCs w:val="24"/>
          <w:rtl/>
        </w:rPr>
        <w:t>דיגיטלי</w:t>
      </w:r>
      <w:r w:rsidR="00CC7284">
        <w:rPr>
          <w:rFonts w:ascii="David" w:hAnsi="David" w:cs="David" w:hint="cs"/>
          <w:sz w:val="24"/>
          <w:szCs w:val="24"/>
          <w:rtl/>
        </w:rPr>
        <w:t>י</w:t>
      </w:r>
      <w:r w:rsidR="005B534C" w:rsidRPr="005B534C">
        <w:rPr>
          <w:rFonts w:ascii="David" w:hAnsi="David" w:cs="David"/>
          <w:sz w:val="24"/>
          <w:szCs w:val="24"/>
          <w:rtl/>
        </w:rPr>
        <w:t xml:space="preserve">ם, </w:t>
      </w:r>
      <w:r w:rsidR="005B534C">
        <w:rPr>
          <w:rFonts w:ascii="David" w:hAnsi="David" w:cs="David" w:hint="cs"/>
          <w:sz w:val="24"/>
          <w:szCs w:val="24"/>
          <w:rtl/>
        </w:rPr>
        <w:t>ו</w:t>
      </w:r>
      <w:r w:rsidR="005B534C" w:rsidRPr="005B534C">
        <w:rPr>
          <w:rFonts w:ascii="David" w:hAnsi="David" w:cs="David"/>
          <w:sz w:val="24"/>
          <w:szCs w:val="24"/>
          <w:rtl/>
        </w:rPr>
        <w:t>השפעתם על התחומים שעליהם הוא מופקד</w:t>
      </w:r>
      <w:r w:rsidR="005B534C">
        <w:rPr>
          <w:rFonts w:ascii="David" w:hAnsi="David" w:cs="David" w:hint="cs"/>
          <w:sz w:val="24"/>
          <w:szCs w:val="24"/>
          <w:rtl/>
        </w:rPr>
        <w:t>.</w:t>
      </w:r>
    </w:p>
    <w:p w:rsidR="005B534C" w:rsidRDefault="005B534C" w:rsidP="005B53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 רקע העניין הגובר בשנים האחרונות בנכסים </w:t>
      </w:r>
      <w:r w:rsidRPr="003C52F8">
        <w:rPr>
          <w:rFonts w:ascii="David" w:hAnsi="David" w:cs="David" w:hint="cs"/>
          <w:sz w:val="24"/>
          <w:szCs w:val="24"/>
          <w:rtl/>
        </w:rPr>
        <w:t>דיגיטליים</w:t>
      </w:r>
      <w:r>
        <w:rPr>
          <w:rFonts w:ascii="David" w:hAnsi="David" w:cs="David" w:hint="cs"/>
          <w:sz w:val="24"/>
          <w:szCs w:val="24"/>
          <w:rtl/>
        </w:rPr>
        <w:t xml:space="preserve"> והסיכונים הנובעים מהם, כפי שהתממשו בתקופה האחרונה בעולם, הקים בנק ישראל ועדה בראשות המשנה לנגיד, מר אנדרו אביר, אשר בוחנת</w:t>
      </w:r>
      <w:r w:rsidR="002C0694">
        <w:rPr>
          <w:rFonts w:ascii="David" w:hAnsi="David" w:cs="David" w:hint="cs"/>
          <w:sz w:val="24"/>
          <w:szCs w:val="24"/>
          <w:rtl/>
        </w:rPr>
        <w:t xml:space="preserve"> את הנושא ממספר היבטים</w:t>
      </w:r>
      <w:r w:rsidR="00CC7284">
        <w:rPr>
          <w:rFonts w:ascii="David" w:hAnsi="David" w:cs="David" w:hint="cs"/>
          <w:sz w:val="24"/>
          <w:szCs w:val="24"/>
          <w:rtl/>
        </w:rPr>
        <w:t>:</w:t>
      </w:r>
      <w:r w:rsidRPr="006D300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6D3001">
        <w:rPr>
          <w:rFonts w:ascii="David" w:hAnsi="David" w:cs="David"/>
          <w:sz w:val="24"/>
          <w:szCs w:val="24"/>
          <w:rtl/>
        </w:rPr>
        <w:t>היציבותי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Pr="006D3001">
        <w:rPr>
          <w:rFonts w:ascii="David" w:hAnsi="David" w:cs="David"/>
          <w:sz w:val="24"/>
          <w:szCs w:val="24"/>
          <w:rtl/>
        </w:rPr>
        <w:t xml:space="preserve"> הרגולטורי, הטכנולוגי, המוניטרי, והמשפטי.</w:t>
      </w:r>
    </w:p>
    <w:p w:rsidR="00CC7284" w:rsidRDefault="00C63F9C" w:rsidP="00ED635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בין היתר, פעלה הוועדה לגיבוש מסמך </w:t>
      </w:r>
      <w:r w:rsidRPr="009A4397">
        <w:rPr>
          <w:rFonts w:ascii="David" w:hAnsi="David" w:cs="David" w:hint="cs"/>
          <w:b/>
          <w:bCs/>
          <w:sz w:val="24"/>
          <w:szCs w:val="24"/>
          <w:rtl/>
        </w:rPr>
        <w:t xml:space="preserve">עקרונות </w:t>
      </w:r>
      <w:proofErr w:type="spellStart"/>
      <w:r w:rsidRPr="009A4397">
        <w:rPr>
          <w:rFonts w:ascii="David" w:hAnsi="David" w:cs="David" w:hint="cs"/>
          <w:b/>
          <w:bCs/>
          <w:sz w:val="24"/>
          <w:szCs w:val="24"/>
          <w:rtl/>
        </w:rPr>
        <w:t>לאסדרת</w:t>
      </w:r>
      <w:proofErr w:type="spellEnd"/>
      <w:r w:rsidRPr="009A4397">
        <w:rPr>
          <w:rFonts w:ascii="David" w:hAnsi="David" w:cs="David" w:hint="cs"/>
          <w:b/>
          <w:bCs/>
          <w:sz w:val="24"/>
          <w:szCs w:val="24"/>
          <w:rtl/>
        </w:rPr>
        <w:t xml:space="preserve"> הפעילות במטבעות יציבים בישראל</w:t>
      </w:r>
      <w:r>
        <w:rPr>
          <w:rFonts w:ascii="David" w:hAnsi="David" w:cs="David" w:hint="cs"/>
          <w:sz w:val="24"/>
          <w:szCs w:val="24"/>
          <w:rtl/>
        </w:rPr>
        <w:t xml:space="preserve">. מטבע יציב הוא </w:t>
      </w:r>
      <w:r w:rsidR="00ED6357">
        <w:rPr>
          <w:rFonts w:ascii="David" w:hAnsi="David" w:cs="David" w:hint="cs"/>
          <w:sz w:val="24"/>
          <w:szCs w:val="24"/>
          <w:rtl/>
        </w:rPr>
        <w:t xml:space="preserve">נכס </w:t>
      </w:r>
      <w:r>
        <w:rPr>
          <w:rFonts w:ascii="David" w:hAnsi="David" w:cs="David" w:hint="cs"/>
          <w:sz w:val="24"/>
          <w:szCs w:val="24"/>
          <w:rtl/>
        </w:rPr>
        <w:t>דיגיטלי</w:t>
      </w:r>
      <w:r w:rsidRPr="001F211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שפועל על גבי</w:t>
      </w:r>
      <w:r w:rsidRPr="001F211E">
        <w:rPr>
          <w:rFonts w:ascii="David" w:hAnsi="David" w:cs="David"/>
          <w:sz w:val="24"/>
          <w:szCs w:val="24"/>
          <w:rtl/>
        </w:rPr>
        <w:t xml:space="preserve"> תשתית טכנולוגית</w:t>
      </w:r>
      <w:r w:rsidR="00ED6357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ערכו יציב ביחס לנכס כלשהו אחר</w:t>
      </w:r>
      <w:r w:rsidRPr="001F211E">
        <w:rPr>
          <w:rFonts w:ascii="David" w:hAnsi="David" w:cs="David"/>
          <w:sz w:val="24"/>
          <w:szCs w:val="24"/>
          <w:rtl/>
        </w:rPr>
        <w:t xml:space="preserve"> </w:t>
      </w:r>
      <w:r w:rsidR="00ED6357">
        <w:rPr>
          <w:rFonts w:ascii="David" w:hAnsi="David" w:cs="David" w:hint="cs"/>
          <w:sz w:val="24"/>
          <w:szCs w:val="24"/>
          <w:rtl/>
        </w:rPr>
        <w:t>ו</w:t>
      </w:r>
      <w:r w:rsidRPr="001F211E">
        <w:rPr>
          <w:rFonts w:ascii="David" w:hAnsi="David" w:cs="David"/>
          <w:sz w:val="24"/>
          <w:szCs w:val="24"/>
          <w:rtl/>
        </w:rPr>
        <w:t xml:space="preserve">מנפיק המטבע </w:t>
      </w:r>
      <w:r>
        <w:rPr>
          <w:rFonts w:ascii="David" w:hAnsi="David" w:cs="David" w:hint="cs"/>
          <w:sz w:val="24"/>
          <w:szCs w:val="24"/>
          <w:rtl/>
        </w:rPr>
        <w:t>מפעיל מנגנון השומר על יציבות ערך המטבע. בניגוד לנכסים דיגיטלי</w:t>
      </w:r>
      <w:r w:rsidR="00AD2B26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ם אחרים, למטבעות יציבים פוטנציאל לשמש לא רק כנכס להשקעה אלא גם כאמצעי תשלום. </w:t>
      </w:r>
    </w:p>
    <w:p w:rsidR="00C63F9C" w:rsidRDefault="00C63F9C" w:rsidP="00AB125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תפקידו של בנק ישראל כפי שהוא מוגדר בחוק, מחייב את האסדרה ואת הפיקוח של בנק ישראל על פעילות אמצעי התשלום. מסמך </w:t>
      </w:r>
      <w:r w:rsidR="00215509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עקרונות</w:t>
      </w:r>
      <w:r w:rsidR="00215509">
        <w:rPr>
          <w:rFonts w:ascii="David" w:hAnsi="David" w:cs="David" w:hint="cs"/>
          <w:sz w:val="24"/>
          <w:szCs w:val="24"/>
          <w:rtl/>
        </w:rPr>
        <w:t xml:space="preserve"> מתייחס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לאסדרת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הפעילות במטבעות יציבים בישראל. מטרת האסדרה היא לאפשר פעילות במטבעות יציבים תוך ניהול הסיכונים הכרוכים בשימוש בהם, והתאמת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ההגנות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הצרכניות </w:t>
      </w:r>
      <w:r w:rsidR="00AB1250">
        <w:rPr>
          <w:rFonts w:ascii="David" w:hAnsi="David" w:cs="David" w:hint="cs"/>
          <w:sz w:val="24"/>
          <w:szCs w:val="24"/>
          <w:rtl/>
        </w:rPr>
        <w:t xml:space="preserve">והדרישות </w:t>
      </w:r>
      <w:proofErr w:type="spellStart"/>
      <w:r w:rsidR="00AB1250">
        <w:rPr>
          <w:rFonts w:ascii="David" w:hAnsi="David" w:cs="David" w:hint="cs"/>
          <w:sz w:val="24"/>
          <w:szCs w:val="24"/>
          <w:rtl/>
        </w:rPr>
        <w:t>היציבותיות</w:t>
      </w:r>
      <w:r>
        <w:rPr>
          <w:rFonts w:ascii="David" w:hAnsi="David" w:cs="David" w:hint="cs"/>
          <w:sz w:val="24"/>
          <w:szCs w:val="24"/>
          <w:rtl/>
        </w:rPr>
        <w:t>לפעילות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ייחודית זו.</w:t>
      </w:r>
    </w:p>
    <w:p w:rsidR="00CC7284" w:rsidRDefault="00BD6BE7" w:rsidP="004C6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במסמך מוצעים כללים לפעילות במטבעות יציבים שבנק ישראל ממליץ לקדם בחקיקה או לקבוע כחלק מהוראות </w:t>
      </w:r>
      <w:r w:rsidR="004C62B5">
        <w:rPr>
          <w:rFonts w:ascii="David" w:hAnsi="David" w:cs="David" w:hint="cs"/>
          <w:sz w:val="24"/>
          <w:szCs w:val="24"/>
          <w:rtl/>
        </w:rPr>
        <w:t>המאסדר</w:t>
      </w:r>
      <w:r>
        <w:rPr>
          <w:rFonts w:ascii="David" w:hAnsi="David" w:cs="David" w:hint="cs"/>
          <w:sz w:val="24"/>
          <w:szCs w:val="24"/>
          <w:rtl/>
        </w:rPr>
        <w:t>. בין היתר, מוצע</w:t>
      </w:r>
      <w:r w:rsidR="00CC7284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D6BE7" w:rsidRPr="00CC7284" w:rsidRDefault="00BD6BE7" w:rsidP="00CC7284">
      <w:pPr>
        <w:pStyle w:val="ad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C7284">
        <w:rPr>
          <w:rFonts w:ascii="David" w:hAnsi="David" w:cs="David" w:hint="cs"/>
          <w:b/>
          <w:bCs/>
          <w:sz w:val="24"/>
          <w:szCs w:val="24"/>
          <w:rtl/>
        </w:rPr>
        <w:t>לקבוע דרישה לפי</w:t>
      </w:r>
      <w:r w:rsidR="00ED6357" w:rsidRPr="00CC728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הביטחונות שיחזיק מנפיק של מטבע יציב יכסו 100% מהתחייבויותיו כלפי מחזיקי המטבעות. דרישה כזו תפחית מאוד את הסיכון </w:t>
      </w:r>
      <w:proofErr w:type="spellStart"/>
      <w:r w:rsidRPr="00CC7284">
        <w:rPr>
          <w:rFonts w:ascii="David" w:hAnsi="David" w:cs="David" w:hint="cs"/>
          <w:b/>
          <w:bCs/>
          <w:sz w:val="24"/>
          <w:szCs w:val="24"/>
          <w:rtl/>
        </w:rPr>
        <w:t>היציבותי</w:t>
      </w:r>
      <w:proofErr w:type="spellEnd"/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הנובע מהפעילות במטבע יציב. </w:t>
      </w:r>
    </w:p>
    <w:p w:rsidR="00BD6BE7" w:rsidRPr="00CC7284" w:rsidRDefault="00BD6BE7" w:rsidP="00CC7284">
      <w:pPr>
        <w:pStyle w:val="ad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בהיבט של זהות </w:t>
      </w:r>
      <w:proofErr w:type="spellStart"/>
      <w:r w:rsidRPr="00CC7284">
        <w:rPr>
          <w:rFonts w:ascii="David" w:hAnsi="David" w:cs="David" w:hint="cs"/>
          <w:b/>
          <w:bCs/>
          <w:sz w:val="24"/>
          <w:szCs w:val="24"/>
          <w:rtl/>
        </w:rPr>
        <w:t>המאסדרים</w:t>
      </w:r>
      <w:proofErr w:type="spellEnd"/>
      <w:r w:rsidR="002C0694" w:rsidRPr="00CC7284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מוצע כי </w:t>
      </w:r>
      <w:proofErr w:type="spellStart"/>
      <w:r w:rsidRPr="00CC7284">
        <w:rPr>
          <w:rFonts w:ascii="David" w:hAnsi="David" w:cs="David" w:hint="cs"/>
          <w:b/>
          <w:bCs/>
          <w:sz w:val="24"/>
          <w:szCs w:val="24"/>
          <w:rtl/>
        </w:rPr>
        <w:t>מנפיקי</w:t>
      </w:r>
      <w:proofErr w:type="spellEnd"/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מטבעות יציבים יידרשו לרישוי: עבור מטבע שאינו בעל חשיבות </w:t>
      </w:r>
      <w:proofErr w:type="spellStart"/>
      <w:r w:rsidRPr="00CC7284">
        <w:rPr>
          <w:rFonts w:ascii="David" w:hAnsi="David" w:cs="David" w:hint="cs"/>
          <w:b/>
          <w:bCs/>
          <w:sz w:val="24"/>
          <w:szCs w:val="24"/>
          <w:rtl/>
        </w:rPr>
        <w:t>יציבותית</w:t>
      </w:r>
      <w:proofErr w:type="spellEnd"/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הרישוי יינתן על ידי רשות שוק ההון, אחרת הרישוי יינתן על ידי הפיקוח על הבנקים. במסמך מוצעים קריטריונים להגדרת מטבע </w:t>
      </w:r>
      <w:r w:rsidR="005A34B4"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יציב </w:t>
      </w: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כבעל חשיבות </w:t>
      </w:r>
      <w:r w:rsidR="005A34B4" w:rsidRPr="00CC7284">
        <w:rPr>
          <w:rFonts w:ascii="David" w:hAnsi="David" w:cs="David" w:hint="cs"/>
          <w:b/>
          <w:bCs/>
          <w:sz w:val="24"/>
          <w:szCs w:val="24"/>
          <w:rtl/>
        </w:rPr>
        <w:t>מערכתית</w:t>
      </w: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BD6BE7" w:rsidRPr="00CC7284" w:rsidRDefault="00BD6BE7" w:rsidP="00CC7284">
      <w:pPr>
        <w:pStyle w:val="ad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מטבע יציב שהוכרז </w:t>
      </w:r>
      <w:r w:rsidR="005A34B4" w:rsidRPr="00CC7284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מערכת תשלומים מבוקרת </w:t>
      </w:r>
      <w:proofErr w:type="spellStart"/>
      <w:r w:rsidRPr="00CC7284">
        <w:rPr>
          <w:rFonts w:ascii="David" w:hAnsi="David" w:cs="David" w:hint="cs"/>
          <w:b/>
          <w:bCs/>
          <w:sz w:val="24"/>
          <w:szCs w:val="24"/>
          <w:rtl/>
        </w:rPr>
        <w:t>יפוקח</w:t>
      </w:r>
      <w:proofErr w:type="spellEnd"/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על ידי הפיקוח על מערכות תשלומים בבנק ישראל. </w:t>
      </w:r>
    </w:p>
    <w:p w:rsidR="005B534C" w:rsidRPr="00CC7284" w:rsidRDefault="00BD6BE7" w:rsidP="00CC7284">
      <w:pPr>
        <w:pStyle w:val="ad"/>
        <w:numPr>
          <w:ilvl w:val="0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C7284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בכדי להגביר את היעילות הפיקוחית מוצע להקים מנגנוני תיאום בין </w:t>
      </w:r>
      <w:proofErr w:type="spellStart"/>
      <w:r w:rsidRPr="00CC7284">
        <w:rPr>
          <w:rFonts w:ascii="David" w:hAnsi="David" w:cs="David" w:hint="cs"/>
          <w:b/>
          <w:bCs/>
          <w:sz w:val="24"/>
          <w:szCs w:val="24"/>
          <w:rtl/>
        </w:rPr>
        <w:t>המאסדרים</w:t>
      </w:r>
      <w:proofErr w:type="spellEnd"/>
      <w:r w:rsidRPr="00CC7284">
        <w:rPr>
          <w:rFonts w:ascii="David" w:hAnsi="David" w:cs="David" w:hint="cs"/>
          <w:b/>
          <w:bCs/>
          <w:sz w:val="24"/>
          <w:szCs w:val="24"/>
          <w:rtl/>
        </w:rPr>
        <w:t xml:space="preserve"> הרלוונטיים השונים. </w:t>
      </w:r>
    </w:p>
    <w:p w:rsidR="00CC7284" w:rsidRDefault="00CC7284" w:rsidP="00ED635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E39DC" w:rsidRDefault="005B534C" w:rsidP="00CC728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C37B0">
        <w:rPr>
          <w:rFonts w:ascii="David" w:hAnsi="David" w:cs="David" w:hint="cs"/>
          <w:sz w:val="24"/>
          <w:szCs w:val="24"/>
          <w:rtl/>
        </w:rPr>
        <w:t>המסמך</w:t>
      </w:r>
      <w:r w:rsidR="002C0694">
        <w:rPr>
          <w:rFonts w:ascii="David" w:hAnsi="David" w:cs="David" w:hint="cs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מתייחס</w:t>
      </w:r>
      <w:r w:rsidR="002C0694">
        <w:rPr>
          <w:rFonts w:ascii="David" w:hAnsi="David" w:cs="David" w:hint="cs"/>
          <w:sz w:val="24"/>
          <w:szCs w:val="24"/>
          <w:rtl/>
        </w:rPr>
        <w:t xml:space="preserve"> גם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לכללי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הפעילות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של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מנפיקי</w:t>
      </w:r>
      <w:proofErr w:type="spellEnd"/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מטבעות</w:t>
      </w:r>
      <w:r>
        <w:rPr>
          <w:rFonts w:ascii="David" w:hAnsi="David" w:cs="David" w:hint="cs"/>
          <w:sz w:val="24"/>
          <w:szCs w:val="24"/>
          <w:rtl/>
        </w:rPr>
        <w:t xml:space="preserve"> יציבים בישראל </w:t>
      </w:r>
      <w:r w:rsidRPr="007C37B0">
        <w:rPr>
          <w:rFonts w:ascii="David" w:hAnsi="David" w:cs="David" w:hint="cs"/>
          <w:sz w:val="24"/>
          <w:szCs w:val="24"/>
          <w:rtl/>
        </w:rPr>
        <w:t>ולהסדרי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הרישוי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והפיקוח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המותאמים לפעילותם, </w:t>
      </w:r>
      <w:r w:rsidRPr="007C37B0">
        <w:rPr>
          <w:rFonts w:ascii="David" w:hAnsi="David" w:cs="David" w:hint="cs"/>
          <w:sz w:val="24"/>
          <w:szCs w:val="24"/>
          <w:rtl/>
        </w:rPr>
        <w:t>ומפורסם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בזאת </w:t>
      </w:r>
      <w:r w:rsidRPr="007C37B0">
        <w:rPr>
          <w:rFonts w:ascii="David" w:hAnsi="David" w:cs="David" w:hint="cs"/>
          <w:sz w:val="24"/>
          <w:szCs w:val="24"/>
          <w:rtl/>
        </w:rPr>
        <w:t>להערות</w:t>
      </w:r>
      <w:r w:rsidRPr="007C37B0">
        <w:rPr>
          <w:rFonts w:ascii="David" w:hAnsi="David" w:cs="David"/>
          <w:sz w:val="24"/>
          <w:szCs w:val="24"/>
          <w:rtl/>
        </w:rPr>
        <w:t xml:space="preserve"> </w:t>
      </w:r>
      <w:r w:rsidRPr="007C37B0">
        <w:rPr>
          <w:rFonts w:ascii="David" w:hAnsi="David" w:cs="David" w:hint="cs"/>
          <w:sz w:val="24"/>
          <w:szCs w:val="24"/>
          <w:rtl/>
        </w:rPr>
        <w:t>הציבור</w:t>
      </w:r>
      <w:r w:rsidRPr="007C37B0">
        <w:rPr>
          <w:rFonts w:ascii="David" w:hAnsi="David" w:cs="David"/>
          <w:sz w:val="24"/>
          <w:szCs w:val="24"/>
          <w:rtl/>
        </w:rPr>
        <w:t>.</w:t>
      </w:r>
      <w:r w:rsidR="00CC7284">
        <w:rPr>
          <w:rFonts w:ascii="David" w:hAnsi="David" w:cs="David" w:hint="cs"/>
          <w:sz w:val="24"/>
          <w:szCs w:val="24"/>
          <w:rtl/>
        </w:rPr>
        <w:t xml:space="preserve"> </w:t>
      </w:r>
      <w:r w:rsidR="003D3CEF">
        <w:rPr>
          <w:rFonts w:ascii="David" w:hAnsi="David" w:cs="David" w:hint="cs"/>
          <w:sz w:val="24"/>
          <w:szCs w:val="24"/>
          <w:rtl/>
        </w:rPr>
        <w:t xml:space="preserve">תגובות והערות </w:t>
      </w:r>
      <w:r w:rsidR="00F02F91">
        <w:rPr>
          <w:rFonts w:ascii="David" w:hAnsi="David" w:cs="David" w:hint="cs"/>
          <w:sz w:val="24"/>
          <w:szCs w:val="24"/>
          <w:rtl/>
        </w:rPr>
        <w:t xml:space="preserve">ניתן לשלוח </w:t>
      </w:r>
      <w:r w:rsidR="00CE7E36">
        <w:rPr>
          <w:rFonts w:ascii="David" w:hAnsi="David" w:cs="David" w:hint="cs"/>
          <w:sz w:val="24"/>
          <w:szCs w:val="24"/>
          <w:rtl/>
        </w:rPr>
        <w:t xml:space="preserve">לכתובת </w:t>
      </w:r>
      <w:r w:rsidR="003D3CEF">
        <w:rPr>
          <w:rFonts w:ascii="David" w:hAnsi="David" w:cs="David" w:hint="cs"/>
          <w:sz w:val="24"/>
          <w:szCs w:val="24"/>
          <w:rtl/>
        </w:rPr>
        <w:t>דואר אלקטרוני</w:t>
      </w:r>
      <w:r w:rsidR="00DE2D51">
        <w:rPr>
          <w:rFonts w:ascii="David" w:hAnsi="David" w:cs="David" w:hint="cs"/>
          <w:sz w:val="24"/>
          <w:szCs w:val="24"/>
          <w:rtl/>
        </w:rPr>
        <w:t xml:space="preserve">: </w:t>
      </w:r>
      <w:r w:rsidR="00D00EDA">
        <w:rPr>
          <w:rFonts w:ascii="David" w:hAnsi="David" w:cs="David"/>
          <w:sz w:val="24"/>
          <w:szCs w:val="24"/>
        </w:rPr>
        <w:t xml:space="preserve"> </w:t>
      </w:r>
      <w:r w:rsidR="007F1230">
        <w:rPr>
          <w:rFonts w:ascii="David" w:hAnsi="David" w:cs="David"/>
          <w:sz w:val="24"/>
          <w:szCs w:val="24"/>
        </w:rPr>
        <w:t>pniot-stablecoin</w:t>
      </w:r>
      <w:r w:rsidR="00166846" w:rsidRPr="00166846">
        <w:rPr>
          <w:rFonts w:ascii="David" w:hAnsi="David" w:cs="David"/>
          <w:sz w:val="24"/>
          <w:szCs w:val="24"/>
        </w:rPr>
        <w:t>@boi.org.il</w:t>
      </w:r>
      <w:r w:rsidR="002B27D5">
        <w:rPr>
          <w:rFonts w:ascii="David" w:hAnsi="David" w:cs="David" w:hint="cs"/>
          <w:sz w:val="24"/>
          <w:szCs w:val="24"/>
          <w:rtl/>
        </w:rPr>
        <w:t xml:space="preserve">עד </w:t>
      </w:r>
      <w:r w:rsidR="00565798">
        <w:rPr>
          <w:rFonts w:ascii="David" w:hAnsi="David" w:cs="David" w:hint="cs"/>
          <w:sz w:val="24"/>
          <w:szCs w:val="24"/>
          <w:rtl/>
        </w:rPr>
        <w:t>ליום 15 במרץ 2023</w:t>
      </w:r>
      <w:r w:rsidR="002B27D5">
        <w:rPr>
          <w:rFonts w:ascii="David" w:hAnsi="David" w:cs="David" w:hint="cs"/>
          <w:sz w:val="24"/>
          <w:szCs w:val="24"/>
          <w:rtl/>
        </w:rPr>
        <w:t>.</w:t>
      </w:r>
    </w:p>
    <w:p w:rsidR="00EE39DC" w:rsidRDefault="004F3796" w:rsidP="00EE39DC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AFD1" wp14:editId="702CAC08">
                <wp:simplePos x="0" y="0"/>
                <wp:positionH relativeFrom="margin">
                  <wp:posOffset>-95250</wp:posOffset>
                </wp:positionH>
                <wp:positionV relativeFrom="paragraph">
                  <wp:posOffset>204470</wp:posOffset>
                </wp:positionV>
                <wp:extent cx="5276850" cy="338137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381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0EDA" w:rsidRPr="00A27A1E" w:rsidRDefault="00D00EDA" w:rsidP="00D00EDA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27A1E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הבהרות וסייגים</w:t>
                            </w:r>
                          </w:p>
                          <w:p w:rsidR="00D00EDA" w:rsidRPr="00565798" w:rsidRDefault="00D00EDA" w:rsidP="00D00EDA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מסמך זה נועד להציג עקרונות אסדרה לצורך קבלת הערות הציבור.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אין לראות 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במסמך עקרונות זה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כמחייב את בנק ישראל ואין להסתמך עליו </w:t>
                            </w:r>
                            <w:r w:rsidRPr="00565798">
                              <w:rPr>
                                <w:rFonts w:ascii="David" w:hAnsi="David" w:cs="David" w:hint="eastAsia"/>
                                <w:sz w:val="20"/>
                                <w:szCs w:val="20"/>
                                <w:rtl/>
                              </w:rPr>
                              <w:t>בעת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ביצוע </w:t>
                            </w: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כל פעולה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מטבעות היציבים. </w:t>
                            </w:r>
                            <w:r w:rsidRPr="00565798">
                              <w:rPr>
                                <w:rFonts w:ascii="David" w:hAnsi="David" w:cs="David" w:hint="eastAsia"/>
                                <w:sz w:val="20"/>
                                <w:szCs w:val="20"/>
                                <w:rtl/>
                              </w:rPr>
                              <w:t>העקרונות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המפורטים במסמך זה טרם אושרו בהליכי חקיקה ולא בהכרח משקפים את המצב החוקי נכון לפרסומו. </w:t>
                            </w:r>
                          </w:p>
                          <w:p w:rsidR="00D00EDA" w:rsidRPr="00565798" w:rsidRDefault="00D00EDA" w:rsidP="00D00EDA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המשיבים ל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מסמך זה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יישאו בהוצאות הכנת המענה, ולא יהיו זכאים לכל פיצוי או שיפוי בגין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הוצאות אלה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00EDA" w:rsidRPr="00565798" w:rsidRDefault="00D00EDA" w:rsidP="00D00EDA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בנק ישראל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רשאי להשיב לכלל המענים שיתקבלו, לחלק מהמענים, או שלא להשיב למענה כלל. </w:t>
                            </w:r>
                          </w:p>
                          <w:p w:rsidR="00D00EDA" w:rsidRPr="00565798" w:rsidRDefault="00D00EDA" w:rsidP="00D00EDA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בנק ישראל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יהיה רשאי לפנות למשיבים ל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מסמך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זה, כולם או חלקם, בבקשה להשלמת מידע וקבלת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הבהרות למענה שיוגש, וכל מידע נוסף שיסבור הבנק שיש בו כדי לסייע לו בהבנת המענה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00EDA" w:rsidRDefault="00D00EDA" w:rsidP="00D00EDA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בנק ישראל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שומר לעצמו את הזכות, בכל עת, לערוך שינויים או תיקונים 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במסמך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זה, בין אם מיוזמתו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ובין אם בעקבות פניה של צדדים שלישיים כלשהם. השינויים או התיקונים ב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>מסמך זה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ייעשו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בהודעה בכתב, ויפורסמו באתר האינטרנט של הבנק. באחריות המשיבים לבדוק מפעם לפעם את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אתר האינטרנט של הבנק, אם חלו שינויים בנוסח</w:t>
                            </w:r>
                            <w:r w:rsidR="00BA7381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המסמך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ולהתאים את המענה שלהם</w:t>
                            </w:r>
                            <w:r w:rsidRPr="00565798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לשינויים, ככל שיחולו</w:t>
                            </w:r>
                            <w:r w:rsidRPr="00565798"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D11DC" w:rsidRPr="00565798" w:rsidRDefault="00BD11DC" w:rsidP="00BD11DC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 w:rsidRPr="00BD11DC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הגשת מענה לסמך זה עשויה לשמש את בנק ישראל לשיח מקצועי פנימי וכן לשיח עם צד ג' לרבות רשויות שונות או </w:t>
                            </w:r>
                            <w:proofErr w:type="spellStart"/>
                            <w:r w:rsidRPr="00BD11DC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מאסדרים</w:t>
                            </w:r>
                            <w:proofErr w:type="spellEnd"/>
                            <w:r w:rsidRPr="00BD11DC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 xml:space="preserve"> אחרים. הגשת מענה למסמך מהווה הסכמה להעברת המידע, כולו או חלקו, לצד ג' כאמור ומגיש המידע מוותר על כל טענה, תלונה או תביעה כלפי בנק ישראל בכל הנוגע להעברת המענה שהגיש.</w:t>
                            </w:r>
                          </w:p>
                          <w:p w:rsidR="00FB7937" w:rsidRPr="00D00EDA" w:rsidRDefault="00FB7937" w:rsidP="00D00EDA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3AFD1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7.5pt;margin-top:16.1pt;width:415.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" fillcolor="#e7e6e6 [3214]" stroked="f" strokeweight=".5pt">
                <v:textbox>
                  <w:txbxContent>
                    <w:p w:rsidR="00D00EDA" w:rsidRPr="00A27A1E" w:rsidRDefault="00D00EDA" w:rsidP="00D00EDA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27A1E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הבהרות וסייגים</w:t>
                      </w:r>
                    </w:p>
                    <w:p w:rsidR="00D00EDA" w:rsidRPr="00565798" w:rsidRDefault="00D00EDA" w:rsidP="00D00EDA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מסמך זה נועד להציג עקרונות אסדרה לצורך קבלת הערות הציבור.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אין לראות 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במסמך עקרונות זה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כמחייב את בנק ישראל ואין להסתמך עליו </w:t>
                      </w:r>
                      <w:r w:rsidRPr="00565798">
                        <w:rPr>
                          <w:rFonts w:ascii="David" w:hAnsi="David" w:cs="David" w:hint="eastAsia"/>
                          <w:sz w:val="20"/>
                          <w:szCs w:val="20"/>
                          <w:rtl/>
                        </w:rPr>
                        <w:t>בעת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ביצוע </w:t>
                      </w: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כל פעולה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ב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מטבעות היציבים. </w:t>
                      </w:r>
                      <w:r w:rsidRPr="00565798">
                        <w:rPr>
                          <w:rFonts w:ascii="David" w:hAnsi="David" w:cs="David" w:hint="eastAsia"/>
                          <w:sz w:val="20"/>
                          <w:szCs w:val="20"/>
                          <w:rtl/>
                        </w:rPr>
                        <w:t>העקרונות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המפורטים במסמך זה טרם אושרו בהליכי חקיקה ולא בהכרח משקפים את המצב החוקי נכון לפרסומו. </w:t>
                      </w:r>
                    </w:p>
                    <w:p w:rsidR="00D00EDA" w:rsidRPr="00565798" w:rsidRDefault="00D00EDA" w:rsidP="00D00EDA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המשיבים ל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מסמך זה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יישאו בהוצאות הכנת המענה, ולא יהיו זכאים לכל פיצוי או שיפוי בגין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הוצאות אלה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</w:rPr>
                        <w:t>.</w:t>
                      </w:r>
                    </w:p>
                    <w:p w:rsidR="00D00EDA" w:rsidRPr="00565798" w:rsidRDefault="00D00EDA" w:rsidP="00D00EDA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בנק ישראל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רשאי להשיב לכלל המענים שיתקבלו, לחלק מהמענים, או שלא להשיב למענה כלל. </w:t>
                      </w:r>
                    </w:p>
                    <w:p w:rsidR="00D00EDA" w:rsidRPr="00565798" w:rsidRDefault="00D00EDA" w:rsidP="00D00EDA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בנק ישראל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יהיה רשאי לפנות למשיבים ל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מסמך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זה, כולם או חלקם, בבקשה להשלמת מידע וקבלת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הבהרות למענה שיוגש, וכל מידע נוסף שיסבור הבנק שיש בו כדי לסייע לו בהבנת המענה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</w:rPr>
                        <w:t>.</w:t>
                      </w:r>
                    </w:p>
                    <w:p w:rsidR="00D00EDA" w:rsidRDefault="00D00EDA" w:rsidP="00D00EDA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בנק ישראל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שומר לעצמו את הזכות, בכל עת, לערוך שינויים או תיקונים 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במסמך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זה, בין אם מיוזמתו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ובין אם בעקבות פניה של צדדים שלישיים כלשהם. השינויים או התיקונים ב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>מסמך זה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ייעשו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בהודעה בכתב, ויפורסמו באתר האינטרנט של הבנק. באחריות המשיבים לבדוק מפעם לפעם את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אתר האינטרנט של הבנק, אם חלו שינויים בנוסח</w:t>
                      </w:r>
                      <w:r w:rsidR="00BA7381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המסמך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ולהתאים את המענה שלהם</w:t>
                      </w:r>
                      <w:r w:rsidRPr="00565798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לשינויים, ככל שיחולו</w:t>
                      </w:r>
                      <w:r w:rsidRPr="00565798">
                        <w:rPr>
                          <w:rFonts w:ascii="David" w:hAnsi="David" w:cs="David"/>
                          <w:sz w:val="20"/>
                          <w:szCs w:val="20"/>
                        </w:rPr>
                        <w:t>.</w:t>
                      </w:r>
                    </w:p>
                    <w:p w:rsidR="00BD11DC" w:rsidRPr="00565798" w:rsidRDefault="00BD11DC" w:rsidP="00BD11DC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  <w:r w:rsidRPr="00BD11DC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הגשת מענה לסמך זה עשויה לשמש את בנק ישראל לשיח מקצועי פנימי וכן לשיח עם צד ג' לרבות רשויות שונות או </w:t>
                      </w:r>
                      <w:proofErr w:type="spellStart"/>
                      <w:r w:rsidRPr="00BD11DC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מאסדרים</w:t>
                      </w:r>
                      <w:proofErr w:type="spellEnd"/>
                      <w:r w:rsidRPr="00BD11DC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 xml:space="preserve"> אחרים. הגשת מענה למסמך מהווה הסכמה להעברת המידע, כולו או חלקו, לצד ג' כאמור ומגיש המידע מוותר על כל טענה, תלונה או תביעה כלפי בנק ישראל בכל הנוגע להעברת המענה שהגיש.</w:t>
                      </w:r>
                    </w:p>
                    <w:p w:rsidR="00FB7937" w:rsidRPr="00D00EDA" w:rsidRDefault="00FB7937" w:rsidP="00D00EDA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39DC" w:rsidSect="003E4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FC" w:rsidRDefault="006D06FC" w:rsidP="00714E5D">
      <w:pPr>
        <w:spacing w:after="0" w:line="240" w:lineRule="auto"/>
      </w:pPr>
      <w:r>
        <w:separator/>
      </w:r>
    </w:p>
  </w:endnote>
  <w:endnote w:type="continuationSeparator" w:id="0">
    <w:p w:rsidR="006D06FC" w:rsidRDefault="006D06FC" w:rsidP="0071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5" w:rsidRDefault="004F4AF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5" w:rsidRDefault="004F4AF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5" w:rsidRDefault="004F4AF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FC" w:rsidRDefault="006D06FC" w:rsidP="00714E5D">
      <w:pPr>
        <w:spacing w:after="0" w:line="240" w:lineRule="auto"/>
      </w:pPr>
      <w:r>
        <w:separator/>
      </w:r>
    </w:p>
  </w:footnote>
  <w:footnote w:type="continuationSeparator" w:id="0">
    <w:p w:rsidR="006D06FC" w:rsidRDefault="006D06FC" w:rsidP="0071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5" w:rsidRDefault="004F4AF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5" w:rsidRDefault="004F4AF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F5" w:rsidRDefault="004F4A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AC1"/>
    <w:multiLevelType w:val="hybridMultilevel"/>
    <w:tmpl w:val="3824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4D8F"/>
    <w:multiLevelType w:val="hybridMultilevel"/>
    <w:tmpl w:val="5E2C2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9C28BB"/>
    <w:multiLevelType w:val="hybridMultilevel"/>
    <w:tmpl w:val="18AE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5E80"/>
    <w:multiLevelType w:val="hybridMultilevel"/>
    <w:tmpl w:val="7A8C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DC"/>
    <w:rsid w:val="00007E65"/>
    <w:rsid w:val="00013622"/>
    <w:rsid w:val="00013E8F"/>
    <w:rsid w:val="00016E2C"/>
    <w:rsid w:val="000219E1"/>
    <w:rsid w:val="00040585"/>
    <w:rsid w:val="00041F11"/>
    <w:rsid w:val="0005097D"/>
    <w:rsid w:val="00060143"/>
    <w:rsid w:val="00075CB6"/>
    <w:rsid w:val="000775B9"/>
    <w:rsid w:val="00093F8D"/>
    <w:rsid w:val="000A348F"/>
    <w:rsid w:val="000B06DB"/>
    <w:rsid w:val="000C6172"/>
    <w:rsid w:val="000C7808"/>
    <w:rsid w:val="000E7D80"/>
    <w:rsid w:val="00101168"/>
    <w:rsid w:val="001259D6"/>
    <w:rsid w:val="001278BD"/>
    <w:rsid w:val="00165379"/>
    <w:rsid w:val="0016682C"/>
    <w:rsid w:val="00166846"/>
    <w:rsid w:val="00182816"/>
    <w:rsid w:val="001A066F"/>
    <w:rsid w:val="001E6979"/>
    <w:rsid w:val="0020777C"/>
    <w:rsid w:val="00210512"/>
    <w:rsid w:val="00215509"/>
    <w:rsid w:val="00277D34"/>
    <w:rsid w:val="00292F1F"/>
    <w:rsid w:val="002B0404"/>
    <w:rsid w:val="002B27D5"/>
    <w:rsid w:val="002B612F"/>
    <w:rsid w:val="002C0694"/>
    <w:rsid w:val="002F2FB3"/>
    <w:rsid w:val="003227E6"/>
    <w:rsid w:val="00356713"/>
    <w:rsid w:val="00371752"/>
    <w:rsid w:val="00383E34"/>
    <w:rsid w:val="00384E67"/>
    <w:rsid w:val="00385536"/>
    <w:rsid w:val="00387D83"/>
    <w:rsid w:val="003A2E1B"/>
    <w:rsid w:val="003C52F8"/>
    <w:rsid w:val="003D3CEF"/>
    <w:rsid w:val="003E2F84"/>
    <w:rsid w:val="003E408D"/>
    <w:rsid w:val="00432B15"/>
    <w:rsid w:val="00451CD7"/>
    <w:rsid w:val="00462F81"/>
    <w:rsid w:val="004738F7"/>
    <w:rsid w:val="004872CA"/>
    <w:rsid w:val="004B1F75"/>
    <w:rsid w:val="004C62B5"/>
    <w:rsid w:val="004E740C"/>
    <w:rsid w:val="004F3796"/>
    <w:rsid w:val="004F4AF5"/>
    <w:rsid w:val="00507D7D"/>
    <w:rsid w:val="00510DC8"/>
    <w:rsid w:val="00527490"/>
    <w:rsid w:val="00564849"/>
    <w:rsid w:val="00565798"/>
    <w:rsid w:val="005921C8"/>
    <w:rsid w:val="005A34B4"/>
    <w:rsid w:val="005B534C"/>
    <w:rsid w:val="005B62E6"/>
    <w:rsid w:val="005C5B38"/>
    <w:rsid w:val="00601524"/>
    <w:rsid w:val="0061692A"/>
    <w:rsid w:val="0064164F"/>
    <w:rsid w:val="0064198D"/>
    <w:rsid w:val="00652F49"/>
    <w:rsid w:val="006532AE"/>
    <w:rsid w:val="00657BBF"/>
    <w:rsid w:val="0067668C"/>
    <w:rsid w:val="00677726"/>
    <w:rsid w:val="00682440"/>
    <w:rsid w:val="006A6A69"/>
    <w:rsid w:val="006C768D"/>
    <w:rsid w:val="006D06FC"/>
    <w:rsid w:val="006F34E2"/>
    <w:rsid w:val="0071370F"/>
    <w:rsid w:val="00714E5D"/>
    <w:rsid w:val="00766BEC"/>
    <w:rsid w:val="00772765"/>
    <w:rsid w:val="00773D2B"/>
    <w:rsid w:val="007C37B0"/>
    <w:rsid w:val="007C6036"/>
    <w:rsid w:val="007E0B24"/>
    <w:rsid w:val="007F1230"/>
    <w:rsid w:val="008052DC"/>
    <w:rsid w:val="0080682D"/>
    <w:rsid w:val="00827589"/>
    <w:rsid w:val="00857D65"/>
    <w:rsid w:val="00860BEA"/>
    <w:rsid w:val="008939E8"/>
    <w:rsid w:val="008A0CA0"/>
    <w:rsid w:val="008E7F0C"/>
    <w:rsid w:val="00902984"/>
    <w:rsid w:val="00926396"/>
    <w:rsid w:val="0096632E"/>
    <w:rsid w:val="009714AF"/>
    <w:rsid w:val="00972A55"/>
    <w:rsid w:val="00977205"/>
    <w:rsid w:val="009A4397"/>
    <w:rsid w:val="009A780F"/>
    <w:rsid w:val="009B3610"/>
    <w:rsid w:val="009D7FAB"/>
    <w:rsid w:val="009F05C0"/>
    <w:rsid w:val="009F6F9F"/>
    <w:rsid w:val="00A0736C"/>
    <w:rsid w:val="00A27A1E"/>
    <w:rsid w:val="00A51E70"/>
    <w:rsid w:val="00A61F14"/>
    <w:rsid w:val="00A762A8"/>
    <w:rsid w:val="00A80B25"/>
    <w:rsid w:val="00A8455E"/>
    <w:rsid w:val="00AB1250"/>
    <w:rsid w:val="00AB7E8A"/>
    <w:rsid w:val="00AC6C13"/>
    <w:rsid w:val="00AD2B26"/>
    <w:rsid w:val="00AE1961"/>
    <w:rsid w:val="00B13A9C"/>
    <w:rsid w:val="00B42B9D"/>
    <w:rsid w:val="00B50351"/>
    <w:rsid w:val="00B557E7"/>
    <w:rsid w:val="00BA7381"/>
    <w:rsid w:val="00BB23E0"/>
    <w:rsid w:val="00BD11DC"/>
    <w:rsid w:val="00BD3079"/>
    <w:rsid w:val="00BD50B7"/>
    <w:rsid w:val="00BD6316"/>
    <w:rsid w:val="00BD6BE7"/>
    <w:rsid w:val="00BF2EA2"/>
    <w:rsid w:val="00C000AF"/>
    <w:rsid w:val="00C1119B"/>
    <w:rsid w:val="00C63F9C"/>
    <w:rsid w:val="00C66152"/>
    <w:rsid w:val="00C82AD3"/>
    <w:rsid w:val="00C95957"/>
    <w:rsid w:val="00CB4969"/>
    <w:rsid w:val="00CC7284"/>
    <w:rsid w:val="00CE7E36"/>
    <w:rsid w:val="00CF0A0F"/>
    <w:rsid w:val="00CF1B19"/>
    <w:rsid w:val="00D00A4E"/>
    <w:rsid w:val="00D00EDA"/>
    <w:rsid w:val="00D0712D"/>
    <w:rsid w:val="00D242D1"/>
    <w:rsid w:val="00D24C2C"/>
    <w:rsid w:val="00D35948"/>
    <w:rsid w:val="00D5273E"/>
    <w:rsid w:val="00D647BE"/>
    <w:rsid w:val="00D7306F"/>
    <w:rsid w:val="00D90A69"/>
    <w:rsid w:val="00D96C21"/>
    <w:rsid w:val="00DA18E2"/>
    <w:rsid w:val="00DA78FF"/>
    <w:rsid w:val="00DC06CF"/>
    <w:rsid w:val="00DC1A18"/>
    <w:rsid w:val="00DD1CBF"/>
    <w:rsid w:val="00DE2D51"/>
    <w:rsid w:val="00DF6FEF"/>
    <w:rsid w:val="00E32D74"/>
    <w:rsid w:val="00E40E5A"/>
    <w:rsid w:val="00E56CA7"/>
    <w:rsid w:val="00E63FA2"/>
    <w:rsid w:val="00E72B7C"/>
    <w:rsid w:val="00E92ACD"/>
    <w:rsid w:val="00E936D7"/>
    <w:rsid w:val="00ED468B"/>
    <w:rsid w:val="00ED6357"/>
    <w:rsid w:val="00EE39DC"/>
    <w:rsid w:val="00EF0848"/>
    <w:rsid w:val="00F02F91"/>
    <w:rsid w:val="00F35DC7"/>
    <w:rsid w:val="00F43F3C"/>
    <w:rsid w:val="00F52236"/>
    <w:rsid w:val="00F60DCB"/>
    <w:rsid w:val="00F943EB"/>
    <w:rsid w:val="00F95BB5"/>
    <w:rsid w:val="00F96647"/>
    <w:rsid w:val="00FA13E7"/>
    <w:rsid w:val="00FB2DC3"/>
    <w:rsid w:val="00FB38EE"/>
    <w:rsid w:val="00FB3F88"/>
    <w:rsid w:val="00FB7937"/>
    <w:rsid w:val="00FE61F6"/>
    <w:rsid w:val="00FE6382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1A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4E5D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14E5D"/>
    <w:rPr>
      <w:sz w:val="20"/>
      <w:szCs w:val="20"/>
    </w:rPr>
  </w:style>
  <w:style w:type="character" w:styleId="a5">
    <w:name w:val="footnote reference"/>
    <w:basedOn w:val="a0"/>
    <w:semiHidden/>
    <w:unhideWhenUsed/>
    <w:rsid w:val="00714E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B79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FB7937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B79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7937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FB79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7937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FB7937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CF0A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E2D5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F4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4F4AF5"/>
  </w:style>
  <w:style w:type="paragraph" w:styleId="af0">
    <w:name w:val="footer"/>
    <w:basedOn w:val="a"/>
    <w:link w:val="af1"/>
    <w:uiPriority w:val="99"/>
    <w:unhideWhenUsed/>
    <w:rsid w:val="004F4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4F4AF5"/>
  </w:style>
  <w:style w:type="paragraph" w:styleId="af2">
    <w:name w:val="Title"/>
    <w:basedOn w:val="a"/>
    <w:next w:val="a"/>
    <w:link w:val="af3"/>
    <w:uiPriority w:val="10"/>
    <w:qFormat/>
    <w:rsid w:val="00B557E7"/>
    <w:pPr>
      <w:bidi w:val="0"/>
      <w:spacing w:after="0" w:line="240" w:lineRule="auto"/>
      <w:jc w:val="center"/>
    </w:pPr>
    <w:rPr>
      <w:rFonts w:ascii="Times New Roman" w:eastAsia="Times New Roman" w:hAnsi="Times New Roman" w:cs="David"/>
      <w:b/>
      <w:bCs/>
      <w:sz w:val="26"/>
      <w:szCs w:val="26"/>
    </w:rPr>
  </w:style>
  <w:style w:type="character" w:customStyle="1" w:styleId="af3">
    <w:name w:val="כותרת טקסט תו"/>
    <w:basedOn w:val="a0"/>
    <w:link w:val="af2"/>
    <w:uiPriority w:val="10"/>
    <w:rsid w:val="00B557E7"/>
    <w:rPr>
      <w:rFonts w:ascii="Times New Roman" w:eastAsia="Times New Roman" w:hAnsi="Times New Roman"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5814-9EB4-46B0-B2E6-096B90D9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2023-02-22T09:22:00Z</dcterms:created>
  <dcterms:modified xsi:type="dcterms:W3CDTF">2023-02-22T09:26:00Z</dcterms:modified>
</cp:coreProperties>
</file>