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19" w:rsidRDefault="00B44B19" w:rsidP="00B44B19">
      <w:pPr>
        <w:bidi w:val="0"/>
        <w:jc w:val="center"/>
      </w:pPr>
      <w:bookmarkStart w:id="0" w:name="_GoBack"/>
      <w:bookmarkEnd w:id="0"/>
      <w:r>
        <w:rPr>
          <w:rFonts w:cs="Arial" w:hint="cs"/>
          <w:noProof/>
          <w:rtl/>
        </w:rPr>
        <w:drawing>
          <wp:anchor distT="0" distB="0" distL="114300" distR="114300" simplePos="0" relativeHeight="251659264" behindDoc="0" locked="0" layoutInCell="1" allowOverlap="1" wp14:anchorId="765439AA" wp14:editId="18352BF7">
            <wp:simplePos x="0" y="0"/>
            <wp:positionH relativeFrom="margin">
              <wp:align>center</wp:align>
            </wp:positionH>
            <wp:positionV relativeFrom="margin">
              <wp:posOffset>-424180</wp:posOffset>
            </wp:positionV>
            <wp:extent cx="1054800" cy="1054800"/>
            <wp:effectExtent l="0" t="0" r="0" b="0"/>
            <wp:wrapNone/>
            <wp:docPr id="4"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800" cy="105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B19" w:rsidRPr="00E8008F" w:rsidRDefault="00B44B19" w:rsidP="00B44B19">
      <w:pPr>
        <w:bidi w:val="0"/>
        <w:jc w:val="center"/>
        <w:rPr>
          <w:rtl/>
        </w:rPr>
      </w:pPr>
    </w:p>
    <w:p w:rsidR="00B44B19" w:rsidRDefault="00B44B19" w:rsidP="00B44B19">
      <w:pPr>
        <w:pStyle w:val="LetterheadBOI"/>
      </w:pPr>
    </w:p>
    <w:p w:rsidR="00B44B19" w:rsidRDefault="00B44B19" w:rsidP="00B44B19">
      <w:pPr>
        <w:pStyle w:val="LetterheadBOI"/>
      </w:pPr>
    </w:p>
    <w:p w:rsidR="00B44B19" w:rsidRPr="008E4D8E" w:rsidRDefault="00B44B19" w:rsidP="00B44B19">
      <w:pPr>
        <w:pStyle w:val="LetterheadBOI"/>
      </w:pPr>
      <w:r w:rsidRPr="008E4D8E">
        <w:t>BANK OF ISRAEL</w:t>
      </w:r>
    </w:p>
    <w:p w:rsidR="00B44B19" w:rsidRPr="008E4D8E" w:rsidRDefault="00B44B19" w:rsidP="00B44B19">
      <w:pPr>
        <w:pStyle w:val="Letterhead2"/>
        <w:rPr>
          <w:b/>
        </w:rPr>
      </w:pPr>
      <w:r w:rsidRPr="008E4D8E">
        <w:t>Office of the Spokesperson and Economic Information</w:t>
      </w:r>
    </w:p>
    <w:p w:rsidR="00B44B19" w:rsidRDefault="00B44B19" w:rsidP="00B44B19">
      <w:pPr>
        <w:bidi w:val="0"/>
        <w:jc w:val="center"/>
        <w:rPr>
          <w:rFonts w:cs="David"/>
          <w:b/>
          <w:bCs/>
          <w:sz w:val="26"/>
          <w:szCs w:val="26"/>
        </w:rPr>
      </w:pPr>
    </w:p>
    <w:p w:rsidR="00B44B19" w:rsidRDefault="00F31BDD" w:rsidP="00D975F7">
      <w:pPr>
        <w:bidi w:val="0"/>
        <w:jc w:val="right"/>
      </w:pPr>
      <w:r>
        <w:t>January 1, 2024</w:t>
      </w:r>
    </w:p>
    <w:p w:rsidR="00B44B19" w:rsidRDefault="00B44B19" w:rsidP="008F2323">
      <w:pPr>
        <w:bidi w:val="0"/>
        <w:jc w:val="center"/>
        <w:rPr>
          <w:b/>
          <w:bCs/>
        </w:rPr>
      </w:pPr>
    </w:p>
    <w:p w:rsidR="00A21D01" w:rsidRPr="00B44B19" w:rsidRDefault="00A21D01" w:rsidP="00F31BDD">
      <w:pPr>
        <w:bidi w:val="0"/>
        <w:jc w:val="center"/>
        <w:rPr>
          <w:b/>
          <w:bCs/>
          <w:sz w:val="28"/>
          <w:szCs w:val="28"/>
        </w:rPr>
      </w:pPr>
      <w:r w:rsidRPr="00B44B19">
        <w:rPr>
          <w:b/>
          <w:bCs/>
          <w:sz w:val="28"/>
          <w:szCs w:val="28"/>
        </w:rPr>
        <w:t xml:space="preserve">Research Department Staff Forecast, </w:t>
      </w:r>
      <w:r w:rsidR="00F31BDD">
        <w:rPr>
          <w:b/>
          <w:bCs/>
          <w:sz w:val="28"/>
          <w:szCs w:val="28"/>
        </w:rPr>
        <w:t>January 2024</w:t>
      </w:r>
    </w:p>
    <w:p w:rsidR="00252B31" w:rsidRDefault="00252B31" w:rsidP="007D70EA">
      <w:pPr>
        <w:bidi w:val="0"/>
        <w:spacing w:line="360" w:lineRule="auto"/>
        <w:jc w:val="both"/>
        <w:rPr>
          <w:b/>
          <w:bCs/>
        </w:rPr>
      </w:pPr>
    </w:p>
    <w:p w:rsidR="00A21D01" w:rsidRPr="00D60117" w:rsidRDefault="00A21D01" w:rsidP="00252B31">
      <w:pPr>
        <w:bidi w:val="0"/>
        <w:spacing w:line="360" w:lineRule="auto"/>
        <w:jc w:val="both"/>
      </w:pPr>
      <w:r w:rsidRPr="00D60117">
        <w:rPr>
          <w:b/>
          <w:bCs/>
        </w:rPr>
        <w:t>Abstract</w:t>
      </w:r>
    </w:p>
    <w:p w:rsidR="00D52059" w:rsidRDefault="00B766FF" w:rsidP="00CF669B">
      <w:pPr>
        <w:bidi w:val="0"/>
        <w:jc w:val="both"/>
      </w:pPr>
      <w:r>
        <w:t xml:space="preserve">This document presents the macroeconomic staff forecast formulated by the Bank of Israel Research Department in </w:t>
      </w:r>
      <w:r w:rsidR="00F31BDD">
        <w:t>January 2024</w:t>
      </w:r>
      <w:r w:rsidR="00A30AC5">
        <w:rPr>
          <w:rStyle w:val="ac"/>
        </w:rPr>
        <w:footnoteReference w:id="1"/>
      </w:r>
      <w:r>
        <w:t xml:space="preserve"> concerning the main macroeconomic variables—GDP, inflation, and the interest rate. </w:t>
      </w:r>
      <w:r w:rsidR="00D975F7">
        <w:t xml:space="preserve">This forecast was formulated in the midst of the “Swords of Iron” War, which broke out on October 7, 2023 with the cruel attack by </w:t>
      </w:r>
      <w:r w:rsidR="00AE3308">
        <w:t>terrorist organizations from Gaza</w:t>
      </w:r>
      <w:r w:rsidR="00D975F7">
        <w:t xml:space="preserve">.  </w:t>
      </w:r>
      <w:r w:rsidR="007D6422">
        <w:t>This forecast is an update</w:t>
      </w:r>
      <w:r w:rsidR="00F31BDD">
        <w:t xml:space="preserve"> of the forecast that was </w:t>
      </w:r>
      <w:r w:rsidR="007D6422">
        <w:t xml:space="preserve">published in </w:t>
      </w:r>
      <w:r w:rsidR="00F31BDD">
        <w:t>Novem</w:t>
      </w:r>
      <w:r w:rsidR="007D6422">
        <w:t>ber</w:t>
      </w:r>
      <w:r w:rsidR="00F31BDD">
        <w:t xml:space="preserve"> outside the normally scheduled quarterly forecasts</w:t>
      </w:r>
      <w:r w:rsidR="007D6422">
        <w:t xml:space="preserve">.  </w:t>
      </w:r>
      <w:r w:rsidR="00F31BDD">
        <w:t>Similar to the November forecast</w:t>
      </w:r>
      <w:r w:rsidR="007D6422">
        <w:t xml:space="preserve">, </w:t>
      </w:r>
      <w:r w:rsidR="00F31BDD">
        <w:t>t</w:t>
      </w:r>
      <w:r w:rsidR="007D6422">
        <w:t xml:space="preserve">his forecast was built under the assumption that the war’s direct impact on the economy will </w:t>
      </w:r>
      <w:r w:rsidR="00F31BDD">
        <w:t xml:space="preserve">have reached its peak in the fourth quarter of 2023, and that it will </w:t>
      </w:r>
      <w:r w:rsidR="007D6422">
        <w:t xml:space="preserve">continue </w:t>
      </w:r>
      <w:r w:rsidR="00F31BDD">
        <w:t>until the end of</w:t>
      </w:r>
      <w:r w:rsidR="007D6422">
        <w:t xml:space="preserve"> 2024 with decreasing intensity. </w:t>
      </w:r>
      <w:r w:rsidR="00F31BDD">
        <w:t xml:space="preserve">For 2025, the forecast assumes that the war will have no additional </w:t>
      </w:r>
      <w:r w:rsidR="00E718CD">
        <w:t>significant</w:t>
      </w:r>
      <w:r w:rsidR="00F31BDD">
        <w:t xml:space="preserve"> impact.  In addition, we assume that for the most part, the war will continue to be restricted to Gaza.</w:t>
      </w:r>
      <w:r w:rsidR="007D6422">
        <w:t xml:space="preserve"> </w:t>
      </w:r>
      <w:r w:rsidR="008F7582">
        <w:t>The forecast naturally features a particularly high level of uncertainty, partly with regard to the duration</w:t>
      </w:r>
      <w:r w:rsidR="007D6422">
        <w:t xml:space="preserve"> </w:t>
      </w:r>
      <w:r w:rsidR="008F7582">
        <w:t>and nature of the war</w:t>
      </w:r>
      <w:r w:rsidR="00F31BDD">
        <w:t xml:space="preserve"> in Gaza and the potential worsening of the situation on the northern front</w:t>
      </w:r>
      <w:r w:rsidR="00CF669B">
        <w:t>, and with regard to decisions that the government will make regarding how the budget will deal with the defense and civilian needs arising from the war.</w:t>
      </w:r>
    </w:p>
    <w:p w:rsidR="00D975F7" w:rsidRDefault="00D975F7" w:rsidP="00D975F7">
      <w:pPr>
        <w:bidi w:val="0"/>
        <w:jc w:val="both"/>
      </w:pPr>
    </w:p>
    <w:p w:rsidR="007D6422" w:rsidRDefault="007D6422" w:rsidP="00F31BDD">
      <w:pPr>
        <w:bidi w:val="0"/>
        <w:jc w:val="both"/>
      </w:pPr>
      <w:r>
        <w:t>According to the forecast, GDP is expected to grow by 2 percent in 2023 and in 2024 (</w:t>
      </w:r>
      <w:r w:rsidR="00F31BDD">
        <w:t>similar to the Novembe</w:t>
      </w:r>
      <w:r w:rsidR="00E718CD">
        <w:t>r forecast)</w:t>
      </w:r>
      <w:r w:rsidR="00F31BDD">
        <w:t xml:space="preserve"> and by 5 percent in 2025</w:t>
      </w:r>
      <w:r>
        <w:t>.  The inflation rate in 2024 is expected to be 2.</w:t>
      </w:r>
      <w:r w:rsidR="00F31BDD">
        <w:t>4</w:t>
      </w:r>
      <w:r>
        <w:t xml:space="preserve"> percent, and</w:t>
      </w:r>
      <w:r w:rsidR="00F31BDD">
        <w:t xml:space="preserve"> in 2025 it is expected to be 2 percent. T</w:t>
      </w:r>
      <w:r>
        <w:t xml:space="preserve">he interest rate in the </w:t>
      </w:r>
      <w:r w:rsidR="00F31BDD">
        <w:t>fourth</w:t>
      </w:r>
      <w:r>
        <w:t xml:space="preserve"> quarter of 2024 is expected to be </w:t>
      </w:r>
      <w:r w:rsidR="00F31BDD">
        <w:t>3.75</w:t>
      </w:r>
      <w:r w:rsidR="00CF669B">
        <w:t>/4.00</w:t>
      </w:r>
      <w:r>
        <w:t xml:space="preserve"> percent.</w:t>
      </w:r>
    </w:p>
    <w:p w:rsidR="005D7D3B" w:rsidRDefault="005D7D3B" w:rsidP="00324468">
      <w:pPr>
        <w:bidi w:val="0"/>
        <w:jc w:val="both"/>
      </w:pPr>
    </w:p>
    <w:p w:rsidR="00E932DD" w:rsidRDefault="00F7707F" w:rsidP="004675C1">
      <w:pPr>
        <w:bidi w:val="0"/>
        <w:jc w:val="both"/>
        <w:rPr>
          <w:b/>
          <w:bCs/>
        </w:rPr>
      </w:pPr>
      <w:r>
        <w:rPr>
          <w:b/>
          <w:bCs/>
        </w:rPr>
        <w:t>The forecast</w:t>
      </w:r>
    </w:p>
    <w:p w:rsidR="00F7707F" w:rsidRPr="00F7707F" w:rsidRDefault="00F7707F" w:rsidP="00F7707F">
      <w:pPr>
        <w:bidi w:val="0"/>
        <w:jc w:val="both"/>
        <w:rPr>
          <w:b/>
          <w:bCs/>
        </w:rPr>
      </w:pPr>
    </w:p>
    <w:p w:rsidR="004675C1" w:rsidRDefault="004675C1" w:rsidP="00D9118C">
      <w:pPr>
        <w:bidi w:val="0"/>
        <w:jc w:val="both"/>
      </w:pPr>
      <w:r w:rsidRPr="0048372A">
        <w:t xml:space="preserve">The Bank of Israel Research Department compiles a staff forecast of macroeconomic developments based on several models, various data sources, and assessments based on economists’ judgment. The Bank’s DSGE (Dynamic Stochastic General Equilibrium) model—a structural model </w:t>
      </w:r>
      <w:r w:rsidR="00F7707F" w:rsidRPr="0048372A">
        <w:t xml:space="preserve">developed in the Research Department </w:t>
      </w:r>
      <w:r w:rsidR="00F7707F">
        <w:t xml:space="preserve">and </w:t>
      </w:r>
      <w:r w:rsidRPr="0048372A">
        <w:t>based on microeconomic foundations—plays a prim</w:t>
      </w:r>
      <w:r w:rsidR="00A83C38">
        <w:t>e</w:t>
      </w:r>
      <w:r w:rsidRPr="0048372A">
        <w:t xml:space="preserve"> role in formulating the macroeconomic forecast.</w:t>
      </w:r>
      <w:r w:rsidRPr="0048372A">
        <w:rPr>
          <w:rStyle w:val="ac"/>
        </w:rPr>
        <w:footnoteReference w:id="2"/>
      </w:r>
      <w:r w:rsidRPr="0048372A">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p w:rsidR="00D975F7" w:rsidRDefault="00D975F7" w:rsidP="00D975F7">
      <w:pPr>
        <w:bidi w:val="0"/>
        <w:jc w:val="both"/>
      </w:pPr>
    </w:p>
    <w:p w:rsidR="007D6422" w:rsidRDefault="007D6422" w:rsidP="00E718CD">
      <w:pPr>
        <w:bidi w:val="0"/>
        <w:jc w:val="both"/>
      </w:pPr>
      <w:r>
        <w:lastRenderedPageBreak/>
        <w:t xml:space="preserve">In order to formulate estimates of the economic impact of the war, special emphasis was placed on an analysis of </w:t>
      </w:r>
      <w:r w:rsidR="009E1E37">
        <w:t>real-time</w:t>
      </w:r>
      <w:r>
        <w:t xml:space="preserve"> data that show the scope of the impact so far on the output of various industries and on uses, as well as on an analysis of past security incidents.  In addition to the </w:t>
      </w:r>
      <w:r w:rsidR="009E1E37">
        <w:t>use of</w:t>
      </w:r>
      <w:r>
        <w:t xml:space="preserve"> the DSGE model, we used industry-level assessments of the volume of the supply-side impact derived partly from </w:t>
      </w:r>
      <w:r w:rsidR="00550958">
        <w:t xml:space="preserve">the lack of workers during the war period and the security restrictions on activity. On the demand side, data obtained so far were analyzed in order to assess the impact on the various uses.  The results were </w:t>
      </w:r>
      <w:r w:rsidR="00E718CD">
        <w:t>integrated</w:t>
      </w:r>
      <w:r w:rsidR="00550958">
        <w:t xml:space="preserve"> into a full forecast of the sources and uses using an analysis of the relative </w:t>
      </w:r>
      <w:r w:rsidR="009E1E37">
        <w:t>severity</w:t>
      </w:r>
      <w:r w:rsidR="00550958">
        <w:t xml:space="preserve"> of the demand and supply restrictions in the various activity components.</w:t>
      </w:r>
    </w:p>
    <w:p w:rsidR="007D6422" w:rsidRDefault="007D6422" w:rsidP="007D6422">
      <w:pPr>
        <w:bidi w:val="0"/>
        <w:jc w:val="both"/>
      </w:pPr>
      <w:r>
        <w:t xml:space="preserve"> </w:t>
      </w:r>
    </w:p>
    <w:p w:rsidR="00A21D01" w:rsidRPr="00D60117" w:rsidRDefault="00A21D01" w:rsidP="00A21D01">
      <w:pPr>
        <w:numPr>
          <w:ilvl w:val="0"/>
          <w:numId w:val="9"/>
        </w:numPr>
        <w:bidi w:val="0"/>
        <w:spacing w:line="360" w:lineRule="auto"/>
        <w:ind w:left="357" w:hanging="357"/>
        <w:jc w:val="both"/>
        <w:rPr>
          <w:b/>
          <w:bCs/>
        </w:rPr>
      </w:pPr>
      <w:r w:rsidRPr="00D60117">
        <w:rPr>
          <w:b/>
          <w:bCs/>
        </w:rPr>
        <w:t>The global environment</w:t>
      </w:r>
    </w:p>
    <w:p w:rsidR="00D52059" w:rsidRDefault="00A21D01" w:rsidP="00E718CD">
      <w:pPr>
        <w:bidi w:val="0"/>
        <w:jc w:val="both"/>
        <w:rPr>
          <w:rtl/>
        </w:rPr>
      </w:pPr>
      <w:r>
        <w:t xml:space="preserve">Our assessments of expected developments in the global economy are based mainly on projections by international </w:t>
      </w:r>
      <w:r w:rsidR="00C45D20">
        <w:t xml:space="preserve">financial </w:t>
      </w:r>
      <w:r>
        <w:t>institutions and foreign investment houses.</w:t>
      </w:r>
      <w:r w:rsidR="00C55EB9">
        <w:t xml:space="preserve">  </w:t>
      </w:r>
      <w:r w:rsidR="00550958">
        <w:t xml:space="preserve">The main assumptions regarding the global environment remained </w:t>
      </w:r>
      <w:r w:rsidR="00F31BDD">
        <w:t>similar</w:t>
      </w:r>
      <w:r w:rsidR="00550958">
        <w:t xml:space="preserve"> to</w:t>
      </w:r>
      <w:r w:rsidR="00F31BDD">
        <w:t xml:space="preserve"> those used in</w:t>
      </w:r>
      <w:r w:rsidR="00550958">
        <w:t xml:space="preserve"> the </w:t>
      </w:r>
      <w:r w:rsidR="00F31BDD">
        <w:t>Novem</w:t>
      </w:r>
      <w:r w:rsidR="00550958">
        <w:t xml:space="preserve">ber forecast.  </w:t>
      </w:r>
      <w:r w:rsidR="00D975F7">
        <w:t>Accordingly, we assume</w:t>
      </w:r>
      <w:r w:rsidR="00C6384E">
        <w:t>, similar to the November forecast,</w:t>
      </w:r>
      <w:r w:rsidR="00D975F7">
        <w:t xml:space="preserve"> that growth in the advanced economies </w:t>
      </w:r>
      <w:r w:rsidR="00E718CD">
        <w:t>was</w:t>
      </w:r>
      <w:r w:rsidR="00D975F7">
        <w:t xml:space="preserve"> 1.</w:t>
      </w:r>
      <w:r w:rsidR="00550958">
        <w:t>3</w:t>
      </w:r>
      <w:r w:rsidR="00D975F7">
        <w:t xml:space="preserve"> percent in 2023</w:t>
      </w:r>
      <w:r w:rsidR="00C6384E">
        <w:t>,</w:t>
      </w:r>
      <w:r w:rsidR="00D975F7">
        <w:t xml:space="preserve"> </w:t>
      </w:r>
      <w:r w:rsidR="00E718CD">
        <w:t xml:space="preserve">and that it will be </w:t>
      </w:r>
      <w:r w:rsidR="00D975F7">
        <w:t>0.8 percent in 2024</w:t>
      </w:r>
      <w:r w:rsidR="00C6384E">
        <w:t>, and 1.5 percent in 2025</w:t>
      </w:r>
      <w:r w:rsidR="00D166DB">
        <w:t xml:space="preserve">. </w:t>
      </w:r>
      <w:r w:rsidR="00550958">
        <w:t>Our assumption is that</w:t>
      </w:r>
      <w:r w:rsidR="00D166DB">
        <w:t xml:space="preserve"> world trade </w:t>
      </w:r>
      <w:r w:rsidR="00E718CD">
        <w:t>grew</w:t>
      </w:r>
      <w:r w:rsidR="00D166DB">
        <w:t xml:space="preserve"> by </w:t>
      </w:r>
      <w:r w:rsidR="00C6384E">
        <w:t>1.2</w:t>
      </w:r>
      <w:r w:rsidR="00D166DB">
        <w:t xml:space="preserve"> percent in</w:t>
      </w:r>
      <w:r w:rsidR="00D04735">
        <w:t xml:space="preserve"> </w:t>
      </w:r>
      <w:r w:rsidR="00D166DB">
        <w:t>2023</w:t>
      </w:r>
      <w:r w:rsidR="00C6384E">
        <w:t>,</w:t>
      </w:r>
      <w:r w:rsidR="00E718CD">
        <w:t xml:space="preserve"> and that it will grow by</w:t>
      </w:r>
      <w:r w:rsidR="00D166DB">
        <w:t xml:space="preserve"> 3.5 percent in 2024</w:t>
      </w:r>
      <w:r w:rsidR="00C6384E">
        <w:t xml:space="preserve">, and </w:t>
      </w:r>
      <w:r w:rsidR="00E718CD">
        <w:t xml:space="preserve">by </w:t>
      </w:r>
      <w:r w:rsidR="00C6384E">
        <w:t>3 percent in 2025</w:t>
      </w:r>
      <w:r w:rsidR="00D166DB">
        <w:t>.</w:t>
      </w:r>
      <w:r w:rsidR="005A37A5">
        <w:t xml:space="preserve"> The inflation forecasts for the advanced economies </w:t>
      </w:r>
      <w:r w:rsidR="00550958">
        <w:t>were revised.</w:t>
      </w:r>
      <w:r w:rsidR="00D166DB">
        <w:t xml:space="preserve">  Accordingly, our assessment is that inflation in those countries will total 3.</w:t>
      </w:r>
      <w:r w:rsidR="00C6384E">
        <w:t>1</w:t>
      </w:r>
      <w:r w:rsidR="00D166DB">
        <w:t xml:space="preserve"> percent in 2023 </w:t>
      </w:r>
      <w:r w:rsidR="00C6384E">
        <w:t xml:space="preserve">(compared with 3.4 percent in the November forecast) </w:t>
      </w:r>
      <w:r w:rsidR="00D166DB">
        <w:t>and 2.</w:t>
      </w:r>
      <w:r w:rsidR="00550958">
        <w:t>3</w:t>
      </w:r>
      <w:r w:rsidR="00D166DB">
        <w:t xml:space="preserve"> percent in 2024 (</w:t>
      </w:r>
      <w:r w:rsidR="00C6384E">
        <w:t>unchanged from</w:t>
      </w:r>
      <w:r w:rsidR="00550958">
        <w:t xml:space="preserve"> the </w:t>
      </w:r>
      <w:r w:rsidR="00C6384E">
        <w:t>Novem</w:t>
      </w:r>
      <w:r w:rsidR="00550958">
        <w:t>ber for</w:t>
      </w:r>
      <w:r w:rsidR="00C6384E">
        <w:t xml:space="preserve">ecast). Our assumption is that the 2025 figure will be 2.2 percent. </w:t>
      </w:r>
      <w:r w:rsidR="00D166DB">
        <w:t xml:space="preserve">Investment houses’ forecasts of </w:t>
      </w:r>
      <w:r w:rsidR="00550958">
        <w:t xml:space="preserve">the </w:t>
      </w:r>
      <w:r w:rsidR="00D166DB">
        <w:t xml:space="preserve">average </w:t>
      </w:r>
      <w:r w:rsidR="00550958">
        <w:t>interest rate</w:t>
      </w:r>
      <w:r w:rsidR="00D166DB">
        <w:t xml:space="preserve"> in the advanced economies </w:t>
      </w:r>
      <w:r w:rsidR="00C6384E">
        <w:t xml:space="preserve">are </w:t>
      </w:r>
      <w:r w:rsidR="00D166DB">
        <w:t>3.9 percent at the end of 2024 (</w:t>
      </w:r>
      <w:r w:rsidR="00550958">
        <w:t xml:space="preserve">unchanged from the </w:t>
      </w:r>
      <w:r w:rsidR="00C6384E">
        <w:t>Novem</w:t>
      </w:r>
      <w:r w:rsidR="00550958">
        <w:t>ber</w:t>
      </w:r>
      <w:r w:rsidR="00D166DB">
        <w:t xml:space="preserve"> forecast)</w:t>
      </w:r>
      <w:r w:rsidR="00C6384E">
        <w:t xml:space="preserve"> and 3.1 percent at the end of 2025</w:t>
      </w:r>
      <w:r w:rsidR="00D166DB">
        <w:t>.</w:t>
      </w:r>
      <w:r w:rsidR="008F34C7">
        <w:t xml:space="preserve">  </w:t>
      </w:r>
      <w:r w:rsidR="00C6384E">
        <w:t>Despite some volatility in recent weeks, t</w:t>
      </w:r>
      <w:r w:rsidR="008F34C7">
        <w:t xml:space="preserve">he price of Brent crude oil </w:t>
      </w:r>
      <w:r w:rsidR="00C6384E">
        <w:t>remained similar to its level at the time of the November forecast, around</w:t>
      </w:r>
      <w:r w:rsidR="008F34C7">
        <w:t xml:space="preserve"> $</w:t>
      </w:r>
      <w:r w:rsidR="00550958">
        <w:t>8</w:t>
      </w:r>
      <w:r w:rsidR="00C6384E">
        <w:t>0</w:t>
      </w:r>
      <w:r w:rsidR="00D166DB">
        <w:t xml:space="preserve"> per barrel</w:t>
      </w:r>
      <w:r w:rsidR="00323260">
        <w:t>.</w:t>
      </w:r>
    </w:p>
    <w:p w:rsidR="00D52059" w:rsidRDefault="00D52059" w:rsidP="00D52059">
      <w:pPr>
        <w:bidi w:val="0"/>
        <w:jc w:val="both"/>
      </w:pPr>
    </w:p>
    <w:p w:rsidR="007E443D" w:rsidRDefault="007E443D" w:rsidP="007E443D">
      <w:pPr>
        <w:bidi w:val="0"/>
        <w:jc w:val="both"/>
      </w:pPr>
    </w:p>
    <w:p w:rsidR="00A21D01" w:rsidRDefault="00A21D01" w:rsidP="0087184F">
      <w:pPr>
        <w:numPr>
          <w:ilvl w:val="0"/>
          <w:numId w:val="9"/>
        </w:numPr>
        <w:bidi w:val="0"/>
        <w:spacing w:line="360" w:lineRule="auto"/>
        <w:ind w:left="357" w:hanging="357"/>
        <w:jc w:val="both"/>
        <w:rPr>
          <w:b/>
          <w:bCs/>
        </w:rPr>
      </w:pPr>
      <w:r w:rsidRPr="00D66FAE">
        <w:rPr>
          <w:b/>
          <w:bCs/>
        </w:rPr>
        <w:t>Real activity in</w:t>
      </w:r>
      <w:r w:rsidRPr="00D60117">
        <w:rPr>
          <w:b/>
          <w:bCs/>
        </w:rPr>
        <w:t xml:space="preserve"> Israel</w:t>
      </w:r>
    </w:p>
    <w:p w:rsidR="00F1274A" w:rsidRDefault="00323260" w:rsidP="000003FE">
      <w:pPr>
        <w:bidi w:val="0"/>
        <w:jc w:val="both"/>
      </w:pPr>
      <w:r>
        <w:t xml:space="preserve">GDP is expected to grow by </w:t>
      </w:r>
      <w:r w:rsidR="00F1274A">
        <w:t>2</w:t>
      </w:r>
      <w:r>
        <w:t xml:space="preserve"> percent in </w:t>
      </w:r>
      <w:r w:rsidR="000003FE">
        <w:t xml:space="preserve">each of </w:t>
      </w:r>
      <w:r>
        <w:t xml:space="preserve">2023 and 2024 </w:t>
      </w:r>
      <w:r w:rsidR="000003FE">
        <w:t xml:space="preserve">and by 5 percent in 2025 </w:t>
      </w:r>
      <w:r>
        <w:t xml:space="preserve">(Table 1). </w:t>
      </w:r>
    </w:p>
    <w:p w:rsidR="00F1274A" w:rsidRDefault="00F1274A" w:rsidP="00F1274A">
      <w:pPr>
        <w:bidi w:val="0"/>
        <w:jc w:val="both"/>
      </w:pPr>
    </w:p>
    <w:p w:rsidR="003C6D39" w:rsidRDefault="00F1274A" w:rsidP="008E12B0">
      <w:pPr>
        <w:bidi w:val="0"/>
        <w:jc w:val="both"/>
      </w:pPr>
      <w:r>
        <w:t xml:space="preserve">The forecast in Table 1 is based on the assumption that </w:t>
      </w:r>
      <w:r w:rsidR="008839C3">
        <w:t>t</w:t>
      </w:r>
      <w:r>
        <w:t xml:space="preserve">he war’s direct impact on the economy </w:t>
      </w:r>
      <w:r w:rsidR="008839C3">
        <w:t>reach</w:t>
      </w:r>
      <w:r w:rsidR="000003FE">
        <w:t>ed</w:t>
      </w:r>
      <w:r w:rsidR="008839C3">
        <w:t xml:space="preserve"> its peak in the fourth quarter of 2023, and</w:t>
      </w:r>
      <w:r w:rsidR="000003FE">
        <w:t xml:space="preserve"> that it</w:t>
      </w:r>
      <w:r w:rsidR="008839C3">
        <w:t xml:space="preserve"> will continue into 2024 with declining intensity. </w:t>
      </w:r>
      <w:r w:rsidR="000003FE">
        <w:t xml:space="preserve">In 2025, a recovery is expected, which will support the GDP’s convergence to the trend that it showed between 2014 and 2019, </w:t>
      </w:r>
      <w:r w:rsidR="00E718CD">
        <w:t xml:space="preserve">prior to the COVID-19 pandemic </w:t>
      </w:r>
      <w:r w:rsidR="000003FE">
        <w:t>(Table 1). The expected effect on GDP</w:t>
      </w:r>
      <w:r w:rsidR="00E718CD">
        <w:t xml:space="preserve"> in 2023 and 2024</w:t>
      </w:r>
      <w:r w:rsidR="000003FE">
        <w:t xml:space="preserve"> is due </w:t>
      </w:r>
      <w:r w:rsidR="008E12B0">
        <w:t>to the negative impacts on</w:t>
      </w:r>
      <w:r w:rsidR="000003FE">
        <w:t xml:space="preserve"> both the supply side and the demand side.  On the supply side, the broad emergency mobilization of the reserves and the partial shut-down of educational institutions, mainly in the first two months of the war, were reflected in a decline in the supply of labor in all industries.  In the construction and agriculture industries, there </w:t>
      </w:r>
      <w:r w:rsidR="00B518A6">
        <w:t>i</w:t>
      </w:r>
      <w:r w:rsidR="000003FE">
        <w:t>s a very significant impact to the supply of labor</w:t>
      </w:r>
      <w:r w:rsidR="00B518A6">
        <w:t>—i</w:t>
      </w:r>
      <w:r w:rsidR="000003FE">
        <w:t>n construction</w:t>
      </w:r>
      <w:r w:rsidR="00B518A6">
        <w:t xml:space="preserve"> due </w:t>
      </w:r>
      <w:r w:rsidR="000003FE">
        <w:t>to restrictions on the entry of laborers from Judea and Samaria</w:t>
      </w:r>
      <w:r w:rsidR="003C6D39">
        <w:t xml:space="preserve"> and the complete stoppage of employment of laborers from Gaza</w:t>
      </w:r>
      <w:r w:rsidR="00B518A6">
        <w:t>, and</w:t>
      </w:r>
      <w:r w:rsidR="00517AA1">
        <w:t xml:space="preserve"> </w:t>
      </w:r>
      <w:r w:rsidR="00B518A6">
        <w:t>i</w:t>
      </w:r>
      <w:r w:rsidR="00517AA1">
        <w:t xml:space="preserve">n agriculture due to the departure of foreign workers. </w:t>
      </w:r>
      <w:r w:rsidR="00E718CD">
        <w:t xml:space="preserve">In the present forecast, we assume that addressing these supply issues will take longer than previously expected.  </w:t>
      </w:r>
      <w:r w:rsidR="003C6D39">
        <w:t xml:space="preserve">In addition to the decline in the supply of labor, production capacity in the combat areas and in threatened regions has been </w:t>
      </w:r>
      <w:r w:rsidR="00B518A6">
        <w:t>impair</w:t>
      </w:r>
      <w:r w:rsidR="003C6D39">
        <w:t xml:space="preserve">ed due to the impact to physical capital and the ability to work. </w:t>
      </w:r>
    </w:p>
    <w:p w:rsidR="00B518A6" w:rsidRDefault="00B518A6" w:rsidP="00517AA1">
      <w:pPr>
        <w:bidi w:val="0"/>
        <w:jc w:val="both"/>
      </w:pPr>
    </w:p>
    <w:p w:rsidR="00323260" w:rsidRDefault="003C6D39" w:rsidP="00B518A6">
      <w:pPr>
        <w:bidi w:val="0"/>
        <w:jc w:val="both"/>
      </w:pPr>
      <w:r>
        <w:t>On the demand side,</w:t>
      </w:r>
      <w:r w:rsidR="00B518A6">
        <w:t xml:space="preserve"> our assessment is that</w:t>
      </w:r>
      <w:r>
        <w:t xml:space="preserve"> negative consumer sentiment is expected </w:t>
      </w:r>
      <w:r w:rsidR="00B518A6">
        <w:t>to continue to have an</w:t>
      </w:r>
      <w:r>
        <w:t xml:space="preserve"> impact on consumer demand.  Demand for the export of tourism services</w:t>
      </w:r>
      <w:r w:rsidR="00B518A6">
        <w:t xml:space="preserve"> (incoming tourism)</w:t>
      </w:r>
      <w:r>
        <w:t xml:space="preserve"> </w:t>
      </w:r>
      <w:r w:rsidR="00B518A6">
        <w:t>has suffered</w:t>
      </w:r>
      <w:r>
        <w:t xml:space="preserve">, </w:t>
      </w:r>
      <w:r w:rsidR="00B518A6">
        <w:t>and</w:t>
      </w:r>
      <w:r>
        <w:t xml:space="preserve"> experience from previous security incidents shows that this impact is expected to be prolonged.  In contrast, in the construction industry, an increase in demand is </w:t>
      </w:r>
      <w:r>
        <w:lastRenderedPageBreak/>
        <w:t>expected within the forecast period</w:t>
      </w:r>
      <w:r w:rsidR="00B518A6">
        <w:t>,</w:t>
      </w:r>
      <w:r>
        <w:t xml:space="preserve"> </w:t>
      </w:r>
      <w:r w:rsidR="00B518A6">
        <w:t xml:space="preserve">partly </w:t>
      </w:r>
      <w:r>
        <w:t>due to the need to rehabilitate structures.  In view of these developments, our assessment is that the broad unemployment rate</w:t>
      </w:r>
      <w:r>
        <w:rPr>
          <w:rStyle w:val="ac"/>
        </w:rPr>
        <w:footnoteReference w:id="3"/>
      </w:r>
      <w:r>
        <w:t xml:space="preserve"> among the prime working ages</w:t>
      </w:r>
      <w:r w:rsidR="00517AA1">
        <w:t>,</w:t>
      </w:r>
      <w:r>
        <w:t xml:space="preserve"> </w:t>
      </w:r>
      <w:r w:rsidR="00517AA1">
        <w:t>which</w:t>
      </w:r>
      <w:r>
        <w:t xml:space="preserve"> increase</w:t>
      </w:r>
      <w:r w:rsidR="00517AA1">
        <w:t>d in the fourth quarter of 2023</w:t>
      </w:r>
      <w:r>
        <w:t xml:space="preserve">, will </w:t>
      </w:r>
      <w:r w:rsidR="00B518A6">
        <w:t>decline gradually</w:t>
      </w:r>
      <w:r>
        <w:t xml:space="preserve"> in 2024</w:t>
      </w:r>
      <w:r w:rsidR="00B518A6">
        <w:t>, and will converge to its prewar level only in 2025</w:t>
      </w:r>
      <w:r>
        <w:t>.</w:t>
      </w:r>
    </w:p>
    <w:p w:rsidR="00BC0E38" w:rsidRDefault="00BC0E38" w:rsidP="00BC0E38">
      <w:pPr>
        <w:bidi w:val="0"/>
        <w:jc w:val="both"/>
      </w:pPr>
    </w:p>
    <w:p w:rsidR="00BC0E38" w:rsidRDefault="00E718CD" w:rsidP="00B518A6">
      <w:pPr>
        <w:bidi w:val="0"/>
        <w:jc w:val="both"/>
      </w:pPr>
      <w:r>
        <w:t>C</w:t>
      </w:r>
      <w:r w:rsidR="00B518A6">
        <w:t>redit card purchases show that the level of private consumption is higher than we assumed in the previous forecast</w:t>
      </w:r>
      <w:r>
        <w:t xml:space="preserve"> from November</w:t>
      </w:r>
      <w:r w:rsidR="00B518A6">
        <w:t>.  In addition, foreign trade data indicate a sharp decline in imports alongside a more moderate decline in exports.  These developments are positively contributing to both the growth estimate for 2023 and to expected growth for 2024.  In contrast, in view of the restrictions on the entry of Palestinian laborers, which we assume will continue in the coming quarters, the construction industry will continue to show a significant decline in the volume of activity in 2024.  This development leads to a downward revision of the forecast growth of investment and GDP in 2024.  In the final analysis, the changes in the effects of the various accounting components on demand for output are expected to cancel each other out, such that there is no change in the growth forecast for 2023 or 2024—2 percent in each year, similar to the November forecast.</w:t>
      </w:r>
    </w:p>
    <w:p w:rsidR="00F1274A" w:rsidRDefault="00F1274A" w:rsidP="00F1274A">
      <w:pPr>
        <w:bidi w:val="0"/>
        <w:jc w:val="both"/>
      </w:pPr>
    </w:p>
    <w:p w:rsidR="00C53E1E" w:rsidRPr="00C53E1E" w:rsidRDefault="00C53E1E" w:rsidP="00C53E1E">
      <w:pPr>
        <w:bidi w:val="0"/>
        <w:jc w:val="both"/>
        <w:rPr>
          <w:color w:val="FF0000"/>
        </w:rPr>
      </w:pPr>
    </w:p>
    <w:tbl>
      <w:tblPr>
        <w:tblStyle w:val="a7"/>
        <w:tblpPr w:leftFromText="181" w:rightFromText="181" w:vertAnchor="text" w:horzAnchor="margin" w:tblpXSpec="center" w:tblpY="1"/>
        <w:tblOverlap w:val="never"/>
        <w:tblW w:w="10768" w:type="dxa"/>
        <w:tblLayout w:type="fixed"/>
        <w:tblLook w:val="04A0" w:firstRow="1" w:lastRow="0" w:firstColumn="1" w:lastColumn="0" w:noHBand="0" w:noVBand="1"/>
      </w:tblPr>
      <w:tblGrid>
        <w:gridCol w:w="4106"/>
        <w:gridCol w:w="851"/>
        <w:gridCol w:w="1134"/>
        <w:gridCol w:w="1275"/>
        <w:gridCol w:w="993"/>
        <w:gridCol w:w="1275"/>
        <w:gridCol w:w="1134"/>
      </w:tblGrid>
      <w:tr w:rsidR="00B518A6" w:rsidRPr="007A4B17" w:rsidTr="00247644">
        <w:trPr>
          <w:trHeight w:val="200"/>
        </w:trPr>
        <w:tc>
          <w:tcPr>
            <w:tcW w:w="10768" w:type="dxa"/>
            <w:gridSpan w:val="7"/>
            <w:tcBorders>
              <w:top w:val="single" w:sz="4" w:space="0" w:color="auto"/>
              <w:bottom w:val="single" w:sz="4" w:space="0" w:color="auto"/>
              <w:right w:val="single" w:sz="4" w:space="0" w:color="auto"/>
            </w:tcBorders>
          </w:tcPr>
          <w:p w:rsidR="00B518A6" w:rsidRPr="00B13C35" w:rsidRDefault="00B518A6" w:rsidP="00C53E1E">
            <w:pPr>
              <w:bidi w:val="0"/>
              <w:rPr>
                <w:b/>
                <w:bCs/>
                <w:color w:val="0070C0"/>
              </w:rPr>
            </w:pPr>
            <w:r w:rsidRPr="00B13C35">
              <w:rPr>
                <w:b/>
                <w:bCs/>
                <w:color w:val="0070C0"/>
              </w:rPr>
              <w:t>Table 1</w:t>
            </w:r>
          </w:p>
          <w:p w:rsidR="00B518A6" w:rsidRDefault="00B518A6" w:rsidP="00247644">
            <w:pPr>
              <w:bidi w:val="0"/>
              <w:rPr>
                <w:b/>
                <w:bCs/>
                <w:color w:val="0070C0"/>
              </w:rPr>
            </w:pPr>
            <w:r w:rsidRPr="00B13C35">
              <w:rPr>
                <w:b/>
                <w:bCs/>
                <w:color w:val="0070C0"/>
              </w:rPr>
              <w:t>Research Department Staff Forecast for 20</w:t>
            </w:r>
            <w:r>
              <w:rPr>
                <w:b/>
                <w:bCs/>
                <w:color w:val="0070C0"/>
              </w:rPr>
              <w:t>2</w:t>
            </w:r>
            <w:r w:rsidR="00247644">
              <w:rPr>
                <w:b/>
                <w:bCs/>
                <w:color w:val="0070C0"/>
              </w:rPr>
              <w:t>3</w:t>
            </w:r>
            <w:r>
              <w:rPr>
                <w:b/>
                <w:bCs/>
                <w:color w:val="0070C0"/>
              </w:rPr>
              <w:t>–</w:t>
            </w:r>
            <w:r w:rsidRPr="00B13C35">
              <w:rPr>
                <w:b/>
                <w:bCs/>
                <w:color w:val="0070C0"/>
              </w:rPr>
              <w:t>20</w:t>
            </w:r>
            <w:r>
              <w:rPr>
                <w:b/>
                <w:bCs/>
                <w:color w:val="0070C0"/>
              </w:rPr>
              <w:t>2</w:t>
            </w:r>
            <w:r w:rsidR="00247644">
              <w:rPr>
                <w:b/>
                <w:bCs/>
                <w:color w:val="0070C0"/>
              </w:rPr>
              <w:t>5</w:t>
            </w:r>
          </w:p>
          <w:p w:rsidR="00B518A6" w:rsidRPr="00B13C35" w:rsidRDefault="00B518A6" w:rsidP="00C53E1E">
            <w:pPr>
              <w:bidi w:val="0"/>
              <w:rPr>
                <w:b/>
                <w:bCs/>
                <w:color w:val="0070C0"/>
              </w:rPr>
            </w:pPr>
            <w:r w:rsidRPr="00B13C35">
              <w:rPr>
                <w:color w:val="0070C0"/>
                <w:sz w:val="22"/>
                <w:szCs w:val="22"/>
              </w:rPr>
              <w:t xml:space="preserve">(rates of change, </w:t>
            </w:r>
            <w:proofErr w:type="spellStart"/>
            <w:r w:rsidRPr="00B13C35">
              <w:rPr>
                <w:color w:val="0070C0"/>
                <w:sz w:val="22"/>
                <w:szCs w:val="22"/>
              </w:rPr>
              <w:t>percent</w:t>
            </w:r>
            <w:r>
              <w:rPr>
                <w:color w:val="0070C0"/>
                <w:sz w:val="22"/>
                <w:szCs w:val="22"/>
                <w:vertAlign w:val="superscript"/>
              </w:rPr>
              <w:t>a</w:t>
            </w:r>
            <w:proofErr w:type="spellEnd"/>
            <w:r w:rsidRPr="00B13C35">
              <w:rPr>
                <w:color w:val="0070C0"/>
                <w:sz w:val="22"/>
                <w:szCs w:val="22"/>
              </w:rPr>
              <w:t>, unless stated otherwise</w:t>
            </w:r>
            <w:r>
              <w:rPr>
                <w:color w:val="0070C0"/>
                <w:sz w:val="22"/>
                <w:szCs w:val="22"/>
              </w:rPr>
              <w:t>)</w:t>
            </w:r>
          </w:p>
        </w:tc>
      </w:tr>
      <w:tr w:rsidR="00B518A6" w:rsidRPr="007A4B17" w:rsidTr="00247644">
        <w:tc>
          <w:tcPr>
            <w:tcW w:w="4106" w:type="dxa"/>
            <w:tcBorders>
              <w:bottom w:val="nil"/>
            </w:tcBorders>
            <w:vAlign w:val="bottom"/>
          </w:tcPr>
          <w:p w:rsidR="00B518A6" w:rsidRPr="00A50C95" w:rsidRDefault="00B518A6" w:rsidP="00C53E1E">
            <w:pPr>
              <w:bidi w:val="0"/>
              <w:rPr>
                <w:sz w:val="20"/>
                <w:szCs w:val="20"/>
              </w:rPr>
            </w:pPr>
          </w:p>
        </w:tc>
        <w:tc>
          <w:tcPr>
            <w:tcW w:w="851" w:type="dxa"/>
            <w:tcBorders>
              <w:bottom w:val="single" w:sz="4" w:space="0" w:color="auto"/>
              <w:right w:val="single" w:sz="4" w:space="0" w:color="auto"/>
            </w:tcBorders>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2022</w:t>
            </w:r>
          </w:p>
          <w:p w:rsidR="00B518A6" w:rsidRPr="00A50C95"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Actual</w:t>
            </w:r>
          </w:p>
        </w:tc>
        <w:tc>
          <w:tcPr>
            <w:tcW w:w="1134" w:type="dxa"/>
            <w:tcBorders>
              <w:left w:val="single" w:sz="4" w:space="0" w:color="auto"/>
              <w:bottom w:val="nil"/>
              <w:right w:val="nil"/>
            </w:tcBorders>
            <w:shd w:val="clear" w:color="auto" w:fill="auto"/>
          </w:tcPr>
          <w:p w:rsidR="00B518A6" w:rsidRPr="003C7BEB"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Estimate for 2023</w:t>
            </w:r>
          </w:p>
        </w:tc>
        <w:tc>
          <w:tcPr>
            <w:tcW w:w="1275" w:type="dxa"/>
            <w:tcBorders>
              <w:left w:val="nil"/>
              <w:bottom w:val="single" w:sz="4" w:space="0" w:color="auto"/>
              <w:right w:val="single" w:sz="4" w:space="0" w:color="auto"/>
            </w:tcBorders>
            <w:shd w:val="clear" w:color="auto" w:fill="C6D9F1" w:themeFill="text2" w:themeFillTint="33"/>
          </w:tcPr>
          <w:p w:rsidR="00B518A6" w:rsidRPr="003C7BEB" w:rsidRDefault="00B518A6" w:rsidP="00E718CD">
            <w:pPr>
              <w:bidi w:val="0"/>
              <w:jc w:val="center"/>
              <w:rPr>
                <w:rFonts w:asciiTheme="majorBidi" w:hAnsiTheme="majorBidi" w:cstheme="majorBidi"/>
                <w:sz w:val="20"/>
                <w:szCs w:val="20"/>
              </w:rPr>
            </w:pPr>
            <w:r>
              <w:rPr>
                <w:rFonts w:asciiTheme="majorBidi" w:hAnsiTheme="majorBidi" w:cstheme="majorBidi"/>
                <w:sz w:val="20"/>
                <w:szCs w:val="20"/>
              </w:rPr>
              <w:t xml:space="preserve">Change from the  </w:t>
            </w:r>
            <w:r w:rsidR="00E718CD">
              <w:rPr>
                <w:rFonts w:asciiTheme="majorBidi" w:hAnsiTheme="majorBidi" w:cstheme="majorBidi"/>
                <w:sz w:val="20"/>
                <w:szCs w:val="20"/>
              </w:rPr>
              <w:t>November</w:t>
            </w:r>
            <w:r>
              <w:rPr>
                <w:rFonts w:asciiTheme="majorBidi" w:hAnsiTheme="majorBidi" w:cstheme="majorBidi"/>
                <w:sz w:val="20"/>
                <w:szCs w:val="20"/>
              </w:rPr>
              <w:t xml:space="preserve"> forecast</w:t>
            </w:r>
          </w:p>
        </w:tc>
        <w:tc>
          <w:tcPr>
            <w:tcW w:w="993" w:type="dxa"/>
            <w:tcBorders>
              <w:left w:val="single" w:sz="4" w:space="0" w:color="auto"/>
              <w:bottom w:val="nil"/>
              <w:right w:val="nil"/>
            </w:tcBorders>
            <w:shd w:val="clear" w:color="auto" w:fill="auto"/>
          </w:tcPr>
          <w:p w:rsidR="00B518A6" w:rsidRPr="003C7BEB"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Forecast for 2024</w:t>
            </w:r>
          </w:p>
        </w:tc>
        <w:tc>
          <w:tcPr>
            <w:tcW w:w="1275" w:type="dxa"/>
            <w:tcBorders>
              <w:left w:val="nil"/>
              <w:bottom w:val="single" w:sz="4" w:space="0" w:color="auto"/>
              <w:right w:val="single" w:sz="4" w:space="0" w:color="auto"/>
            </w:tcBorders>
            <w:shd w:val="clear" w:color="auto" w:fill="C6D9F1" w:themeFill="text2" w:themeFillTint="33"/>
          </w:tcPr>
          <w:p w:rsidR="00B518A6" w:rsidRDefault="00B518A6" w:rsidP="00E718CD">
            <w:pPr>
              <w:bidi w:val="0"/>
              <w:jc w:val="center"/>
              <w:rPr>
                <w:rFonts w:asciiTheme="majorBidi" w:hAnsiTheme="majorBidi" w:cstheme="majorBidi"/>
                <w:sz w:val="20"/>
                <w:szCs w:val="20"/>
              </w:rPr>
            </w:pPr>
            <w:r>
              <w:rPr>
                <w:rFonts w:asciiTheme="majorBidi" w:hAnsiTheme="majorBidi" w:cstheme="majorBidi"/>
                <w:sz w:val="20"/>
                <w:szCs w:val="20"/>
              </w:rPr>
              <w:t xml:space="preserve">Change from the  </w:t>
            </w:r>
            <w:r w:rsidR="00E718CD">
              <w:rPr>
                <w:rFonts w:asciiTheme="majorBidi" w:hAnsiTheme="majorBidi" w:cstheme="majorBidi"/>
                <w:sz w:val="20"/>
                <w:szCs w:val="20"/>
              </w:rPr>
              <w:t>November</w:t>
            </w:r>
            <w:r>
              <w:rPr>
                <w:rFonts w:asciiTheme="majorBidi" w:hAnsiTheme="majorBidi" w:cstheme="majorBidi"/>
                <w:sz w:val="20"/>
                <w:szCs w:val="20"/>
              </w:rPr>
              <w:t xml:space="preserve"> forecast</w:t>
            </w:r>
          </w:p>
        </w:tc>
        <w:tc>
          <w:tcPr>
            <w:tcW w:w="1134" w:type="dxa"/>
            <w:tcBorders>
              <w:left w:val="nil"/>
              <w:bottom w:val="single" w:sz="4" w:space="0" w:color="auto"/>
              <w:right w:val="single" w:sz="4" w:space="0" w:color="auto"/>
            </w:tcBorders>
            <w:shd w:val="clear" w:color="auto" w:fill="auto"/>
          </w:tcPr>
          <w:p w:rsidR="00B518A6" w:rsidRDefault="00247644" w:rsidP="009E1E37">
            <w:pPr>
              <w:bidi w:val="0"/>
              <w:jc w:val="center"/>
              <w:rPr>
                <w:rFonts w:asciiTheme="majorBidi" w:hAnsiTheme="majorBidi" w:cstheme="majorBidi"/>
                <w:sz w:val="20"/>
                <w:szCs w:val="20"/>
              </w:rPr>
            </w:pPr>
            <w:r>
              <w:rPr>
                <w:rFonts w:asciiTheme="majorBidi" w:hAnsiTheme="majorBidi" w:cstheme="majorBidi"/>
                <w:sz w:val="20"/>
                <w:szCs w:val="20"/>
              </w:rPr>
              <w:t>Forecast for 2025</w:t>
            </w:r>
          </w:p>
        </w:tc>
      </w:tr>
      <w:tr w:rsidR="00B518A6" w:rsidRPr="007A4B17" w:rsidTr="00247644">
        <w:tc>
          <w:tcPr>
            <w:tcW w:w="4106" w:type="dxa"/>
            <w:tcBorders>
              <w:bottom w:val="single" w:sz="4" w:space="0" w:color="auto"/>
            </w:tcBorders>
            <w:vAlign w:val="bottom"/>
          </w:tcPr>
          <w:p w:rsidR="00B518A6" w:rsidRPr="00404ACD" w:rsidRDefault="00B518A6" w:rsidP="00C53E1E">
            <w:pPr>
              <w:bidi w:val="0"/>
              <w:rPr>
                <w:b/>
                <w:bCs/>
                <w:sz w:val="20"/>
                <w:szCs w:val="20"/>
              </w:rPr>
            </w:pPr>
            <w:r w:rsidRPr="00404ACD">
              <w:rPr>
                <w:b/>
                <w:bCs/>
                <w:sz w:val="20"/>
                <w:szCs w:val="20"/>
              </w:rPr>
              <w:t>GDP</w:t>
            </w:r>
          </w:p>
        </w:tc>
        <w:tc>
          <w:tcPr>
            <w:tcW w:w="851" w:type="dxa"/>
            <w:tcBorders>
              <w:bottom w:val="single" w:sz="4" w:space="0" w:color="auto"/>
              <w:right w:val="single" w:sz="4" w:space="0" w:color="auto"/>
            </w:tcBorders>
          </w:tcPr>
          <w:p w:rsidR="00B518A6" w:rsidRPr="00404ACD" w:rsidRDefault="00B518A6" w:rsidP="00C53E1E">
            <w:pPr>
              <w:bidi w:val="0"/>
              <w:jc w:val="center"/>
              <w:rPr>
                <w:rFonts w:asciiTheme="majorBidi" w:hAnsiTheme="majorBidi" w:cstheme="majorBidi"/>
                <w:b/>
                <w:bCs/>
                <w:sz w:val="20"/>
                <w:szCs w:val="20"/>
              </w:rPr>
            </w:pPr>
            <w:r>
              <w:rPr>
                <w:rFonts w:asciiTheme="majorBidi" w:hAnsiTheme="majorBidi" w:cstheme="majorBidi"/>
                <w:b/>
                <w:bCs/>
                <w:sz w:val="20"/>
                <w:szCs w:val="20"/>
              </w:rPr>
              <w:t>6.5</w:t>
            </w:r>
          </w:p>
        </w:tc>
        <w:tc>
          <w:tcPr>
            <w:tcW w:w="1134" w:type="dxa"/>
            <w:tcBorders>
              <w:left w:val="single" w:sz="4" w:space="0" w:color="auto"/>
              <w:bottom w:val="single" w:sz="4" w:space="0" w:color="auto"/>
              <w:right w:val="nil"/>
            </w:tcBorders>
            <w:shd w:val="clear" w:color="auto" w:fill="auto"/>
          </w:tcPr>
          <w:p w:rsidR="00B518A6" w:rsidRPr="00404ACD" w:rsidRDefault="00B518A6" w:rsidP="00BC0E38">
            <w:pPr>
              <w:bidi w:val="0"/>
              <w:jc w:val="center"/>
              <w:rPr>
                <w:rFonts w:asciiTheme="majorBidi" w:hAnsiTheme="majorBidi" w:cstheme="majorBidi"/>
                <w:b/>
                <w:bCs/>
                <w:sz w:val="20"/>
                <w:szCs w:val="20"/>
              </w:rPr>
            </w:pPr>
            <w:r>
              <w:rPr>
                <w:rFonts w:asciiTheme="majorBidi" w:hAnsiTheme="majorBidi" w:cstheme="majorBidi"/>
                <w:b/>
                <w:bCs/>
                <w:sz w:val="20"/>
                <w:szCs w:val="20"/>
              </w:rPr>
              <w:t>2.0</w:t>
            </w:r>
          </w:p>
        </w:tc>
        <w:tc>
          <w:tcPr>
            <w:tcW w:w="1275" w:type="dxa"/>
            <w:tcBorders>
              <w:left w:val="nil"/>
              <w:bottom w:val="single" w:sz="4" w:space="0" w:color="auto"/>
              <w:right w:val="single" w:sz="4" w:space="0" w:color="auto"/>
            </w:tcBorders>
            <w:shd w:val="clear" w:color="auto" w:fill="C6D9F1" w:themeFill="text2" w:themeFillTint="33"/>
            <w:vAlign w:val="bottom"/>
          </w:tcPr>
          <w:p w:rsidR="00B518A6" w:rsidRPr="00404ACD" w:rsidRDefault="00B518A6" w:rsidP="00247644">
            <w:pPr>
              <w:bidi w:val="0"/>
              <w:jc w:val="center"/>
              <w:rPr>
                <w:rFonts w:asciiTheme="majorBidi" w:hAnsiTheme="majorBidi" w:cstheme="majorBidi"/>
                <w:b/>
                <w:bCs/>
                <w:sz w:val="20"/>
                <w:szCs w:val="20"/>
              </w:rPr>
            </w:pPr>
            <w:r>
              <w:rPr>
                <w:rFonts w:asciiTheme="majorBidi" w:hAnsiTheme="majorBidi" w:cstheme="majorBidi"/>
                <w:b/>
                <w:bCs/>
                <w:sz w:val="20"/>
                <w:szCs w:val="20"/>
              </w:rPr>
              <w:t>-</w:t>
            </w:r>
          </w:p>
        </w:tc>
        <w:tc>
          <w:tcPr>
            <w:tcW w:w="993" w:type="dxa"/>
            <w:tcBorders>
              <w:left w:val="single" w:sz="4" w:space="0" w:color="auto"/>
              <w:bottom w:val="single" w:sz="4" w:space="0" w:color="auto"/>
              <w:right w:val="nil"/>
            </w:tcBorders>
            <w:shd w:val="clear" w:color="auto" w:fill="auto"/>
          </w:tcPr>
          <w:p w:rsidR="00B518A6" w:rsidRPr="00404ACD" w:rsidRDefault="00B518A6" w:rsidP="00BC0E38">
            <w:pPr>
              <w:bidi w:val="0"/>
              <w:jc w:val="center"/>
              <w:rPr>
                <w:rFonts w:asciiTheme="majorBidi" w:hAnsiTheme="majorBidi" w:cstheme="majorBidi"/>
                <w:b/>
                <w:bCs/>
                <w:sz w:val="20"/>
                <w:szCs w:val="20"/>
              </w:rPr>
            </w:pPr>
            <w:r>
              <w:rPr>
                <w:rFonts w:asciiTheme="majorBidi" w:hAnsiTheme="majorBidi" w:cstheme="majorBidi"/>
                <w:b/>
                <w:bCs/>
                <w:sz w:val="20"/>
                <w:szCs w:val="20"/>
              </w:rPr>
              <w:t>2.0</w:t>
            </w:r>
          </w:p>
        </w:tc>
        <w:tc>
          <w:tcPr>
            <w:tcW w:w="1275" w:type="dxa"/>
            <w:tcBorders>
              <w:left w:val="nil"/>
              <w:bottom w:val="single" w:sz="4" w:space="0" w:color="auto"/>
              <w:right w:val="single" w:sz="4" w:space="0" w:color="auto"/>
            </w:tcBorders>
            <w:shd w:val="clear" w:color="auto" w:fill="C6D9F1" w:themeFill="text2" w:themeFillTint="33"/>
          </w:tcPr>
          <w:p w:rsidR="00B518A6" w:rsidRDefault="00247644" w:rsidP="00BC0E38">
            <w:pPr>
              <w:bidi w:val="0"/>
              <w:jc w:val="center"/>
              <w:rPr>
                <w:rFonts w:asciiTheme="majorBidi" w:hAnsiTheme="majorBidi" w:cstheme="majorBidi"/>
                <w:b/>
                <w:bCs/>
                <w:sz w:val="20"/>
                <w:szCs w:val="20"/>
              </w:rPr>
            </w:pPr>
            <w:r>
              <w:rPr>
                <w:rFonts w:asciiTheme="majorBidi" w:hAnsiTheme="majorBidi" w:cstheme="majorBidi"/>
                <w:b/>
                <w:bCs/>
                <w:sz w:val="20"/>
                <w:szCs w:val="20"/>
              </w:rPr>
              <w:t>-</w:t>
            </w:r>
          </w:p>
        </w:tc>
        <w:tc>
          <w:tcPr>
            <w:tcW w:w="1134" w:type="dxa"/>
            <w:tcBorders>
              <w:left w:val="nil"/>
              <w:bottom w:val="single" w:sz="4" w:space="0" w:color="auto"/>
              <w:right w:val="single" w:sz="4" w:space="0" w:color="auto"/>
            </w:tcBorders>
            <w:shd w:val="clear" w:color="auto" w:fill="auto"/>
          </w:tcPr>
          <w:p w:rsidR="00B518A6" w:rsidRDefault="00247644" w:rsidP="00BC0E38">
            <w:pPr>
              <w:bidi w:val="0"/>
              <w:jc w:val="center"/>
              <w:rPr>
                <w:rFonts w:asciiTheme="majorBidi" w:hAnsiTheme="majorBidi" w:cstheme="majorBidi"/>
                <w:b/>
                <w:bCs/>
                <w:sz w:val="20"/>
                <w:szCs w:val="20"/>
              </w:rPr>
            </w:pPr>
            <w:r>
              <w:rPr>
                <w:rFonts w:asciiTheme="majorBidi" w:hAnsiTheme="majorBidi" w:cstheme="majorBidi"/>
                <w:b/>
                <w:bCs/>
                <w:sz w:val="20"/>
                <w:szCs w:val="20"/>
              </w:rPr>
              <w:t>5.0</w:t>
            </w:r>
          </w:p>
        </w:tc>
      </w:tr>
      <w:tr w:rsidR="00B518A6" w:rsidRPr="007A4B17" w:rsidTr="00247644">
        <w:tc>
          <w:tcPr>
            <w:tcW w:w="4106" w:type="dxa"/>
            <w:tcBorders>
              <w:bottom w:val="single" w:sz="4" w:space="0" w:color="auto"/>
            </w:tcBorders>
            <w:vAlign w:val="bottom"/>
          </w:tcPr>
          <w:p w:rsidR="00B518A6" w:rsidRPr="00A50C95" w:rsidRDefault="00B518A6" w:rsidP="00C53E1E">
            <w:pPr>
              <w:bidi w:val="0"/>
              <w:rPr>
                <w:sz w:val="20"/>
                <w:szCs w:val="20"/>
              </w:rPr>
            </w:pPr>
            <w:r>
              <w:rPr>
                <w:sz w:val="20"/>
                <w:szCs w:val="20"/>
              </w:rPr>
              <w:t>Private consumption</w:t>
            </w:r>
          </w:p>
        </w:tc>
        <w:tc>
          <w:tcPr>
            <w:tcW w:w="851" w:type="dxa"/>
            <w:tcBorders>
              <w:bottom w:val="single" w:sz="4" w:space="0" w:color="auto"/>
              <w:right w:val="single" w:sz="4" w:space="0" w:color="auto"/>
            </w:tcBorders>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7.7</w:t>
            </w:r>
          </w:p>
        </w:tc>
        <w:tc>
          <w:tcPr>
            <w:tcW w:w="1134" w:type="dxa"/>
            <w:tcBorders>
              <w:left w:val="single" w:sz="4" w:space="0" w:color="auto"/>
              <w:bottom w:val="single" w:sz="4" w:space="0" w:color="auto"/>
              <w:right w:val="nil"/>
            </w:tcBorders>
            <w:shd w:val="clear" w:color="auto" w:fill="auto"/>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-0.5</w:t>
            </w:r>
          </w:p>
        </w:tc>
        <w:tc>
          <w:tcPr>
            <w:tcW w:w="1275" w:type="dxa"/>
            <w:tcBorders>
              <w:left w:val="nil"/>
              <w:bottom w:val="single" w:sz="4" w:space="0" w:color="auto"/>
              <w:right w:val="single" w:sz="4" w:space="0" w:color="auto"/>
            </w:tcBorders>
            <w:shd w:val="clear" w:color="auto" w:fill="C6D9F1" w:themeFill="text2" w:themeFillTint="33"/>
            <w:vAlign w:val="bottom"/>
          </w:tcPr>
          <w:p w:rsidR="00B518A6" w:rsidRDefault="00B518A6" w:rsidP="00247644">
            <w:pPr>
              <w:bidi w:val="0"/>
              <w:jc w:val="center"/>
              <w:rPr>
                <w:rFonts w:asciiTheme="majorBidi" w:hAnsiTheme="majorBidi" w:cstheme="majorBidi"/>
                <w:sz w:val="20"/>
                <w:szCs w:val="20"/>
              </w:rPr>
            </w:pPr>
            <w:r>
              <w:rPr>
                <w:rFonts w:asciiTheme="majorBidi" w:hAnsiTheme="majorBidi" w:cstheme="majorBidi"/>
                <w:sz w:val="20"/>
                <w:szCs w:val="20"/>
              </w:rPr>
              <w:t>-</w:t>
            </w:r>
          </w:p>
        </w:tc>
        <w:tc>
          <w:tcPr>
            <w:tcW w:w="993" w:type="dxa"/>
            <w:tcBorders>
              <w:left w:val="single" w:sz="4" w:space="0" w:color="auto"/>
              <w:bottom w:val="single" w:sz="4" w:space="0" w:color="auto"/>
              <w:right w:val="nil"/>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3</w:t>
            </w:r>
            <w:r w:rsidR="00B518A6">
              <w:rPr>
                <w:rFonts w:asciiTheme="majorBidi" w:hAnsiTheme="majorBidi" w:cstheme="majorBidi"/>
                <w:sz w:val="20"/>
                <w:szCs w:val="20"/>
              </w:rPr>
              <w:t>.0</w:t>
            </w:r>
          </w:p>
        </w:tc>
        <w:tc>
          <w:tcPr>
            <w:tcW w:w="1275" w:type="dxa"/>
            <w:tcBorders>
              <w:left w:val="nil"/>
              <w:bottom w:val="single" w:sz="4" w:space="0" w:color="auto"/>
              <w:right w:val="single" w:sz="4" w:space="0" w:color="auto"/>
            </w:tcBorders>
            <w:shd w:val="clear" w:color="auto" w:fill="C6D9F1" w:themeFill="text2" w:themeFillTint="33"/>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1.0</w:t>
            </w:r>
          </w:p>
        </w:tc>
        <w:tc>
          <w:tcPr>
            <w:tcW w:w="1134" w:type="dxa"/>
            <w:tcBorders>
              <w:left w:val="nil"/>
              <w:bottom w:val="single" w:sz="4" w:space="0" w:color="auto"/>
              <w:right w:val="single" w:sz="4" w:space="0" w:color="auto"/>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6.0</w:t>
            </w:r>
          </w:p>
        </w:tc>
      </w:tr>
      <w:tr w:rsidR="00B518A6" w:rsidRPr="007A4B17" w:rsidTr="00247644">
        <w:tc>
          <w:tcPr>
            <w:tcW w:w="4106" w:type="dxa"/>
            <w:tcBorders>
              <w:bottom w:val="single" w:sz="4" w:space="0" w:color="auto"/>
            </w:tcBorders>
            <w:vAlign w:val="bottom"/>
          </w:tcPr>
          <w:p w:rsidR="00B518A6" w:rsidRDefault="00B518A6" w:rsidP="00C53E1E">
            <w:pPr>
              <w:bidi w:val="0"/>
              <w:rPr>
                <w:sz w:val="20"/>
                <w:szCs w:val="20"/>
              </w:rPr>
            </w:pPr>
            <w:r>
              <w:rPr>
                <w:sz w:val="20"/>
                <w:szCs w:val="20"/>
              </w:rPr>
              <w:t>Fixed capital formation (excl. ships and aircraft)</w:t>
            </w:r>
          </w:p>
        </w:tc>
        <w:tc>
          <w:tcPr>
            <w:tcW w:w="851" w:type="dxa"/>
            <w:tcBorders>
              <w:bottom w:val="single" w:sz="4" w:space="0" w:color="auto"/>
              <w:right w:val="single" w:sz="4" w:space="0" w:color="auto"/>
            </w:tcBorders>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11.0</w:t>
            </w:r>
          </w:p>
        </w:tc>
        <w:tc>
          <w:tcPr>
            <w:tcW w:w="1134" w:type="dxa"/>
            <w:tcBorders>
              <w:left w:val="single" w:sz="4" w:space="0" w:color="auto"/>
              <w:bottom w:val="single" w:sz="4" w:space="0" w:color="auto"/>
              <w:right w:val="nil"/>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0.5</w:t>
            </w:r>
          </w:p>
        </w:tc>
        <w:tc>
          <w:tcPr>
            <w:tcW w:w="1275" w:type="dxa"/>
            <w:tcBorders>
              <w:left w:val="nil"/>
              <w:bottom w:val="single" w:sz="4" w:space="0" w:color="auto"/>
              <w:right w:val="single" w:sz="4" w:space="0" w:color="auto"/>
            </w:tcBorders>
            <w:shd w:val="clear" w:color="auto" w:fill="C6D9F1" w:themeFill="text2" w:themeFillTint="33"/>
            <w:vAlign w:val="bottom"/>
          </w:tcPr>
          <w:p w:rsidR="00B518A6" w:rsidRDefault="00B518A6" w:rsidP="00247644">
            <w:pPr>
              <w:bidi w:val="0"/>
              <w:jc w:val="center"/>
              <w:rPr>
                <w:rFonts w:asciiTheme="majorBidi" w:hAnsiTheme="majorBidi" w:cstheme="majorBidi"/>
                <w:sz w:val="20"/>
                <w:szCs w:val="20"/>
              </w:rPr>
            </w:pPr>
            <w:r>
              <w:rPr>
                <w:rFonts w:asciiTheme="majorBidi" w:hAnsiTheme="majorBidi" w:cstheme="majorBidi"/>
                <w:sz w:val="20"/>
                <w:szCs w:val="20"/>
              </w:rPr>
              <w:t>-</w:t>
            </w:r>
            <w:r w:rsidR="00247644">
              <w:rPr>
                <w:rFonts w:asciiTheme="majorBidi" w:hAnsiTheme="majorBidi" w:cstheme="majorBidi"/>
                <w:sz w:val="20"/>
                <w:szCs w:val="20"/>
              </w:rPr>
              <w:t>1.5</w:t>
            </w:r>
          </w:p>
        </w:tc>
        <w:tc>
          <w:tcPr>
            <w:tcW w:w="993" w:type="dxa"/>
            <w:tcBorders>
              <w:left w:val="single" w:sz="4" w:space="0" w:color="auto"/>
              <w:bottom w:val="single" w:sz="4" w:space="0" w:color="auto"/>
              <w:right w:val="nil"/>
            </w:tcBorders>
            <w:shd w:val="clear" w:color="auto" w:fill="auto"/>
          </w:tcPr>
          <w:p w:rsidR="00B518A6" w:rsidRDefault="00247644" w:rsidP="00247644">
            <w:pPr>
              <w:bidi w:val="0"/>
              <w:jc w:val="center"/>
              <w:rPr>
                <w:rFonts w:asciiTheme="majorBidi" w:hAnsiTheme="majorBidi" w:cstheme="majorBidi"/>
                <w:sz w:val="20"/>
                <w:szCs w:val="20"/>
              </w:rPr>
            </w:pPr>
            <w:r>
              <w:rPr>
                <w:rFonts w:asciiTheme="majorBidi" w:hAnsiTheme="majorBidi" w:cstheme="majorBidi"/>
                <w:sz w:val="20"/>
                <w:szCs w:val="20"/>
              </w:rPr>
              <w:t>-3</w:t>
            </w:r>
            <w:r w:rsidR="00B518A6">
              <w:rPr>
                <w:rFonts w:asciiTheme="majorBidi" w:hAnsiTheme="majorBidi" w:cstheme="majorBidi"/>
                <w:sz w:val="20"/>
                <w:szCs w:val="20"/>
              </w:rPr>
              <w:t>.0</w:t>
            </w:r>
          </w:p>
        </w:tc>
        <w:tc>
          <w:tcPr>
            <w:tcW w:w="1275" w:type="dxa"/>
            <w:tcBorders>
              <w:left w:val="nil"/>
              <w:bottom w:val="single" w:sz="4" w:space="0" w:color="auto"/>
              <w:right w:val="single" w:sz="4" w:space="0" w:color="auto"/>
            </w:tcBorders>
            <w:shd w:val="clear" w:color="auto" w:fill="C6D9F1" w:themeFill="text2" w:themeFillTint="33"/>
          </w:tcPr>
          <w:p w:rsidR="00B518A6" w:rsidRDefault="00247644" w:rsidP="00247644">
            <w:pPr>
              <w:bidi w:val="0"/>
              <w:jc w:val="center"/>
              <w:rPr>
                <w:rFonts w:asciiTheme="majorBidi" w:hAnsiTheme="majorBidi" w:cstheme="majorBidi"/>
                <w:sz w:val="20"/>
                <w:szCs w:val="20"/>
              </w:rPr>
            </w:pPr>
            <w:r>
              <w:rPr>
                <w:rFonts w:asciiTheme="majorBidi" w:hAnsiTheme="majorBidi" w:cstheme="majorBidi"/>
                <w:sz w:val="20"/>
                <w:szCs w:val="20"/>
              </w:rPr>
              <w:t>-4</w:t>
            </w:r>
            <w:r w:rsidR="00B518A6">
              <w:rPr>
                <w:rFonts w:asciiTheme="majorBidi" w:hAnsiTheme="majorBidi" w:cstheme="majorBidi"/>
                <w:sz w:val="20"/>
                <w:szCs w:val="20"/>
              </w:rPr>
              <w:t>.0</w:t>
            </w:r>
          </w:p>
        </w:tc>
        <w:tc>
          <w:tcPr>
            <w:tcW w:w="1134" w:type="dxa"/>
            <w:tcBorders>
              <w:left w:val="nil"/>
              <w:bottom w:val="single" w:sz="4" w:space="0" w:color="auto"/>
              <w:right w:val="single" w:sz="4" w:space="0" w:color="auto"/>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6.5</w:t>
            </w:r>
          </w:p>
        </w:tc>
      </w:tr>
      <w:tr w:rsidR="00B518A6" w:rsidRPr="007A4B17" w:rsidTr="00247644">
        <w:tc>
          <w:tcPr>
            <w:tcW w:w="4106" w:type="dxa"/>
            <w:tcBorders>
              <w:bottom w:val="single" w:sz="4" w:space="0" w:color="auto"/>
            </w:tcBorders>
            <w:vAlign w:val="bottom"/>
          </w:tcPr>
          <w:p w:rsidR="00B518A6" w:rsidRDefault="00B518A6" w:rsidP="00C53E1E">
            <w:pPr>
              <w:bidi w:val="0"/>
              <w:rPr>
                <w:sz w:val="20"/>
                <w:szCs w:val="20"/>
              </w:rPr>
            </w:pPr>
            <w:r>
              <w:rPr>
                <w:sz w:val="20"/>
                <w:szCs w:val="20"/>
              </w:rPr>
              <w:t>Public consumption (excl. defense imports)</w:t>
            </w:r>
          </w:p>
        </w:tc>
        <w:tc>
          <w:tcPr>
            <w:tcW w:w="851" w:type="dxa"/>
            <w:tcBorders>
              <w:bottom w:val="single" w:sz="4" w:space="0" w:color="auto"/>
              <w:right w:val="single" w:sz="4" w:space="0" w:color="auto"/>
            </w:tcBorders>
          </w:tcPr>
          <w:p w:rsidR="00B518A6" w:rsidRDefault="00B518A6" w:rsidP="00BC0E38">
            <w:pPr>
              <w:bidi w:val="0"/>
              <w:jc w:val="center"/>
              <w:rPr>
                <w:rFonts w:asciiTheme="majorBidi" w:hAnsiTheme="majorBidi" w:cstheme="majorBidi"/>
                <w:sz w:val="20"/>
                <w:szCs w:val="20"/>
              </w:rPr>
            </w:pPr>
            <w:r>
              <w:rPr>
                <w:rFonts w:asciiTheme="majorBidi" w:hAnsiTheme="majorBidi" w:cstheme="majorBidi"/>
                <w:sz w:val="20"/>
                <w:szCs w:val="20"/>
              </w:rPr>
              <w:t>1.4</w:t>
            </w:r>
          </w:p>
        </w:tc>
        <w:tc>
          <w:tcPr>
            <w:tcW w:w="1134" w:type="dxa"/>
            <w:tcBorders>
              <w:left w:val="single" w:sz="4" w:space="0" w:color="auto"/>
              <w:bottom w:val="single" w:sz="4" w:space="0" w:color="auto"/>
              <w:right w:val="nil"/>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9</w:t>
            </w:r>
            <w:r w:rsidR="00B518A6">
              <w:rPr>
                <w:rFonts w:asciiTheme="majorBidi" w:hAnsiTheme="majorBidi" w:cstheme="majorBidi"/>
                <w:sz w:val="20"/>
                <w:szCs w:val="20"/>
              </w:rPr>
              <w:t>.5</w:t>
            </w:r>
          </w:p>
        </w:tc>
        <w:tc>
          <w:tcPr>
            <w:tcW w:w="1275" w:type="dxa"/>
            <w:tcBorders>
              <w:left w:val="nil"/>
              <w:bottom w:val="single" w:sz="4" w:space="0" w:color="auto"/>
              <w:right w:val="single" w:sz="4" w:space="0" w:color="auto"/>
            </w:tcBorders>
            <w:shd w:val="clear" w:color="auto" w:fill="C6D9F1" w:themeFill="text2" w:themeFillTint="33"/>
            <w:vAlign w:val="bottom"/>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1</w:t>
            </w:r>
            <w:r w:rsidR="00B518A6">
              <w:rPr>
                <w:rFonts w:asciiTheme="majorBidi" w:hAnsiTheme="majorBidi" w:cstheme="majorBidi"/>
                <w:sz w:val="20"/>
                <w:szCs w:val="20"/>
              </w:rPr>
              <w:t>.0</w:t>
            </w:r>
          </w:p>
        </w:tc>
        <w:tc>
          <w:tcPr>
            <w:tcW w:w="993" w:type="dxa"/>
            <w:tcBorders>
              <w:left w:val="single" w:sz="4" w:space="0" w:color="auto"/>
              <w:bottom w:val="single" w:sz="4" w:space="0" w:color="auto"/>
              <w:right w:val="nil"/>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6</w:t>
            </w:r>
            <w:r w:rsidR="00B518A6">
              <w:rPr>
                <w:rFonts w:asciiTheme="majorBidi" w:hAnsiTheme="majorBidi" w:cstheme="majorBidi"/>
                <w:sz w:val="20"/>
                <w:szCs w:val="20"/>
              </w:rPr>
              <w:t>.5</w:t>
            </w:r>
          </w:p>
        </w:tc>
        <w:tc>
          <w:tcPr>
            <w:tcW w:w="1275" w:type="dxa"/>
            <w:tcBorders>
              <w:left w:val="nil"/>
              <w:bottom w:val="single" w:sz="4" w:space="0" w:color="auto"/>
              <w:right w:val="single" w:sz="4" w:space="0" w:color="auto"/>
            </w:tcBorders>
            <w:shd w:val="clear" w:color="auto" w:fill="C6D9F1" w:themeFill="text2" w:themeFillTint="33"/>
          </w:tcPr>
          <w:p w:rsidR="00B518A6" w:rsidRDefault="00B518A6" w:rsidP="00BC0E38">
            <w:pPr>
              <w:bidi w:val="0"/>
              <w:jc w:val="center"/>
              <w:rPr>
                <w:rFonts w:asciiTheme="majorBidi" w:hAnsiTheme="majorBidi" w:cstheme="majorBidi"/>
                <w:sz w:val="20"/>
                <w:szCs w:val="20"/>
              </w:rPr>
            </w:pPr>
            <w:r>
              <w:rPr>
                <w:rFonts w:asciiTheme="majorBidi" w:hAnsiTheme="majorBidi" w:cstheme="majorBidi"/>
                <w:sz w:val="20"/>
                <w:szCs w:val="20"/>
              </w:rPr>
              <w:t>5.0</w:t>
            </w:r>
          </w:p>
        </w:tc>
        <w:tc>
          <w:tcPr>
            <w:tcW w:w="1134" w:type="dxa"/>
            <w:tcBorders>
              <w:left w:val="nil"/>
              <w:bottom w:val="single" w:sz="4" w:space="0" w:color="auto"/>
              <w:right w:val="single" w:sz="4" w:space="0" w:color="auto"/>
            </w:tcBorders>
            <w:shd w:val="clear" w:color="auto" w:fill="auto"/>
          </w:tcPr>
          <w:p w:rsidR="00B518A6" w:rsidRDefault="00247644" w:rsidP="00BC0E38">
            <w:pPr>
              <w:bidi w:val="0"/>
              <w:jc w:val="center"/>
              <w:rPr>
                <w:rFonts w:asciiTheme="majorBidi" w:hAnsiTheme="majorBidi" w:cstheme="majorBidi"/>
                <w:sz w:val="20"/>
                <w:szCs w:val="20"/>
              </w:rPr>
            </w:pPr>
            <w:r>
              <w:rPr>
                <w:rFonts w:asciiTheme="majorBidi" w:hAnsiTheme="majorBidi" w:cstheme="majorBidi"/>
                <w:sz w:val="20"/>
                <w:szCs w:val="20"/>
              </w:rPr>
              <w:t>0.5</w:t>
            </w:r>
          </w:p>
        </w:tc>
      </w:tr>
      <w:tr w:rsidR="00B518A6" w:rsidRPr="007A4B17" w:rsidTr="00247644">
        <w:tc>
          <w:tcPr>
            <w:tcW w:w="4106" w:type="dxa"/>
            <w:tcBorders>
              <w:bottom w:val="single" w:sz="4" w:space="0" w:color="auto"/>
            </w:tcBorders>
            <w:vAlign w:val="bottom"/>
          </w:tcPr>
          <w:p w:rsidR="00B518A6" w:rsidRDefault="00B518A6" w:rsidP="00C53E1E">
            <w:pPr>
              <w:bidi w:val="0"/>
              <w:rPr>
                <w:sz w:val="20"/>
                <w:szCs w:val="20"/>
              </w:rPr>
            </w:pPr>
            <w:r>
              <w:rPr>
                <w:sz w:val="20"/>
                <w:szCs w:val="20"/>
              </w:rPr>
              <w:t>Exports (excl. diamonds and startups)</w:t>
            </w:r>
          </w:p>
        </w:tc>
        <w:tc>
          <w:tcPr>
            <w:tcW w:w="851" w:type="dxa"/>
            <w:tcBorders>
              <w:bottom w:val="single" w:sz="4" w:space="0" w:color="auto"/>
              <w:right w:val="single" w:sz="4" w:space="0" w:color="auto"/>
            </w:tcBorders>
          </w:tcPr>
          <w:p w:rsidR="00B518A6" w:rsidRDefault="00B518A6" w:rsidP="00BC0E38">
            <w:pPr>
              <w:bidi w:val="0"/>
              <w:jc w:val="center"/>
              <w:rPr>
                <w:rFonts w:asciiTheme="majorBidi" w:hAnsiTheme="majorBidi" w:cstheme="majorBidi"/>
                <w:sz w:val="20"/>
                <w:szCs w:val="20"/>
              </w:rPr>
            </w:pPr>
            <w:r>
              <w:rPr>
                <w:rFonts w:asciiTheme="majorBidi" w:hAnsiTheme="majorBidi" w:cstheme="majorBidi"/>
                <w:sz w:val="20"/>
                <w:szCs w:val="20"/>
              </w:rPr>
              <w:t>9.6</w:t>
            </w:r>
          </w:p>
        </w:tc>
        <w:tc>
          <w:tcPr>
            <w:tcW w:w="1134" w:type="dxa"/>
            <w:tcBorders>
              <w:left w:val="single" w:sz="4" w:space="0" w:color="auto"/>
              <w:bottom w:val="single" w:sz="4" w:space="0" w:color="auto"/>
              <w:right w:val="nil"/>
            </w:tcBorders>
            <w:shd w:val="clear" w:color="auto" w:fill="auto"/>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.0</w:t>
            </w:r>
          </w:p>
        </w:tc>
        <w:tc>
          <w:tcPr>
            <w:tcW w:w="1275" w:type="dxa"/>
            <w:tcBorders>
              <w:left w:val="nil"/>
              <w:bottom w:val="single" w:sz="4" w:space="0" w:color="auto"/>
              <w:right w:val="single" w:sz="4" w:space="0" w:color="auto"/>
            </w:tcBorders>
            <w:shd w:val="clear" w:color="auto" w:fill="C6D9F1" w:themeFill="text2" w:themeFillTint="33"/>
            <w:vAlign w:val="bottom"/>
          </w:tcPr>
          <w:p w:rsidR="00B518A6" w:rsidRDefault="00247644" w:rsidP="00247644">
            <w:pPr>
              <w:bidi w:val="0"/>
              <w:jc w:val="center"/>
              <w:rPr>
                <w:rFonts w:asciiTheme="majorBidi" w:hAnsiTheme="majorBidi" w:cstheme="majorBidi"/>
                <w:sz w:val="20"/>
                <w:szCs w:val="20"/>
              </w:rPr>
            </w:pPr>
            <w:r>
              <w:rPr>
                <w:rFonts w:asciiTheme="majorBidi" w:hAnsiTheme="majorBidi" w:cstheme="majorBidi"/>
                <w:sz w:val="20"/>
                <w:szCs w:val="20"/>
              </w:rPr>
              <w:t>-</w:t>
            </w:r>
            <w:r w:rsidR="00B518A6">
              <w:rPr>
                <w:rFonts w:asciiTheme="majorBidi" w:hAnsiTheme="majorBidi" w:cstheme="majorBidi"/>
                <w:sz w:val="20"/>
                <w:szCs w:val="20"/>
              </w:rPr>
              <w:t>1.</w:t>
            </w:r>
            <w:r>
              <w:rPr>
                <w:rFonts w:asciiTheme="majorBidi" w:hAnsiTheme="majorBidi" w:cstheme="majorBidi"/>
                <w:sz w:val="20"/>
                <w:szCs w:val="20"/>
              </w:rPr>
              <w:t>0</w:t>
            </w:r>
          </w:p>
        </w:tc>
        <w:tc>
          <w:tcPr>
            <w:tcW w:w="993" w:type="dxa"/>
            <w:tcBorders>
              <w:left w:val="single" w:sz="4" w:space="0" w:color="auto"/>
              <w:bottom w:val="single" w:sz="4" w:space="0" w:color="auto"/>
              <w:right w:val="nil"/>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0</w:t>
            </w:r>
            <w:r w:rsidR="00B518A6">
              <w:rPr>
                <w:rFonts w:asciiTheme="majorBidi" w:hAnsiTheme="majorBidi" w:cstheme="majorBidi"/>
                <w:sz w:val="20"/>
                <w:szCs w:val="20"/>
              </w:rPr>
              <w:t>.5</w:t>
            </w:r>
          </w:p>
        </w:tc>
        <w:tc>
          <w:tcPr>
            <w:tcW w:w="1275" w:type="dxa"/>
            <w:tcBorders>
              <w:left w:val="nil"/>
              <w:bottom w:val="single" w:sz="4" w:space="0" w:color="auto"/>
              <w:right w:val="single" w:sz="4" w:space="0" w:color="auto"/>
            </w:tcBorders>
            <w:shd w:val="clear" w:color="auto" w:fill="C6D9F1" w:themeFill="text2" w:themeFillTint="33"/>
          </w:tcPr>
          <w:p w:rsidR="00B518A6" w:rsidRDefault="00B518A6" w:rsidP="00247644">
            <w:pPr>
              <w:bidi w:val="0"/>
              <w:jc w:val="center"/>
              <w:rPr>
                <w:rFonts w:asciiTheme="majorBidi" w:hAnsiTheme="majorBidi" w:cstheme="majorBidi"/>
                <w:sz w:val="20"/>
                <w:szCs w:val="20"/>
              </w:rPr>
            </w:pPr>
            <w:r>
              <w:rPr>
                <w:rFonts w:asciiTheme="majorBidi" w:hAnsiTheme="majorBidi" w:cstheme="majorBidi"/>
                <w:sz w:val="20"/>
                <w:szCs w:val="20"/>
              </w:rPr>
              <w:t>-</w:t>
            </w:r>
            <w:r w:rsidR="00247644">
              <w:rPr>
                <w:rFonts w:asciiTheme="majorBidi" w:hAnsiTheme="majorBidi" w:cstheme="majorBidi"/>
                <w:sz w:val="20"/>
                <w:szCs w:val="20"/>
              </w:rPr>
              <w:t>1.0</w:t>
            </w:r>
          </w:p>
        </w:tc>
        <w:tc>
          <w:tcPr>
            <w:tcW w:w="1134" w:type="dxa"/>
            <w:tcBorders>
              <w:left w:val="nil"/>
              <w:bottom w:val="single" w:sz="4" w:space="0" w:color="auto"/>
              <w:right w:val="single" w:sz="4" w:space="0" w:color="auto"/>
            </w:tcBorders>
            <w:shd w:val="clear" w:color="auto" w:fill="auto"/>
          </w:tcPr>
          <w:p w:rsidR="00B518A6" w:rsidRDefault="00247644" w:rsidP="00BC0E38">
            <w:pPr>
              <w:bidi w:val="0"/>
              <w:jc w:val="center"/>
              <w:rPr>
                <w:rFonts w:asciiTheme="majorBidi" w:hAnsiTheme="majorBidi" w:cstheme="majorBidi"/>
                <w:sz w:val="20"/>
                <w:szCs w:val="20"/>
              </w:rPr>
            </w:pPr>
            <w:r>
              <w:rPr>
                <w:rFonts w:asciiTheme="majorBidi" w:hAnsiTheme="majorBidi" w:cstheme="majorBidi"/>
                <w:sz w:val="20"/>
                <w:szCs w:val="20"/>
              </w:rPr>
              <w:t>5.0</w:t>
            </w:r>
          </w:p>
        </w:tc>
      </w:tr>
      <w:tr w:rsidR="00B518A6" w:rsidRPr="007A4B17" w:rsidTr="00247644">
        <w:tc>
          <w:tcPr>
            <w:tcW w:w="4106" w:type="dxa"/>
            <w:tcBorders>
              <w:bottom w:val="nil"/>
            </w:tcBorders>
            <w:vAlign w:val="bottom"/>
          </w:tcPr>
          <w:p w:rsidR="00B518A6" w:rsidRPr="00A50C95" w:rsidRDefault="00B518A6" w:rsidP="00C53E1E">
            <w:pPr>
              <w:bidi w:val="0"/>
              <w:rPr>
                <w:sz w:val="20"/>
                <w:szCs w:val="20"/>
              </w:rPr>
            </w:pPr>
            <w:r>
              <w:rPr>
                <w:sz w:val="20"/>
                <w:szCs w:val="20"/>
              </w:rPr>
              <w:t>Civilian imports (excl. diamonds, ships, and aircraft)</w:t>
            </w:r>
          </w:p>
        </w:tc>
        <w:tc>
          <w:tcPr>
            <w:tcW w:w="851" w:type="dxa"/>
            <w:tcBorders>
              <w:bottom w:val="single" w:sz="4" w:space="0" w:color="auto"/>
              <w:right w:val="single" w:sz="4" w:space="0" w:color="auto"/>
            </w:tcBorders>
          </w:tcPr>
          <w:p w:rsidR="00B518A6" w:rsidRPr="00A50C95" w:rsidRDefault="00B518A6" w:rsidP="00BC0E38">
            <w:pPr>
              <w:bidi w:val="0"/>
              <w:jc w:val="center"/>
              <w:rPr>
                <w:rFonts w:asciiTheme="majorBidi" w:hAnsiTheme="majorBidi" w:cstheme="majorBidi"/>
                <w:sz w:val="20"/>
                <w:szCs w:val="20"/>
              </w:rPr>
            </w:pPr>
            <w:r>
              <w:rPr>
                <w:rFonts w:asciiTheme="majorBidi" w:hAnsiTheme="majorBidi" w:cstheme="majorBidi"/>
                <w:sz w:val="20"/>
                <w:szCs w:val="20"/>
              </w:rPr>
              <w:t>12.7</w:t>
            </w:r>
          </w:p>
        </w:tc>
        <w:tc>
          <w:tcPr>
            <w:tcW w:w="1134" w:type="dxa"/>
            <w:tcBorders>
              <w:left w:val="single" w:sz="4" w:space="0" w:color="auto"/>
              <w:bottom w:val="nil"/>
              <w:right w:val="nil"/>
            </w:tcBorders>
            <w:shd w:val="clear" w:color="auto" w:fill="auto"/>
          </w:tcPr>
          <w:p w:rsidR="00B518A6" w:rsidRPr="003C7BEB" w:rsidRDefault="00B518A6" w:rsidP="00247644">
            <w:pPr>
              <w:bidi w:val="0"/>
              <w:jc w:val="center"/>
              <w:rPr>
                <w:rFonts w:asciiTheme="majorBidi" w:hAnsiTheme="majorBidi" w:cstheme="majorBidi"/>
                <w:sz w:val="20"/>
                <w:szCs w:val="20"/>
              </w:rPr>
            </w:pPr>
            <w:r>
              <w:rPr>
                <w:rFonts w:asciiTheme="majorBidi" w:hAnsiTheme="majorBidi" w:cstheme="majorBidi"/>
                <w:sz w:val="20"/>
                <w:szCs w:val="20"/>
              </w:rPr>
              <w:t>-</w:t>
            </w:r>
            <w:r w:rsidR="00247644">
              <w:rPr>
                <w:rFonts w:asciiTheme="majorBidi" w:hAnsiTheme="majorBidi" w:cstheme="majorBidi"/>
                <w:sz w:val="20"/>
                <w:szCs w:val="20"/>
              </w:rPr>
              <w:t>5.5</w:t>
            </w:r>
          </w:p>
        </w:tc>
        <w:tc>
          <w:tcPr>
            <w:tcW w:w="1275" w:type="dxa"/>
            <w:tcBorders>
              <w:left w:val="nil"/>
              <w:bottom w:val="single" w:sz="4" w:space="0" w:color="auto"/>
              <w:right w:val="single" w:sz="4" w:space="0" w:color="auto"/>
            </w:tcBorders>
            <w:shd w:val="clear" w:color="auto" w:fill="C6D9F1" w:themeFill="text2" w:themeFillTint="33"/>
            <w:vAlign w:val="bottom"/>
          </w:tcPr>
          <w:p w:rsidR="00B518A6" w:rsidRPr="003C7BEB" w:rsidRDefault="00247644" w:rsidP="00247644">
            <w:pPr>
              <w:bidi w:val="0"/>
              <w:jc w:val="center"/>
              <w:rPr>
                <w:rFonts w:asciiTheme="majorBidi" w:hAnsiTheme="majorBidi" w:cstheme="majorBidi"/>
                <w:sz w:val="20"/>
                <w:szCs w:val="20"/>
              </w:rPr>
            </w:pPr>
            <w:r>
              <w:rPr>
                <w:rFonts w:asciiTheme="majorBidi" w:hAnsiTheme="majorBidi" w:cstheme="majorBidi"/>
                <w:sz w:val="20"/>
                <w:szCs w:val="20"/>
              </w:rPr>
              <w:t>-2.5</w:t>
            </w:r>
          </w:p>
        </w:tc>
        <w:tc>
          <w:tcPr>
            <w:tcW w:w="993" w:type="dxa"/>
            <w:tcBorders>
              <w:left w:val="single" w:sz="4" w:space="0" w:color="auto"/>
              <w:bottom w:val="nil"/>
              <w:right w:val="nil"/>
            </w:tcBorders>
            <w:shd w:val="clear" w:color="auto" w:fill="auto"/>
          </w:tcPr>
          <w:p w:rsidR="00B518A6" w:rsidRPr="003C7BEB" w:rsidRDefault="00247644" w:rsidP="00247644">
            <w:pPr>
              <w:bidi w:val="0"/>
              <w:jc w:val="center"/>
              <w:rPr>
                <w:rFonts w:asciiTheme="majorBidi" w:hAnsiTheme="majorBidi" w:cstheme="majorBidi"/>
                <w:sz w:val="20"/>
                <w:szCs w:val="20"/>
              </w:rPr>
            </w:pPr>
            <w:r>
              <w:rPr>
                <w:rFonts w:asciiTheme="majorBidi" w:hAnsiTheme="majorBidi" w:cstheme="majorBidi"/>
                <w:sz w:val="20"/>
                <w:szCs w:val="20"/>
              </w:rPr>
              <w:t>-4</w:t>
            </w:r>
            <w:r w:rsidR="00B518A6">
              <w:rPr>
                <w:rFonts w:asciiTheme="majorBidi" w:hAnsiTheme="majorBidi" w:cstheme="majorBidi"/>
                <w:sz w:val="20"/>
                <w:szCs w:val="20"/>
              </w:rPr>
              <w:t>.0</w:t>
            </w:r>
          </w:p>
        </w:tc>
        <w:tc>
          <w:tcPr>
            <w:tcW w:w="1275" w:type="dxa"/>
            <w:tcBorders>
              <w:left w:val="nil"/>
              <w:bottom w:val="single" w:sz="4" w:space="0" w:color="auto"/>
              <w:right w:val="single" w:sz="4" w:space="0" w:color="auto"/>
            </w:tcBorders>
            <w:shd w:val="clear" w:color="auto" w:fill="C6D9F1" w:themeFill="text2" w:themeFillTint="33"/>
          </w:tcPr>
          <w:p w:rsidR="00B518A6" w:rsidRDefault="00B518A6" w:rsidP="00247644">
            <w:pPr>
              <w:bidi w:val="0"/>
              <w:jc w:val="center"/>
              <w:rPr>
                <w:rFonts w:asciiTheme="majorBidi" w:hAnsiTheme="majorBidi" w:cstheme="majorBidi"/>
                <w:sz w:val="20"/>
                <w:szCs w:val="20"/>
              </w:rPr>
            </w:pPr>
            <w:r>
              <w:rPr>
                <w:rFonts w:asciiTheme="majorBidi" w:hAnsiTheme="majorBidi" w:cstheme="majorBidi"/>
                <w:sz w:val="20"/>
                <w:szCs w:val="20"/>
              </w:rPr>
              <w:t>-</w:t>
            </w:r>
            <w:r w:rsidR="00247644">
              <w:rPr>
                <w:rFonts w:asciiTheme="majorBidi" w:hAnsiTheme="majorBidi" w:cstheme="majorBidi"/>
                <w:sz w:val="20"/>
                <w:szCs w:val="20"/>
              </w:rPr>
              <w:t>5</w:t>
            </w:r>
            <w:r>
              <w:rPr>
                <w:rFonts w:asciiTheme="majorBidi" w:hAnsiTheme="majorBidi" w:cstheme="majorBidi"/>
                <w:sz w:val="20"/>
                <w:szCs w:val="20"/>
              </w:rPr>
              <w:t>.0</w:t>
            </w:r>
          </w:p>
        </w:tc>
        <w:tc>
          <w:tcPr>
            <w:tcW w:w="1134" w:type="dxa"/>
            <w:tcBorders>
              <w:left w:val="nil"/>
              <w:bottom w:val="single" w:sz="4" w:space="0" w:color="auto"/>
              <w:right w:val="single" w:sz="4" w:space="0" w:color="auto"/>
            </w:tcBorders>
            <w:shd w:val="clear" w:color="auto" w:fill="auto"/>
          </w:tcPr>
          <w:p w:rsidR="00B518A6" w:rsidRDefault="00247644" w:rsidP="00BC0E38">
            <w:pPr>
              <w:bidi w:val="0"/>
              <w:jc w:val="center"/>
              <w:rPr>
                <w:rFonts w:asciiTheme="majorBidi" w:hAnsiTheme="majorBidi" w:cstheme="majorBidi"/>
                <w:sz w:val="20"/>
                <w:szCs w:val="20"/>
              </w:rPr>
            </w:pPr>
            <w:r>
              <w:rPr>
                <w:rFonts w:asciiTheme="majorBidi" w:hAnsiTheme="majorBidi" w:cstheme="majorBidi"/>
                <w:sz w:val="20"/>
                <w:szCs w:val="20"/>
              </w:rPr>
              <w:t>9.5</w:t>
            </w:r>
          </w:p>
        </w:tc>
      </w:tr>
      <w:tr w:rsidR="00247644" w:rsidRPr="007A4B17" w:rsidTr="00247644">
        <w:tc>
          <w:tcPr>
            <w:tcW w:w="4106" w:type="dxa"/>
            <w:tcBorders>
              <w:top w:val="single" w:sz="4" w:space="0" w:color="auto"/>
              <w:bottom w:val="single" w:sz="4" w:space="0" w:color="auto"/>
            </w:tcBorders>
            <w:vAlign w:val="bottom"/>
          </w:tcPr>
          <w:p w:rsidR="00247644" w:rsidRDefault="00247644" w:rsidP="00C53E1E">
            <w:pPr>
              <w:bidi w:val="0"/>
              <w:rPr>
                <w:sz w:val="20"/>
                <w:szCs w:val="20"/>
              </w:rPr>
            </w:pPr>
            <w:r>
              <w:rPr>
                <w:sz w:val="20"/>
                <w:szCs w:val="20"/>
              </w:rPr>
              <w:t>GDP diversion from the pre-COVID trend, average during the year (percent)</w:t>
            </w:r>
          </w:p>
        </w:tc>
        <w:tc>
          <w:tcPr>
            <w:tcW w:w="851" w:type="dxa"/>
            <w:tcBorders>
              <w:top w:val="single" w:sz="4" w:space="0" w:color="auto"/>
              <w:bottom w:val="single" w:sz="4" w:space="0" w:color="auto"/>
              <w:right w:val="single" w:sz="4" w:space="0" w:color="auto"/>
            </w:tcBorders>
          </w:tcPr>
          <w:p w:rsidR="00247644"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2.4</w:t>
            </w:r>
          </w:p>
        </w:tc>
        <w:tc>
          <w:tcPr>
            <w:tcW w:w="1134" w:type="dxa"/>
            <w:tcBorders>
              <w:top w:val="single" w:sz="4" w:space="0" w:color="auto"/>
              <w:left w:val="single" w:sz="4" w:space="0" w:color="auto"/>
              <w:bottom w:val="single" w:sz="4" w:space="0" w:color="auto"/>
              <w:right w:val="nil"/>
            </w:tcBorders>
            <w:shd w:val="clear" w:color="auto" w:fill="auto"/>
          </w:tcPr>
          <w:p w:rsidR="00247644"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0.7</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247644" w:rsidRDefault="00247644" w:rsidP="00763A43">
            <w:pPr>
              <w:bidi w:val="0"/>
              <w:jc w:val="center"/>
              <w:rPr>
                <w:rFonts w:asciiTheme="majorBidi" w:hAnsiTheme="majorBidi" w:cstheme="majorBidi"/>
                <w:sz w:val="20"/>
                <w:szCs w:val="20"/>
              </w:rPr>
            </w:pPr>
          </w:p>
        </w:tc>
        <w:tc>
          <w:tcPr>
            <w:tcW w:w="993" w:type="dxa"/>
            <w:tcBorders>
              <w:top w:val="single" w:sz="4" w:space="0" w:color="auto"/>
              <w:left w:val="single" w:sz="4" w:space="0" w:color="auto"/>
              <w:bottom w:val="single" w:sz="4" w:space="0" w:color="auto"/>
              <w:right w:val="nil"/>
            </w:tcBorders>
            <w:shd w:val="clear" w:color="auto" w:fill="auto"/>
          </w:tcPr>
          <w:p w:rsidR="00247644" w:rsidRDefault="00247644" w:rsidP="005049F9">
            <w:pPr>
              <w:bidi w:val="0"/>
              <w:jc w:val="center"/>
              <w:rPr>
                <w:rFonts w:asciiTheme="majorBidi" w:hAnsiTheme="majorBidi" w:cstheme="majorBidi"/>
                <w:sz w:val="20"/>
                <w:szCs w:val="20"/>
              </w:rPr>
            </w:pPr>
            <w:r>
              <w:rPr>
                <w:rFonts w:asciiTheme="majorBidi" w:hAnsiTheme="majorBidi" w:cstheme="majorBidi"/>
                <w:sz w:val="20"/>
                <w:szCs w:val="20"/>
              </w:rPr>
              <w:t>-1.3</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247644" w:rsidRDefault="00247644" w:rsidP="00C53E1E">
            <w:pPr>
              <w:bidi w:val="0"/>
              <w:jc w:val="center"/>
              <w:rPr>
                <w:rFonts w:asciiTheme="majorBidi" w:hAnsiTheme="majorBidi" w:cstheme="majorBidi"/>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247644"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-0.3</w:t>
            </w:r>
          </w:p>
        </w:tc>
      </w:tr>
      <w:tr w:rsidR="00B518A6" w:rsidRPr="007A4B17" w:rsidTr="00247644">
        <w:tc>
          <w:tcPr>
            <w:tcW w:w="4106" w:type="dxa"/>
            <w:tcBorders>
              <w:top w:val="single" w:sz="4" w:space="0" w:color="auto"/>
              <w:bottom w:val="single" w:sz="4" w:space="0" w:color="auto"/>
            </w:tcBorders>
            <w:vAlign w:val="bottom"/>
          </w:tcPr>
          <w:p w:rsidR="00B518A6" w:rsidRPr="00BC0E38" w:rsidRDefault="00B518A6" w:rsidP="00C53E1E">
            <w:pPr>
              <w:bidi w:val="0"/>
              <w:rPr>
                <w:sz w:val="20"/>
                <w:szCs w:val="20"/>
                <w:vertAlign w:val="superscript"/>
              </w:rPr>
            </w:pPr>
            <w:r>
              <w:rPr>
                <w:sz w:val="20"/>
                <w:szCs w:val="20"/>
              </w:rPr>
              <w:t>Broad unemployment rate (average for the year, ages 25–64)</w:t>
            </w:r>
            <w:r>
              <w:rPr>
                <w:sz w:val="20"/>
                <w:szCs w:val="20"/>
                <w:vertAlign w:val="superscript"/>
              </w:rPr>
              <w:t>b</w:t>
            </w:r>
          </w:p>
        </w:tc>
        <w:tc>
          <w:tcPr>
            <w:tcW w:w="851" w:type="dxa"/>
            <w:tcBorders>
              <w:top w:val="single" w:sz="4" w:space="0" w:color="auto"/>
              <w:bottom w:val="single" w:sz="4" w:space="0" w:color="auto"/>
              <w:right w:val="single" w:sz="4" w:space="0" w:color="auto"/>
            </w:tcBorders>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3.6</w:t>
            </w:r>
          </w:p>
        </w:tc>
        <w:tc>
          <w:tcPr>
            <w:tcW w:w="1134" w:type="dxa"/>
            <w:tcBorders>
              <w:top w:val="single" w:sz="4" w:space="0" w:color="auto"/>
              <w:left w:val="single" w:sz="4" w:space="0" w:color="auto"/>
              <w:bottom w:val="single" w:sz="4" w:space="0" w:color="auto"/>
              <w:right w:val="nil"/>
            </w:tcBorders>
            <w:shd w:val="clear" w:color="auto" w:fill="auto"/>
          </w:tcPr>
          <w:p w:rsidR="00B518A6" w:rsidRPr="00761C27"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4.5</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B518A6" w:rsidRDefault="00247644" w:rsidP="00763A43">
            <w:pPr>
              <w:bidi w:val="0"/>
              <w:jc w:val="center"/>
              <w:rPr>
                <w:rFonts w:asciiTheme="majorBidi" w:hAnsiTheme="majorBidi" w:cstheme="majorBidi"/>
                <w:sz w:val="20"/>
                <w:szCs w:val="20"/>
              </w:rPr>
            </w:pPr>
            <w:r>
              <w:rPr>
                <w:rFonts w:asciiTheme="majorBidi" w:hAnsiTheme="majorBidi" w:cstheme="majorBidi"/>
                <w:sz w:val="20"/>
                <w:szCs w:val="20"/>
              </w:rPr>
              <w:t>0.2</w:t>
            </w:r>
          </w:p>
        </w:tc>
        <w:tc>
          <w:tcPr>
            <w:tcW w:w="993" w:type="dxa"/>
            <w:tcBorders>
              <w:top w:val="single" w:sz="4" w:space="0" w:color="auto"/>
              <w:left w:val="single" w:sz="4" w:space="0" w:color="auto"/>
              <w:bottom w:val="single" w:sz="4" w:space="0" w:color="auto"/>
              <w:right w:val="nil"/>
            </w:tcBorders>
            <w:shd w:val="clear" w:color="auto" w:fill="auto"/>
          </w:tcPr>
          <w:p w:rsidR="00B518A6" w:rsidRPr="00761C27" w:rsidRDefault="00247644" w:rsidP="005049F9">
            <w:pPr>
              <w:bidi w:val="0"/>
              <w:jc w:val="center"/>
              <w:rPr>
                <w:rFonts w:asciiTheme="majorBidi" w:hAnsiTheme="majorBidi" w:cstheme="majorBidi"/>
                <w:sz w:val="20"/>
                <w:szCs w:val="20"/>
              </w:rPr>
            </w:pPr>
            <w:r>
              <w:rPr>
                <w:rFonts w:asciiTheme="majorBidi" w:hAnsiTheme="majorBidi" w:cstheme="majorBidi"/>
                <w:sz w:val="20"/>
                <w:szCs w:val="20"/>
              </w:rPr>
              <w:t>5.3</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0.8</w:t>
            </w:r>
          </w:p>
        </w:tc>
        <w:tc>
          <w:tcPr>
            <w:tcW w:w="1134" w:type="dxa"/>
            <w:tcBorders>
              <w:top w:val="single" w:sz="4" w:space="0" w:color="auto"/>
              <w:left w:val="nil"/>
              <w:bottom w:val="single" w:sz="4" w:space="0" w:color="auto"/>
              <w:right w:val="single" w:sz="4" w:space="0" w:color="auto"/>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3.2</w:t>
            </w:r>
          </w:p>
        </w:tc>
      </w:tr>
      <w:tr w:rsidR="00B518A6" w:rsidRPr="007A4B17" w:rsidTr="00247644">
        <w:tc>
          <w:tcPr>
            <w:tcW w:w="4106" w:type="dxa"/>
            <w:tcBorders>
              <w:top w:val="single" w:sz="4" w:space="0" w:color="auto"/>
              <w:bottom w:val="single" w:sz="4" w:space="0" w:color="auto"/>
            </w:tcBorders>
            <w:vAlign w:val="bottom"/>
          </w:tcPr>
          <w:p w:rsidR="00B518A6" w:rsidRDefault="00B518A6" w:rsidP="00C53E1E">
            <w:pPr>
              <w:bidi w:val="0"/>
              <w:rPr>
                <w:sz w:val="20"/>
                <w:szCs w:val="20"/>
              </w:rPr>
            </w:pPr>
            <w:r>
              <w:rPr>
                <w:sz w:val="20"/>
                <w:szCs w:val="20"/>
              </w:rPr>
              <w:t>Adjusted employment rate (average for the year, ages 25–64)</w:t>
            </w:r>
            <w:r w:rsidRPr="00BC0E38">
              <w:rPr>
                <w:sz w:val="20"/>
                <w:szCs w:val="20"/>
                <w:vertAlign w:val="superscript"/>
              </w:rPr>
              <w:t>b</w:t>
            </w:r>
          </w:p>
        </w:tc>
        <w:tc>
          <w:tcPr>
            <w:tcW w:w="851" w:type="dxa"/>
            <w:tcBorders>
              <w:top w:val="single" w:sz="4" w:space="0" w:color="auto"/>
              <w:bottom w:val="single" w:sz="4" w:space="0" w:color="auto"/>
              <w:right w:val="single" w:sz="4" w:space="0" w:color="auto"/>
            </w:tcBorders>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78.3</w:t>
            </w:r>
          </w:p>
        </w:tc>
        <w:tc>
          <w:tcPr>
            <w:tcW w:w="1134" w:type="dxa"/>
            <w:tcBorders>
              <w:top w:val="single" w:sz="4" w:space="0" w:color="auto"/>
              <w:left w:val="single" w:sz="4" w:space="0" w:color="auto"/>
              <w:bottom w:val="single" w:sz="4" w:space="0" w:color="auto"/>
              <w:right w:val="nil"/>
            </w:tcBorders>
            <w:shd w:val="clear" w:color="auto" w:fill="auto"/>
          </w:tcPr>
          <w:p w:rsidR="00B518A6" w:rsidRPr="00761C27"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77.7</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B518A6" w:rsidRDefault="00B518A6" w:rsidP="00763A43">
            <w:pPr>
              <w:bidi w:val="0"/>
              <w:jc w:val="center"/>
              <w:rPr>
                <w:rFonts w:asciiTheme="majorBidi" w:hAnsiTheme="majorBidi" w:cstheme="majorBidi"/>
                <w:sz w:val="20"/>
                <w:szCs w:val="20"/>
              </w:rPr>
            </w:pPr>
            <w:r>
              <w:rPr>
                <w:rFonts w:asciiTheme="majorBidi" w:hAnsiTheme="majorBidi" w:cstheme="majorBidi"/>
                <w:sz w:val="20"/>
                <w:szCs w:val="20"/>
              </w:rPr>
              <w:t>-</w:t>
            </w:r>
            <w:r w:rsidR="00247644">
              <w:rPr>
                <w:rFonts w:asciiTheme="majorBidi" w:hAnsiTheme="majorBidi" w:cstheme="majorBidi"/>
                <w:sz w:val="20"/>
                <w:szCs w:val="20"/>
              </w:rPr>
              <w:t>0.4</w:t>
            </w:r>
          </w:p>
        </w:tc>
        <w:tc>
          <w:tcPr>
            <w:tcW w:w="993" w:type="dxa"/>
            <w:tcBorders>
              <w:top w:val="single" w:sz="4" w:space="0" w:color="auto"/>
              <w:left w:val="single" w:sz="4" w:space="0" w:color="auto"/>
              <w:bottom w:val="single" w:sz="4" w:space="0" w:color="auto"/>
              <w:right w:val="nil"/>
            </w:tcBorders>
            <w:shd w:val="clear" w:color="auto" w:fill="auto"/>
          </w:tcPr>
          <w:p w:rsidR="00B518A6" w:rsidRPr="00761C27" w:rsidRDefault="00B518A6" w:rsidP="00247644">
            <w:pPr>
              <w:bidi w:val="0"/>
              <w:jc w:val="center"/>
              <w:rPr>
                <w:rFonts w:asciiTheme="majorBidi" w:hAnsiTheme="majorBidi" w:cstheme="majorBidi"/>
                <w:sz w:val="20"/>
                <w:szCs w:val="20"/>
              </w:rPr>
            </w:pPr>
            <w:r>
              <w:rPr>
                <w:rFonts w:asciiTheme="majorBidi" w:hAnsiTheme="majorBidi" w:cstheme="majorBidi"/>
                <w:sz w:val="20"/>
                <w:szCs w:val="20"/>
              </w:rPr>
              <w:t>7</w:t>
            </w:r>
            <w:r w:rsidR="00247644">
              <w:rPr>
                <w:rFonts w:asciiTheme="majorBidi" w:hAnsiTheme="majorBidi" w:cstheme="majorBidi"/>
                <w:sz w:val="20"/>
                <w:szCs w:val="20"/>
              </w:rPr>
              <w:t>6</w:t>
            </w:r>
            <w:r>
              <w:rPr>
                <w:rFonts w:asciiTheme="majorBidi" w:hAnsiTheme="majorBidi" w:cstheme="majorBidi"/>
                <w:sz w:val="20"/>
                <w:szCs w:val="20"/>
              </w:rPr>
              <w:t>.</w:t>
            </w:r>
            <w:r w:rsidR="00247644">
              <w:rPr>
                <w:rFonts w:asciiTheme="majorBidi" w:hAnsiTheme="majorBidi" w:cstheme="majorBidi"/>
                <w:sz w:val="20"/>
                <w:szCs w:val="20"/>
              </w:rPr>
              <w:t>7</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w:t>
            </w:r>
            <w:r w:rsidR="00247644">
              <w:rPr>
                <w:rFonts w:asciiTheme="majorBidi" w:hAnsiTheme="majorBidi" w:cstheme="majorBidi"/>
                <w:sz w:val="20"/>
                <w:szCs w:val="20"/>
              </w:rPr>
              <w:t>0.9</w:t>
            </w:r>
          </w:p>
        </w:tc>
        <w:tc>
          <w:tcPr>
            <w:tcW w:w="1134" w:type="dxa"/>
            <w:tcBorders>
              <w:top w:val="single" w:sz="4" w:space="0" w:color="auto"/>
              <w:left w:val="nil"/>
              <w:bottom w:val="single" w:sz="4" w:space="0" w:color="auto"/>
              <w:right w:val="single" w:sz="4" w:space="0" w:color="auto"/>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78.7</w:t>
            </w:r>
          </w:p>
        </w:tc>
      </w:tr>
      <w:tr w:rsidR="00B518A6" w:rsidRPr="007A4B17" w:rsidTr="00247644">
        <w:tc>
          <w:tcPr>
            <w:tcW w:w="4106" w:type="dxa"/>
            <w:tcBorders>
              <w:top w:val="single" w:sz="4" w:space="0" w:color="auto"/>
              <w:bottom w:val="single" w:sz="4" w:space="0" w:color="auto"/>
            </w:tcBorders>
            <w:vAlign w:val="bottom"/>
          </w:tcPr>
          <w:p w:rsidR="00B518A6" w:rsidRPr="00A50C95" w:rsidRDefault="00B518A6" w:rsidP="00C53E1E">
            <w:pPr>
              <w:bidi w:val="0"/>
              <w:rPr>
                <w:sz w:val="20"/>
                <w:szCs w:val="20"/>
              </w:rPr>
            </w:pPr>
            <w:r>
              <w:rPr>
                <w:sz w:val="20"/>
                <w:szCs w:val="20"/>
              </w:rPr>
              <w:t>Government deficit (percent of GDP)</w:t>
            </w:r>
          </w:p>
        </w:tc>
        <w:tc>
          <w:tcPr>
            <w:tcW w:w="851" w:type="dxa"/>
            <w:tcBorders>
              <w:top w:val="single" w:sz="4" w:space="0" w:color="auto"/>
              <w:bottom w:val="single" w:sz="4" w:space="0" w:color="auto"/>
              <w:right w:val="single" w:sz="4" w:space="0" w:color="auto"/>
            </w:tcBorders>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-0.6</w:t>
            </w:r>
          </w:p>
        </w:tc>
        <w:tc>
          <w:tcPr>
            <w:tcW w:w="1134" w:type="dxa"/>
            <w:tcBorders>
              <w:top w:val="single" w:sz="4" w:space="0" w:color="auto"/>
              <w:left w:val="single" w:sz="4" w:space="0" w:color="auto"/>
              <w:bottom w:val="single" w:sz="4" w:space="0" w:color="auto"/>
              <w:right w:val="nil"/>
            </w:tcBorders>
            <w:shd w:val="clear" w:color="auto" w:fill="auto"/>
          </w:tcPr>
          <w:p w:rsidR="00B518A6" w:rsidRPr="00761C27" w:rsidRDefault="00247644" w:rsidP="00517AA1">
            <w:pPr>
              <w:bidi w:val="0"/>
              <w:jc w:val="center"/>
              <w:rPr>
                <w:rFonts w:asciiTheme="majorBidi" w:hAnsiTheme="majorBidi" w:cstheme="majorBidi"/>
                <w:sz w:val="20"/>
                <w:szCs w:val="20"/>
              </w:rPr>
            </w:pPr>
            <w:r>
              <w:rPr>
                <w:rFonts w:asciiTheme="majorBidi" w:hAnsiTheme="majorBidi" w:cstheme="majorBidi"/>
                <w:sz w:val="20"/>
                <w:szCs w:val="20"/>
              </w:rPr>
              <w:t>4.0</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bottom"/>
          </w:tcPr>
          <w:p w:rsidR="00B518A6" w:rsidRPr="00761C27" w:rsidRDefault="00247644" w:rsidP="00517AA1">
            <w:pPr>
              <w:bidi w:val="0"/>
              <w:jc w:val="center"/>
              <w:rPr>
                <w:rFonts w:asciiTheme="majorBidi" w:hAnsiTheme="majorBidi" w:cstheme="majorBidi"/>
                <w:sz w:val="20"/>
                <w:szCs w:val="20"/>
              </w:rPr>
            </w:pPr>
            <w:r>
              <w:rPr>
                <w:rFonts w:asciiTheme="majorBidi" w:hAnsiTheme="majorBidi" w:cstheme="majorBidi"/>
                <w:sz w:val="20"/>
                <w:szCs w:val="20"/>
              </w:rPr>
              <w:t>0.3</w:t>
            </w:r>
          </w:p>
        </w:tc>
        <w:tc>
          <w:tcPr>
            <w:tcW w:w="993" w:type="dxa"/>
            <w:tcBorders>
              <w:top w:val="single" w:sz="4" w:space="0" w:color="auto"/>
              <w:left w:val="single" w:sz="4" w:space="0" w:color="auto"/>
              <w:bottom w:val="single" w:sz="4" w:space="0" w:color="auto"/>
              <w:right w:val="nil"/>
            </w:tcBorders>
            <w:shd w:val="clear" w:color="auto" w:fill="auto"/>
          </w:tcPr>
          <w:p w:rsidR="00B518A6" w:rsidRPr="00761C27" w:rsidRDefault="00247644" w:rsidP="00517AA1">
            <w:pPr>
              <w:bidi w:val="0"/>
              <w:jc w:val="center"/>
              <w:rPr>
                <w:rFonts w:asciiTheme="majorBidi" w:hAnsiTheme="majorBidi" w:cstheme="majorBidi"/>
                <w:sz w:val="20"/>
                <w:szCs w:val="20"/>
              </w:rPr>
            </w:pPr>
            <w:r>
              <w:rPr>
                <w:rFonts w:asciiTheme="majorBidi" w:hAnsiTheme="majorBidi" w:cstheme="majorBidi"/>
                <w:sz w:val="20"/>
                <w:szCs w:val="20"/>
              </w:rPr>
              <w:t>5</w:t>
            </w:r>
            <w:r w:rsidR="00B518A6" w:rsidRPr="00761C27">
              <w:rPr>
                <w:rFonts w:asciiTheme="majorBidi" w:hAnsiTheme="majorBidi" w:cstheme="majorBidi"/>
                <w:sz w:val="20"/>
                <w:szCs w:val="20"/>
              </w:rPr>
              <w:t>.</w:t>
            </w:r>
            <w:r w:rsidR="00B518A6">
              <w:rPr>
                <w:rFonts w:asciiTheme="majorBidi" w:hAnsiTheme="majorBidi" w:cstheme="majorBidi"/>
                <w:sz w:val="20"/>
                <w:szCs w:val="20"/>
              </w:rPr>
              <w:t>7</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B518A6" w:rsidRDefault="00247644" w:rsidP="00517AA1">
            <w:pPr>
              <w:bidi w:val="0"/>
              <w:jc w:val="center"/>
              <w:rPr>
                <w:rFonts w:asciiTheme="majorBidi" w:hAnsiTheme="majorBidi" w:cstheme="majorBidi"/>
                <w:sz w:val="20"/>
                <w:szCs w:val="20"/>
              </w:rPr>
            </w:pPr>
            <w:r>
              <w:rPr>
                <w:rFonts w:asciiTheme="majorBidi" w:hAnsiTheme="majorBidi" w:cstheme="majorBidi"/>
                <w:sz w:val="20"/>
                <w:szCs w:val="20"/>
              </w:rPr>
              <w:t>0.7</w:t>
            </w:r>
          </w:p>
        </w:tc>
        <w:tc>
          <w:tcPr>
            <w:tcW w:w="1134" w:type="dxa"/>
            <w:tcBorders>
              <w:top w:val="single" w:sz="4" w:space="0" w:color="auto"/>
              <w:left w:val="nil"/>
              <w:bottom w:val="single" w:sz="4" w:space="0" w:color="auto"/>
              <w:right w:val="single" w:sz="4" w:space="0" w:color="auto"/>
            </w:tcBorders>
            <w:shd w:val="clear" w:color="auto" w:fill="auto"/>
          </w:tcPr>
          <w:p w:rsidR="00B518A6" w:rsidRDefault="00247644" w:rsidP="00517AA1">
            <w:pPr>
              <w:bidi w:val="0"/>
              <w:jc w:val="center"/>
              <w:rPr>
                <w:rFonts w:asciiTheme="majorBidi" w:hAnsiTheme="majorBidi" w:cstheme="majorBidi"/>
                <w:sz w:val="20"/>
                <w:szCs w:val="20"/>
              </w:rPr>
            </w:pPr>
            <w:r>
              <w:rPr>
                <w:rFonts w:asciiTheme="majorBidi" w:hAnsiTheme="majorBidi" w:cstheme="majorBidi"/>
                <w:sz w:val="20"/>
                <w:szCs w:val="20"/>
              </w:rPr>
              <w:t>3.8</w:t>
            </w:r>
          </w:p>
        </w:tc>
      </w:tr>
      <w:tr w:rsidR="00B518A6" w:rsidRPr="007A4B17" w:rsidTr="00247644">
        <w:tc>
          <w:tcPr>
            <w:tcW w:w="4106" w:type="dxa"/>
            <w:tcBorders>
              <w:top w:val="single" w:sz="4" w:space="0" w:color="auto"/>
              <w:bottom w:val="single" w:sz="4" w:space="0" w:color="auto"/>
            </w:tcBorders>
            <w:vAlign w:val="bottom"/>
          </w:tcPr>
          <w:p w:rsidR="00B518A6" w:rsidRDefault="00B518A6" w:rsidP="00C53E1E">
            <w:pPr>
              <w:bidi w:val="0"/>
              <w:rPr>
                <w:sz w:val="20"/>
                <w:szCs w:val="20"/>
              </w:rPr>
            </w:pPr>
            <w:r>
              <w:rPr>
                <w:sz w:val="20"/>
                <w:szCs w:val="20"/>
              </w:rPr>
              <w:t>Debt to GDP ratio (percent)</w:t>
            </w:r>
          </w:p>
        </w:tc>
        <w:tc>
          <w:tcPr>
            <w:tcW w:w="851" w:type="dxa"/>
            <w:tcBorders>
              <w:top w:val="single" w:sz="4" w:space="0" w:color="auto"/>
              <w:bottom w:val="single" w:sz="4" w:space="0" w:color="auto"/>
              <w:right w:val="single" w:sz="4" w:space="0" w:color="auto"/>
            </w:tcBorders>
          </w:tcPr>
          <w:p w:rsidR="00B518A6" w:rsidRDefault="00B518A6" w:rsidP="00C53E1E">
            <w:pPr>
              <w:bidi w:val="0"/>
              <w:jc w:val="center"/>
              <w:rPr>
                <w:rFonts w:asciiTheme="majorBidi" w:hAnsiTheme="majorBidi" w:cstheme="majorBidi"/>
                <w:sz w:val="20"/>
                <w:szCs w:val="20"/>
                <w:rtl/>
              </w:rPr>
            </w:pPr>
            <w:r>
              <w:rPr>
                <w:rFonts w:asciiTheme="majorBidi" w:hAnsiTheme="majorBidi" w:cstheme="majorBidi"/>
                <w:sz w:val="20"/>
                <w:szCs w:val="20"/>
              </w:rPr>
              <w:t>60.5</w:t>
            </w:r>
          </w:p>
        </w:tc>
        <w:tc>
          <w:tcPr>
            <w:tcW w:w="1134" w:type="dxa"/>
            <w:tcBorders>
              <w:top w:val="single" w:sz="4" w:space="0" w:color="auto"/>
              <w:left w:val="single" w:sz="4" w:space="0" w:color="auto"/>
              <w:bottom w:val="single" w:sz="4" w:space="0" w:color="auto"/>
              <w:right w:val="nil"/>
            </w:tcBorders>
            <w:shd w:val="clear" w:color="auto" w:fill="auto"/>
          </w:tcPr>
          <w:p w:rsidR="00B518A6" w:rsidRPr="00761C27" w:rsidRDefault="00B518A6" w:rsidP="00517AA1">
            <w:pPr>
              <w:bidi w:val="0"/>
              <w:jc w:val="center"/>
              <w:rPr>
                <w:rFonts w:asciiTheme="majorBidi" w:hAnsiTheme="majorBidi" w:cstheme="majorBidi"/>
                <w:sz w:val="20"/>
                <w:szCs w:val="20"/>
              </w:rPr>
            </w:pPr>
            <w:r>
              <w:rPr>
                <w:rFonts w:asciiTheme="majorBidi" w:hAnsiTheme="majorBidi" w:cstheme="majorBidi"/>
                <w:sz w:val="20"/>
                <w:szCs w:val="20"/>
              </w:rPr>
              <w:t>6</w:t>
            </w:r>
            <w:r w:rsidR="00247644">
              <w:rPr>
                <w:rFonts w:asciiTheme="majorBidi" w:hAnsiTheme="majorBidi" w:cstheme="majorBidi"/>
                <w:sz w:val="20"/>
                <w:szCs w:val="20"/>
              </w:rPr>
              <w:t>2.0</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bottom"/>
          </w:tcPr>
          <w:p w:rsidR="00B518A6" w:rsidRPr="00761C27"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w:t>
            </w:r>
            <w:r w:rsidR="00B518A6">
              <w:rPr>
                <w:rFonts w:asciiTheme="majorBidi" w:hAnsiTheme="majorBidi" w:cstheme="majorBidi"/>
                <w:sz w:val="20"/>
                <w:szCs w:val="20"/>
              </w:rPr>
              <w:t>1</w:t>
            </w:r>
            <w:r w:rsidR="00B518A6" w:rsidRPr="00761C27">
              <w:rPr>
                <w:rFonts w:asciiTheme="majorBidi" w:hAnsiTheme="majorBidi" w:cstheme="majorBidi"/>
                <w:sz w:val="20"/>
                <w:szCs w:val="20"/>
              </w:rPr>
              <w:t>.0</w:t>
            </w:r>
          </w:p>
        </w:tc>
        <w:tc>
          <w:tcPr>
            <w:tcW w:w="993" w:type="dxa"/>
            <w:tcBorders>
              <w:top w:val="single" w:sz="4" w:space="0" w:color="auto"/>
              <w:left w:val="single" w:sz="4" w:space="0" w:color="auto"/>
              <w:bottom w:val="single" w:sz="4" w:space="0" w:color="auto"/>
              <w:right w:val="nil"/>
            </w:tcBorders>
            <w:shd w:val="clear" w:color="auto" w:fill="auto"/>
          </w:tcPr>
          <w:p w:rsidR="00B518A6" w:rsidRPr="00761C27" w:rsidRDefault="00B518A6" w:rsidP="00517AA1">
            <w:pPr>
              <w:bidi w:val="0"/>
              <w:jc w:val="center"/>
              <w:rPr>
                <w:rFonts w:asciiTheme="majorBidi" w:hAnsiTheme="majorBidi" w:cstheme="majorBidi"/>
                <w:sz w:val="20"/>
                <w:szCs w:val="20"/>
              </w:rPr>
            </w:pPr>
            <w:r w:rsidRPr="00761C27">
              <w:rPr>
                <w:rFonts w:asciiTheme="majorBidi" w:hAnsiTheme="majorBidi" w:cstheme="majorBidi"/>
                <w:sz w:val="20"/>
                <w:szCs w:val="20"/>
              </w:rPr>
              <w:t>6</w:t>
            </w:r>
            <w:r>
              <w:rPr>
                <w:rFonts w:asciiTheme="majorBidi" w:hAnsiTheme="majorBidi" w:cstheme="majorBidi"/>
                <w:sz w:val="20"/>
                <w:szCs w:val="20"/>
              </w:rPr>
              <w:t>6</w:t>
            </w:r>
            <w:r w:rsidRPr="00761C27">
              <w:rPr>
                <w:rFonts w:asciiTheme="majorBidi" w:hAnsiTheme="majorBidi" w:cstheme="majorBidi"/>
                <w:sz w:val="20"/>
                <w:szCs w:val="20"/>
              </w:rPr>
              <w:t>.0</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66.0</w:t>
            </w:r>
          </w:p>
        </w:tc>
      </w:tr>
      <w:tr w:rsidR="00B518A6" w:rsidRPr="007A4B17" w:rsidTr="00247644">
        <w:tc>
          <w:tcPr>
            <w:tcW w:w="4106" w:type="dxa"/>
            <w:tcBorders>
              <w:top w:val="single" w:sz="4" w:space="0" w:color="auto"/>
              <w:bottom w:val="single" w:sz="4" w:space="0" w:color="auto"/>
            </w:tcBorders>
            <w:vAlign w:val="bottom"/>
          </w:tcPr>
          <w:p w:rsidR="00B518A6" w:rsidRPr="009F1F95" w:rsidRDefault="00B518A6" w:rsidP="00C53E1E">
            <w:pPr>
              <w:bidi w:val="0"/>
              <w:rPr>
                <w:sz w:val="20"/>
                <w:szCs w:val="20"/>
                <w:vertAlign w:val="superscript"/>
              </w:rPr>
            </w:pPr>
            <w:r>
              <w:rPr>
                <w:sz w:val="20"/>
                <w:szCs w:val="20"/>
              </w:rPr>
              <w:t>Inflation (percent)</w:t>
            </w:r>
            <w:r>
              <w:rPr>
                <w:sz w:val="20"/>
                <w:szCs w:val="20"/>
                <w:vertAlign w:val="superscript"/>
              </w:rPr>
              <w:t>c</w:t>
            </w:r>
          </w:p>
        </w:tc>
        <w:tc>
          <w:tcPr>
            <w:tcW w:w="851" w:type="dxa"/>
            <w:tcBorders>
              <w:top w:val="single" w:sz="4" w:space="0" w:color="auto"/>
              <w:bottom w:val="single" w:sz="4" w:space="0" w:color="auto"/>
              <w:right w:val="single" w:sz="4" w:space="0" w:color="auto"/>
            </w:tcBorders>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5.1</w:t>
            </w:r>
          </w:p>
        </w:tc>
        <w:tc>
          <w:tcPr>
            <w:tcW w:w="1134" w:type="dxa"/>
            <w:tcBorders>
              <w:top w:val="single" w:sz="4" w:space="0" w:color="auto"/>
              <w:left w:val="single" w:sz="4" w:space="0" w:color="auto"/>
              <w:bottom w:val="single" w:sz="4" w:space="0" w:color="auto"/>
              <w:right w:val="nil"/>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3.3</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bottom"/>
          </w:tcPr>
          <w:p w:rsidR="00B518A6" w:rsidRDefault="00247644" w:rsidP="00247644">
            <w:pPr>
              <w:bidi w:val="0"/>
              <w:jc w:val="center"/>
              <w:rPr>
                <w:rFonts w:asciiTheme="majorBidi" w:hAnsiTheme="majorBidi" w:cstheme="majorBidi"/>
                <w:sz w:val="20"/>
                <w:szCs w:val="20"/>
              </w:rPr>
            </w:pPr>
            <w:r>
              <w:rPr>
                <w:rFonts w:asciiTheme="majorBidi" w:hAnsiTheme="majorBidi" w:cstheme="majorBidi"/>
                <w:sz w:val="20"/>
                <w:szCs w:val="20"/>
              </w:rPr>
              <w:t>-</w:t>
            </w:r>
            <w:r w:rsidR="00B518A6">
              <w:rPr>
                <w:rFonts w:asciiTheme="majorBidi" w:hAnsiTheme="majorBidi" w:cstheme="majorBidi"/>
                <w:sz w:val="20"/>
                <w:szCs w:val="20"/>
              </w:rPr>
              <w:t>0.</w:t>
            </w:r>
            <w:r>
              <w:rPr>
                <w:rFonts w:asciiTheme="majorBidi" w:hAnsiTheme="majorBidi" w:cstheme="majorBidi"/>
                <w:sz w:val="20"/>
                <w:szCs w:val="20"/>
              </w:rPr>
              <w:t>2</w:t>
            </w:r>
          </w:p>
        </w:tc>
        <w:tc>
          <w:tcPr>
            <w:tcW w:w="993" w:type="dxa"/>
            <w:tcBorders>
              <w:top w:val="single" w:sz="4" w:space="0" w:color="auto"/>
              <w:left w:val="single" w:sz="4" w:space="0" w:color="auto"/>
              <w:bottom w:val="single" w:sz="4" w:space="0" w:color="auto"/>
              <w:right w:val="nil"/>
            </w:tcBorders>
            <w:shd w:val="clear" w:color="auto" w:fill="auto"/>
          </w:tcPr>
          <w:p w:rsidR="00B518A6" w:rsidRDefault="00B518A6" w:rsidP="00BC0E38">
            <w:pPr>
              <w:bidi w:val="0"/>
              <w:jc w:val="center"/>
              <w:rPr>
                <w:rFonts w:asciiTheme="majorBidi" w:hAnsiTheme="majorBidi" w:cstheme="majorBidi"/>
                <w:sz w:val="20"/>
                <w:szCs w:val="20"/>
              </w:rPr>
            </w:pPr>
            <w:r>
              <w:rPr>
                <w:rFonts w:asciiTheme="majorBidi" w:hAnsiTheme="majorBidi" w:cstheme="majorBidi"/>
                <w:sz w:val="20"/>
                <w:szCs w:val="20"/>
              </w:rPr>
              <w:t>2.4</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rsidR="00B518A6" w:rsidRDefault="00B518A6" w:rsidP="00C53E1E">
            <w:pPr>
              <w:bidi w:val="0"/>
              <w:jc w:val="center"/>
              <w:rPr>
                <w:rFonts w:asciiTheme="majorBidi" w:hAnsiTheme="majorBidi" w:cstheme="majorBidi"/>
                <w:sz w:val="20"/>
                <w:szCs w:val="20"/>
              </w:rPr>
            </w:pPr>
            <w:r>
              <w:rPr>
                <w:rFonts w:asciiTheme="majorBidi" w:hAnsiTheme="majorBidi" w:cstheme="majorBidi"/>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B518A6" w:rsidRDefault="00247644" w:rsidP="00C53E1E">
            <w:pPr>
              <w:bidi w:val="0"/>
              <w:jc w:val="center"/>
              <w:rPr>
                <w:rFonts w:asciiTheme="majorBidi" w:hAnsiTheme="majorBidi" w:cstheme="majorBidi"/>
                <w:sz w:val="20"/>
                <w:szCs w:val="20"/>
              </w:rPr>
            </w:pPr>
            <w:r>
              <w:rPr>
                <w:rFonts w:asciiTheme="majorBidi" w:hAnsiTheme="majorBidi" w:cstheme="majorBidi"/>
                <w:sz w:val="20"/>
                <w:szCs w:val="20"/>
              </w:rPr>
              <w:t>2.0</w:t>
            </w:r>
          </w:p>
        </w:tc>
      </w:tr>
      <w:tr w:rsidR="00247644" w:rsidRPr="007A4B17" w:rsidTr="00612DB3">
        <w:tc>
          <w:tcPr>
            <w:tcW w:w="10768" w:type="dxa"/>
            <w:gridSpan w:val="7"/>
            <w:tcBorders>
              <w:top w:val="single" w:sz="4" w:space="0" w:color="auto"/>
              <w:bottom w:val="single" w:sz="4" w:space="0" w:color="auto"/>
              <w:right w:val="single" w:sz="4" w:space="0" w:color="auto"/>
            </w:tcBorders>
            <w:vAlign w:val="bottom"/>
          </w:tcPr>
          <w:p w:rsidR="00247644" w:rsidRDefault="00247644" w:rsidP="00C53E1E">
            <w:pPr>
              <w:bidi w:val="0"/>
              <w:rPr>
                <w:rFonts w:asciiTheme="majorBidi" w:hAnsiTheme="majorBidi" w:cstheme="majorBidi"/>
                <w:sz w:val="18"/>
                <w:szCs w:val="18"/>
              </w:rPr>
            </w:pPr>
            <w:proofErr w:type="spellStart"/>
            <w:proofErr w:type="gramStart"/>
            <w:r w:rsidRPr="009F1F95">
              <w:rPr>
                <w:rFonts w:asciiTheme="majorBidi" w:hAnsiTheme="majorBidi" w:cstheme="majorBidi"/>
                <w:sz w:val="18"/>
                <w:szCs w:val="18"/>
                <w:vertAlign w:val="superscript"/>
              </w:rPr>
              <w:t>a</w:t>
            </w:r>
            <w:proofErr w:type="spellEnd"/>
            <w:proofErr w:type="gramEnd"/>
            <w:r w:rsidRPr="009F1F95">
              <w:rPr>
                <w:rFonts w:asciiTheme="majorBidi" w:hAnsiTheme="majorBidi" w:cstheme="majorBidi"/>
                <w:sz w:val="18"/>
                <w:szCs w:val="18"/>
                <w:vertAlign w:val="superscript"/>
              </w:rPr>
              <w:t xml:space="preserve"> </w:t>
            </w:r>
            <w:r w:rsidRPr="009F1F95">
              <w:rPr>
                <w:rFonts w:asciiTheme="majorBidi" w:hAnsiTheme="majorBidi" w:cstheme="majorBidi"/>
                <w:sz w:val="18"/>
                <w:szCs w:val="18"/>
              </w:rPr>
              <w:t>In the forecast of National Accounts components, the rate of change is rounded to the nearest half percentage point.</w:t>
            </w:r>
          </w:p>
          <w:p w:rsidR="00247644" w:rsidRPr="00763A43" w:rsidRDefault="00247644" w:rsidP="00763A43">
            <w:pPr>
              <w:bidi w:val="0"/>
              <w:rPr>
                <w:rFonts w:asciiTheme="majorBidi" w:hAnsiTheme="majorBidi" w:cstheme="majorBidi"/>
                <w:sz w:val="18"/>
                <w:szCs w:val="18"/>
              </w:rPr>
            </w:pPr>
            <w:r>
              <w:rPr>
                <w:rFonts w:asciiTheme="majorBidi" w:hAnsiTheme="majorBidi" w:cstheme="majorBidi"/>
                <w:sz w:val="18"/>
                <w:szCs w:val="18"/>
                <w:vertAlign w:val="superscript"/>
              </w:rPr>
              <w:t>b</w:t>
            </w:r>
            <w:r>
              <w:rPr>
                <w:rFonts w:asciiTheme="majorBidi" w:hAnsiTheme="majorBidi" w:cstheme="majorBidi"/>
                <w:sz w:val="18"/>
                <w:szCs w:val="18"/>
              </w:rPr>
              <w:t xml:space="preserv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p>
          <w:p w:rsidR="00247644" w:rsidRPr="009F1F95" w:rsidRDefault="00247644" w:rsidP="00C53E1E">
            <w:pPr>
              <w:bidi w:val="0"/>
              <w:rPr>
                <w:rFonts w:asciiTheme="majorBidi" w:hAnsiTheme="majorBidi" w:cstheme="majorBidi"/>
                <w:sz w:val="18"/>
                <w:szCs w:val="18"/>
                <w:vertAlign w:val="superscript"/>
              </w:rPr>
            </w:pPr>
            <w:proofErr w:type="gramStart"/>
            <w:r>
              <w:rPr>
                <w:rFonts w:asciiTheme="majorBidi" w:hAnsiTheme="majorBidi" w:cstheme="majorBidi"/>
                <w:sz w:val="18"/>
                <w:szCs w:val="18"/>
                <w:vertAlign w:val="superscript"/>
              </w:rPr>
              <w:t>c</w:t>
            </w:r>
            <w:proofErr w:type="gramEnd"/>
            <w:r>
              <w:rPr>
                <w:rFonts w:asciiTheme="majorBidi" w:hAnsiTheme="majorBidi" w:cstheme="majorBidi"/>
                <w:sz w:val="18"/>
                <w:szCs w:val="18"/>
              </w:rPr>
              <w:t xml:space="preserve"> The average of the Consumer Price Index in the last quarter of the year compared with the average in the last quarter of the previous year.</w:t>
            </w:r>
          </w:p>
        </w:tc>
      </w:tr>
    </w:tbl>
    <w:p w:rsidR="00E718CD" w:rsidRDefault="00E718CD" w:rsidP="003723AE">
      <w:pPr>
        <w:bidi w:val="0"/>
        <w:jc w:val="both"/>
      </w:pPr>
    </w:p>
    <w:p w:rsidR="00E718CD" w:rsidRDefault="00E718CD">
      <w:pPr>
        <w:bidi w:val="0"/>
        <w:spacing w:after="200" w:line="276" w:lineRule="auto"/>
      </w:pPr>
      <w:r>
        <w:br w:type="page"/>
      </w:r>
    </w:p>
    <w:p w:rsidR="00E718CD" w:rsidRDefault="00E718CD" w:rsidP="00E718CD">
      <w:pPr>
        <w:bidi w:val="0"/>
        <w:jc w:val="both"/>
        <w:rPr>
          <w:b/>
          <w:bCs/>
        </w:rPr>
      </w:pPr>
    </w:p>
    <w:tbl>
      <w:tblPr>
        <w:tblW w:w="8233" w:type="dxa"/>
        <w:tblInd w:w="93" w:type="dxa"/>
        <w:tblLook w:val="04A0" w:firstRow="1" w:lastRow="0" w:firstColumn="1" w:lastColumn="0" w:noHBand="0" w:noVBand="1"/>
      </w:tblPr>
      <w:tblGrid>
        <w:gridCol w:w="8979"/>
      </w:tblGrid>
      <w:tr w:rsidR="00E718CD" w:rsidRPr="00F75C0A" w:rsidTr="00A523E6">
        <w:trPr>
          <w:trHeight w:val="316"/>
          <w:tblHeader/>
        </w:trPr>
        <w:tc>
          <w:tcPr>
            <w:tcW w:w="8233" w:type="dxa"/>
            <w:tcBorders>
              <w:top w:val="nil"/>
              <w:left w:val="nil"/>
              <w:bottom w:val="nil"/>
              <w:right w:val="nil"/>
            </w:tcBorders>
            <w:shd w:val="clear" w:color="000000" w:fill="FFFFFF"/>
            <w:noWrap/>
            <w:vAlign w:val="center"/>
            <w:hideMark/>
          </w:tcPr>
          <w:p w:rsidR="00E718CD" w:rsidRPr="00F75C0A" w:rsidRDefault="00E718CD" w:rsidP="00E718CD">
            <w:pPr>
              <w:bidi w:val="0"/>
              <w:rPr>
                <w:rFonts w:asciiTheme="majorBidi" w:hAnsiTheme="majorBidi" w:cstheme="majorBidi"/>
                <w:b/>
                <w:bCs/>
                <w:color w:val="0070C0"/>
              </w:rPr>
            </w:pPr>
            <w:r w:rsidRPr="00F75C0A">
              <w:rPr>
                <w:color w:val="0070C0"/>
              </w:rPr>
              <w:br w:type="page"/>
            </w:r>
            <w:r>
              <w:rPr>
                <w:rFonts w:asciiTheme="majorBidi" w:hAnsiTheme="majorBidi" w:cstheme="majorBidi"/>
                <w:b/>
                <w:bCs/>
                <w:color w:val="0070C0"/>
              </w:rPr>
              <w:t>Figure</w:t>
            </w:r>
            <w:r w:rsidRPr="00F75C0A">
              <w:rPr>
                <w:rFonts w:asciiTheme="majorBidi" w:hAnsiTheme="majorBidi" w:cstheme="majorBidi"/>
                <w:b/>
                <w:bCs/>
                <w:color w:val="0070C0"/>
              </w:rPr>
              <w:t xml:space="preserve"> </w:t>
            </w:r>
            <w:r>
              <w:rPr>
                <w:rFonts w:asciiTheme="majorBidi" w:hAnsiTheme="majorBidi" w:cstheme="majorBidi"/>
                <w:b/>
                <w:bCs/>
                <w:color w:val="0070C0"/>
              </w:rPr>
              <w:t>1</w:t>
            </w:r>
          </w:p>
        </w:tc>
      </w:tr>
      <w:tr w:rsidR="00E718CD" w:rsidRPr="00F75C0A" w:rsidTr="00A523E6">
        <w:trPr>
          <w:trHeight w:val="316"/>
          <w:tblHeader/>
        </w:trPr>
        <w:tc>
          <w:tcPr>
            <w:tcW w:w="8233" w:type="dxa"/>
            <w:tcBorders>
              <w:top w:val="nil"/>
              <w:left w:val="nil"/>
              <w:bottom w:val="nil"/>
              <w:right w:val="nil"/>
            </w:tcBorders>
            <w:shd w:val="clear" w:color="000000" w:fill="FFFFFF"/>
            <w:noWrap/>
            <w:vAlign w:val="center"/>
            <w:hideMark/>
          </w:tcPr>
          <w:p w:rsidR="00E718CD" w:rsidRDefault="00E718CD" w:rsidP="00E718CD">
            <w:pPr>
              <w:bidi w:val="0"/>
              <w:rPr>
                <w:rFonts w:asciiTheme="majorBidi" w:hAnsiTheme="majorBidi" w:cstheme="majorBidi"/>
                <w:b/>
                <w:bCs/>
                <w:color w:val="0070C0"/>
              </w:rPr>
            </w:pPr>
            <w:r>
              <w:rPr>
                <w:rFonts w:asciiTheme="majorBidi" w:hAnsiTheme="majorBidi" w:cstheme="majorBidi"/>
                <w:b/>
                <w:bCs/>
                <w:color w:val="0070C0"/>
              </w:rPr>
              <w:t>GDP relative to the pre-COVID trend – Forecast and actual</w:t>
            </w:r>
          </w:p>
          <w:p w:rsidR="00E718CD" w:rsidRDefault="00E718CD" w:rsidP="00A523E6">
            <w:pPr>
              <w:bidi w:val="0"/>
              <w:rPr>
                <w:rFonts w:asciiTheme="majorBidi" w:hAnsiTheme="majorBidi" w:cstheme="majorBidi"/>
                <w:b/>
                <w:bCs/>
                <w:color w:val="0070C0"/>
              </w:rPr>
            </w:pPr>
            <w:r>
              <w:rPr>
                <w:rFonts w:asciiTheme="majorBidi" w:hAnsiTheme="majorBidi" w:cstheme="majorBidi"/>
                <w:b/>
                <w:bCs/>
                <w:color w:val="0070C0"/>
              </w:rPr>
              <w:t xml:space="preserve">(1 = </w:t>
            </w:r>
            <w:r>
              <w:rPr>
                <w:rFonts w:asciiTheme="majorBidi" w:hAnsiTheme="majorBidi" w:cstheme="majorBidi" w:hint="cs"/>
                <w:b/>
                <w:bCs/>
                <w:color w:val="0070C0"/>
              </w:rPr>
              <w:t>P</w:t>
            </w:r>
            <w:r>
              <w:rPr>
                <w:rFonts w:asciiTheme="majorBidi" w:hAnsiTheme="majorBidi" w:cstheme="majorBidi"/>
                <w:b/>
                <w:bCs/>
                <w:color w:val="0070C0"/>
              </w:rPr>
              <w:t>re crisis trend, fixed prices, seasonally adjusted)</w:t>
            </w:r>
          </w:p>
          <w:p w:rsidR="00E718CD" w:rsidRPr="00F75C0A" w:rsidRDefault="00E718CD" w:rsidP="00A523E6">
            <w:pPr>
              <w:bidi w:val="0"/>
              <w:rPr>
                <w:rFonts w:asciiTheme="majorBidi" w:hAnsiTheme="majorBidi" w:cstheme="majorBidi"/>
                <w:b/>
                <w:bCs/>
                <w:color w:val="0070C0"/>
              </w:rPr>
            </w:pPr>
            <w:r>
              <w:rPr>
                <w:noProof/>
              </w:rPr>
              <w:drawing>
                <wp:inline distT="0" distB="0" distL="0" distR="0" wp14:anchorId="774A9DA9" wp14:editId="048F5CC0">
                  <wp:extent cx="5760720" cy="3657600"/>
                  <wp:effectExtent l="0" t="0" r="11430" b="0"/>
                  <wp:docPr id="12861015" name="Chart 1">
                    <a:extLst xmlns:a="http://schemas.openxmlformats.org/drawingml/2006/main">
                      <a:ext uri="{FF2B5EF4-FFF2-40B4-BE49-F238E27FC236}">
                        <a16:creationId xmlns:a16="http://schemas.microsoft.com/office/drawing/2014/main" id="{D8C44843-8450-4EAB-9DFD-C3455EA102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E718CD" w:rsidRDefault="00E718CD" w:rsidP="00E718CD">
      <w:pPr>
        <w:bidi w:val="0"/>
        <w:jc w:val="both"/>
      </w:pPr>
    </w:p>
    <w:p w:rsidR="00E718CD" w:rsidRDefault="00E718CD" w:rsidP="00E718CD">
      <w:pPr>
        <w:bidi w:val="0"/>
        <w:jc w:val="both"/>
        <w:rPr>
          <w:b/>
          <w:bCs/>
        </w:rPr>
      </w:pPr>
    </w:p>
    <w:p w:rsidR="00E718CD" w:rsidRPr="00E718CD" w:rsidRDefault="00E718CD" w:rsidP="00E718CD">
      <w:pPr>
        <w:bidi w:val="0"/>
        <w:jc w:val="both"/>
        <w:rPr>
          <w:b/>
          <w:bCs/>
        </w:rPr>
      </w:pPr>
    </w:p>
    <w:p w:rsidR="00B32D05" w:rsidRPr="00737CE5" w:rsidRDefault="00737CE5" w:rsidP="00E718CD">
      <w:pPr>
        <w:pStyle w:val="af3"/>
        <w:numPr>
          <w:ilvl w:val="0"/>
          <w:numId w:val="9"/>
        </w:numPr>
        <w:bidi w:val="0"/>
        <w:jc w:val="both"/>
        <w:rPr>
          <w:b/>
          <w:bCs/>
        </w:rPr>
      </w:pPr>
      <w:r w:rsidRPr="0096005F">
        <w:rPr>
          <w:b/>
          <w:bCs/>
        </w:rPr>
        <w:t>The State</w:t>
      </w:r>
      <w:r w:rsidRPr="00737CE5">
        <w:rPr>
          <w:b/>
          <w:bCs/>
        </w:rPr>
        <w:t xml:space="preserve"> Budget and fiscal policy</w:t>
      </w:r>
    </w:p>
    <w:p w:rsidR="00737CE5" w:rsidRDefault="00737CE5" w:rsidP="00737CE5">
      <w:pPr>
        <w:bidi w:val="0"/>
        <w:jc w:val="both"/>
      </w:pPr>
    </w:p>
    <w:p w:rsidR="00737CE5" w:rsidRDefault="00EC3622" w:rsidP="00CF669B">
      <w:pPr>
        <w:bidi w:val="0"/>
        <w:jc w:val="both"/>
      </w:pPr>
      <w:r>
        <w:rPr>
          <w:b/>
          <w:bCs/>
        </w:rPr>
        <w:t>The forecast is based on the assumption that the government will make budgetary adjustments</w:t>
      </w:r>
      <w:r w:rsidR="00E718CD">
        <w:rPr>
          <w:b/>
          <w:bCs/>
        </w:rPr>
        <w:t xml:space="preserve"> of around NIS 30 billion</w:t>
      </w:r>
      <w:r>
        <w:rPr>
          <w:b/>
          <w:bCs/>
        </w:rPr>
        <w:t xml:space="preserve"> in order to offset the </w:t>
      </w:r>
      <w:r w:rsidR="00CF669B">
        <w:rPr>
          <w:b/>
          <w:bCs/>
        </w:rPr>
        <w:t xml:space="preserve">permanent </w:t>
      </w:r>
      <w:r>
        <w:rPr>
          <w:b/>
          <w:bCs/>
        </w:rPr>
        <w:t>increase in defense expenditures</w:t>
      </w:r>
      <w:r w:rsidR="00CF669B">
        <w:rPr>
          <w:b/>
          <w:bCs/>
        </w:rPr>
        <w:t xml:space="preserve"> and civilian expenditures related to the war and its consequences</w:t>
      </w:r>
      <w:r>
        <w:rPr>
          <w:b/>
          <w:bCs/>
        </w:rPr>
        <w:t>.  Accordingly, t</w:t>
      </w:r>
      <w:r w:rsidR="00737CE5">
        <w:rPr>
          <w:b/>
          <w:bCs/>
        </w:rPr>
        <w:t xml:space="preserve">he debt-to-GDP ratio is expected to </w:t>
      </w:r>
      <w:r w:rsidR="008F7582">
        <w:rPr>
          <w:b/>
          <w:bCs/>
        </w:rPr>
        <w:t>increase to</w:t>
      </w:r>
      <w:r w:rsidR="00737CE5">
        <w:rPr>
          <w:b/>
          <w:bCs/>
        </w:rPr>
        <w:t xml:space="preserve"> 6</w:t>
      </w:r>
      <w:r w:rsidR="00517AA1">
        <w:rPr>
          <w:b/>
          <w:bCs/>
        </w:rPr>
        <w:t>6</w:t>
      </w:r>
      <w:r w:rsidR="00737CE5">
        <w:rPr>
          <w:b/>
          <w:bCs/>
        </w:rPr>
        <w:t xml:space="preserve"> percent </w:t>
      </w:r>
      <w:r>
        <w:rPr>
          <w:b/>
          <w:bCs/>
        </w:rPr>
        <w:t>by</w:t>
      </w:r>
      <w:r w:rsidR="00737CE5">
        <w:rPr>
          <w:b/>
          <w:bCs/>
        </w:rPr>
        <w:t xml:space="preserve"> the end of 2024</w:t>
      </w:r>
      <w:r>
        <w:rPr>
          <w:b/>
          <w:bCs/>
        </w:rPr>
        <w:t>, and to begin declining gradually in 2026</w:t>
      </w:r>
      <w:r w:rsidR="00737CE5">
        <w:t xml:space="preserve"> (Table 1).</w:t>
      </w:r>
    </w:p>
    <w:p w:rsidR="00737CE5" w:rsidRDefault="00737CE5" w:rsidP="00737CE5">
      <w:pPr>
        <w:bidi w:val="0"/>
        <w:jc w:val="both"/>
      </w:pPr>
    </w:p>
    <w:p w:rsidR="00EC3622" w:rsidRDefault="00EC3622" w:rsidP="00E718CD">
      <w:pPr>
        <w:bidi w:val="0"/>
        <w:jc w:val="both"/>
      </w:pPr>
      <w:r>
        <w:t>Our assessment is that the impact to economic activity has led to a sharp drop in tax revenue in the fourth quarter of 2023, and that this will continue throughout 2024, declining gradually with the recovery of activity.  We assume that defense expenditures will decline in line with the decreasing intensity of the fighting, but the defense budget will be increased in 2024 and 2025 beyond the cost of the war</w:t>
      </w:r>
      <w:r w:rsidR="00E718CD">
        <w:t>, in order to</w:t>
      </w:r>
      <w:r>
        <w:t xml:space="preserve"> support a permanent strengthening of the military in terms of m</w:t>
      </w:r>
      <w:r w:rsidR="00E718CD">
        <w:t>anpower and military purchasing beyond prewar levels.</w:t>
      </w:r>
      <w:r>
        <w:rPr>
          <w:rStyle w:val="ac"/>
        </w:rPr>
        <w:footnoteReference w:id="4"/>
      </w:r>
      <w:r>
        <w:t xml:space="preserve">  In addition to defense expenditures, we assume that civilian expenditures connected to the war will total about NIS 10 billion in 2024 and about NIS 5 billion in 2025.</w:t>
      </w:r>
    </w:p>
    <w:p w:rsidR="00EC3622" w:rsidRDefault="00EC3622" w:rsidP="00EC3622">
      <w:pPr>
        <w:bidi w:val="0"/>
        <w:jc w:val="both"/>
      </w:pPr>
    </w:p>
    <w:p w:rsidR="00EC3622" w:rsidRDefault="00EC3622" w:rsidP="00CF669B">
      <w:pPr>
        <w:bidi w:val="0"/>
        <w:jc w:val="both"/>
      </w:pPr>
      <w:r>
        <w:t xml:space="preserve">In our assessment, even after the </w:t>
      </w:r>
      <w:r w:rsidR="00E718CD">
        <w:t>completion</w:t>
      </w:r>
      <w:r>
        <w:t xml:space="preserve"> of the </w:t>
      </w:r>
      <w:r w:rsidR="00E718CD">
        <w:t>p</w:t>
      </w:r>
      <w:r>
        <w:t xml:space="preserve">rograms directly related to the war, expenditures on defense, rehabilitation of damaged areas, and interest payments will be significantly higher than what would have been expected had it not been for the war.  Our </w:t>
      </w:r>
      <w:r>
        <w:lastRenderedPageBreak/>
        <w:t>working assumption is that these costs will total about NIS 30 b</w:t>
      </w:r>
      <w:r w:rsidR="00E718CD">
        <w:t>i</w:t>
      </w:r>
      <w:r>
        <w:t>llion per year from 2025.  In contrast, we assume that during 2024, the government will decide on budgetary adjustments that will include a reduction of other expenses or an increase in taxes, against the full permanent increase in expenditures.  We assume that half of these adjustments will take effect in 2024, with the rest taking effect in 2025.  As such, the increase in the budget deficit will be due to temporary expenditures only.  The</w:t>
      </w:r>
      <w:r w:rsidR="00CF669B">
        <w:t xml:space="preserve"> assumed</w:t>
      </w:r>
      <w:r>
        <w:t xml:space="preserve"> need for the budgetary adjustments is due to the fact that, as opposed to the process to end government assistance programs that were utilized during the COVID-19 crisis,</w:t>
      </w:r>
      <w:r w:rsidR="00CF669B">
        <w:t xml:space="preserve"> which ended once the pandemic was over,</w:t>
      </w:r>
      <w:r>
        <w:t xml:space="preserve"> the current war will</w:t>
      </w:r>
      <w:r w:rsidR="00CF669B">
        <w:t xml:space="preserve"> apparently</w:t>
      </w:r>
      <w:r>
        <w:t xml:space="preserve"> be accompanied by a permanent increase in government expenditures.  Therefore, the adjustments</w:t>
      </w:r>
      <w:r w:rsidR="004E6580">
        <w:t xml:space="preserve"> required</w:t>
      </w:r>
      <w:r>
        <w:t xml:space="preserve"> to maintain the structural deficit at its original level</w:t>
      </w:r>
      <w:r w:rsidR="004E6580">
        <w:t xml:space="preserve"> are</w:t>
      </w:r>
      <w:r>
        <w:t xml:space="preserve"> very important</w:t>
      </w:r>
      <w:r w:rsidR="004E6580">
        <w:t xml:space="preserve"> in order</w:t>
      </w:r>
      <w:r>
        <w:t xml:space="preserve"> to show a government commitment to maintain fiscal responsibility by </w:t>
      </w:r>
      <w:r w:rsidR="00D36E14">
        <w:t>bringing about a downward path in the debt-to-GDP ratio in the years</w:t>
      </w:r>
      <w:r w:rsidR="004E6580">
        <w:t xml:space="preserve"> after the war</w:t>
      </w:r>
      <w:r w:rsidR="00D36E14">
        <w:t>.</w:t>
      </w:r>
    </w:p>
    <w:p w:rsidR="00CD2BEE" w:rsidRDefault="00CD2BEE" w:rsidP="00CD2BEE">
      <w:pPr>
        <w:bidi w:val="0"/>
        <w:jc w:val="both"/>
      </w:pPr>
    </w:p>
    <w:p w:rsidR="001E2700" w:rsidRDefault="008052B5" w:rsidP="00CF669B">
      <w:pPr>
        <w:bidi w:val="0"/>
        <w:jc w:val="both"/>
      </w:pPr>
      <w:r>
        <w:t>The overall effect of all these is expected to be reflected in an increase in the government’s budget deficit to about 4.0 percent of GDP in 2023, 5.7 percent of GDP in 2024, and 3.8 percent of GDP in 2025 (Table 1).  In view of this, the public debt is expected to increase to about 62 percent of GDP at the end of 2023, and about 66 percent of GDP at the end of each of 2024 and 2025.  In the following years, the debt to GDP ratio is expected to decline moderately.  In</w:t>
      </w:r>
      <w:r w:rsidR="00CF669B">
        <w:t xml:space="preserve"> this</w:t>
      </w:r>
      <w:r>
        <w:t xml:space="preserve"> scenario, the debt to GDP ratio is expected to reach about 63 percent in 2030, compared with 57 percent that was expected prior to the war.  In contrast with the COVID-19 crisis, at the end of which the growth rates were unprecedented—in view of the sharp decline in activity at the beginning of the crisis, the rapid recovery of all advanced economies and the low interest rates that were common in 2021–22—the forecast for the years following the war is that growth will be in line with the pre-COVID trend, and even lower than it (insofar as the war, its results, and the policy measures that will be taken will have prolonged effects on the economy).</w:t>
      </w:r>
    </w:p>
    <w:p w:rsidR="001E2700" w:rsidRDefault="001E2700">
      <w:pPr>
        <w:bidi w:val="0"/>
        <w:spacing w:after="200" w:line="276" w:lineRule="auto"/>
      </w:pPr>
      <w:r>
        <w:br w:type="page"/>
      </w:r>
    </w:p>
    <w:p w:rsidR="00D36E14" w:rsidRDefault="00D36E14" w:rsidP="008052B5">
      <w:pPr>
        <w:bidi w:val="0"/>
        <w:jc w:val="both"/>
      </w:pPr>
    </w:p>
    <w:p w:rsidR="00D36E14" w:rsidRDefault="00D36E14" w:rsidP="00D36E14">
      <w:pPr>
        <w:bidi w:val="0"/>
        <w:jc w:val="both"/>
      </w:pPr>
    </w:p>
    <w:p w:rsidR="00A21D01" w:rsidRPr="005C08DC" w:rsidRDefault="00A21D01" w:rsidP="00737CE5">
      <w:pPr>
        <w:numPr>
          <w:ilvl w:val="0"/>
          <w:numId w:val="9"/>
        </w:numPr>
        <w:bidi w:val="0"/>
        <w:spacing w:line="360" w:lineRule="auto"/>
        <w:ind w:left="357" w:hanging="357"/>
        <w:jc w:val="both"/>
        <w:rPr>
          <w:b/>
          <w:bCs/>
        </w:rPr>
      </w:pPr>
      <w:r w:rsidRPr="002D3C08">
        <w:rPr>
          <w:b/>
          <w:bCs/>
        </w:rPr>
        <w:t>Inflation</w:t>
      </w:r>
      <w:r w:rsidRPr="005C08DC">
        <w:rPr>
          <w:b/>
          <w:bCs/>
        </w:rPr>
        <w:t xml:space="preserve"> and interest rates </w:t>
      </w:r>
    </w:p>
    <w:p w:rsidR="002D3C08" w:rsidRDefault="004F6E9A" w:rsidP="00CF669B">
      <w:pPr>
        <w:bidi w:val="0"/>
        <w:jc w:val="both"/>
      </w:pPr>
      <w:r>
        <w:t xml:space="preserve">According to our assessment, </w:t>
      </w:r>
      <w:r w:rsidR="002260C5">
        <w:rPr>
          <w:b/>
          <w:bCs/>
        </w:rPr>
        <w:t xml:space="preserve">inflation </w:t>
      </w:r>
      <w:r w:rsidR="00CF669B">
        <w:rPr>
          <w:b/>
          <w:bCs/>
        </w:rPr>
        <w:t>in</w:t>
      </w:r>
      <w:r w:rsidR="00541457">
        <w:rPr>
          <w:b/>
          <w:bCs/>
        </w:rPr>
        <w:t xml:space="preserve"> 202</w:t>
      </w:r>
      <w:r w:rsidR="002C2B40">
        <w:rPr>
          <w:b/>
          <w:bCs/>
        </w:rPr>
        <w:t>4</w:t>
      </w:r>
      <w:r w:rsidR="002260C5">
        <w:rPr>
          <w:b/>
          <w:bCs/>
        </w:rPr>
        <w:t xml:space="preserve"> is expected to be </w:t>
      </w:r>
      <w:r w:rsidR="001A3F54">
        <w:rPr>
          <w:b/>
          <w:bCs/>
        </w:rPr>
        <w:t>2.</w:t>
      </w:r>
      <w:r w:rsidR="001E2700">
        <w:rPr>
          <w:b/>
          <w:bCs/>
        </w:rPr>
        <w:t>4</w:t>
      </w:r>
      <w:r w:rsidR="002260C5">
        <w:rPr>
          <w:b/>
          <w:bCs/>
        </w:rPr>
        <w:t xml:space="preserve"> percent</w:t>
      </w:r>
      <w:r w:rsidR="001E2700">
        <w:rPr>
          <w:b/>
          <w:bCs/>
        </w:rPr>
        <w:t xml:space="preserve"> </w:t>
      </w:r>
      <w:r w:rsidR="001E2700">
        <w:t>(Table 2)</w:t>
      </w:r>
      <w:r w:rsidR="004E6580">
        <w:t xml:space="preserve">, </w:t>
      </w:r>
      <w:r w:rsidR="004E6580" w:rsidRPr="004E6580">
        <w:t>unchanged from the November forecast</w:t>
      </w:r>
      <w:r w:rsidR="00F71FEA" w:rsidRPr="00B8089B">
        <w:t>.</w:t>
      </w:r>
      <w:r w:rsidR="00014365">
        <w:t xml:space="preserve">  Th</w:t>
      </w:r>
      <w:r w:rsidR="002D3C08">
        <w:t>e</w:t>
      </w:r>
      <w:r w:rsidR="001E2700">
        <w:t xml:space="preserve"> moderation of</w:t>
      </w:r>
      <w:r w:rsidR="002D3C08">
        <w:t xml:space="preserve"> inflation </w:t>
      </w:r>
      <w:r w:rsidR="001E2700">
        <w:t xml:space="preserve">within the </w:t>
      </w:r>
      <w:r w:rsidR="002D3C08">
        <w:t xml:space="preserve">forecast </w:t>
      </w:r>
      <w:r w:rsidR="001E2700">
        <w:t xml:space="preserve">range, compared to 2023, reflects a trend that began even before the war, influenced by developments abroad and domestic monetary policy, as well as the recent appreciation of the shekel.  It is also affected by the war’s impact on consumer sentiment and on private consumption.  </w:t>
      </w:r>
      <w:r w:rsidR="002D3C08">
        <w:t xml:space="preserve">The forces moderating inflation are expected to be partly offset, mainly in the short term, by supply side interruptions due to the war, which </w:t>
      </w:r>
      <w:r w:rsidR="001E2700">
        <w:t>should be reflected in an</w:t>
      </w:r>
      <w:r w:rsidR="002D3C08">
        <w:t xml:space="preserve"> increase </w:t>
      </w:r>
      <w:r w:rsidR="001E2700">
        <w:t xml:space="preserve">in </w:t>
      </w:r>
      <w:r w:rsidR="002D3C08">
        <w:t>the prices of goods and services.  These constraints include an impact to the supply of labor in view of the mobilization of reserve forces, and an impact to production capacity and supply chain disruptions.</w:t>
      </w:r>
      <w:r w:rsidR="001E2700">
        <w:t xml:space="preserve">  With that, similar to previous forecasts, we assume that the effect of reduced demand is stronger, such that in the final analysis, the war will have a restraining effect on inflation.  While the inflation forecast remains unchanged from November, it is affected by developments in opposing directions: The appreciation of the shekel and the lower-than-expected inflation in the November CPI are contrasted with the increase in the consumption forecast for 2024 (Table 1).</w:t>
      </w:r>
    </w:p>
    <w:p w:rsidR="009523E0" w:rsidRDefault="009523E0" w:rsidP="009523E0">
      <w:pPr>
        <w:bidi w:val="0"/>
        <w:jc w:val="both"/>
      </w:pPr>
    </w:p>
    <w:p w:rsidR="000C3AA1" w:rsidRPr="000C3AA1" w:rsidRDefault="005C4E0D" w:rsidP="001E2700">
      <w:pPr>
        <w:bidi w:val="0"/>
        <w:jc w:val="both"/>
      </w:pPr>
      <w:r w:rsidRPr="005C4E0D">
        <w:rPr>
          <w:b/>
          <w:bCs/>
        </w:rPr>
        <w:t>The</w:t>
      </w:r>
      <w:r w:rsidR="000C3AA1" w:rsidRPr="005C4E0D">
        <w:rPr>
          <w:b/>
          <w:bCs/>
        </w:rPr>
        <w:t xml:space="preserve"> </w:t>
      </w:r>
      <w:r w:rsidR="000C3AA1">
        <w:rPr>
          <w:b/>
          <w:bCs/>
        </w:rPr>
        <w:t xml:space="preserve">interest rate </w:t>
      </w:r>
      <w:r>
        <w:rPr>
          <w:b/>
          <w:bCs/>
        </w:rPr>
        <w:t>is expected</w:t>
      </w:r>
      <w:r w:rsidR="000C3AA1">
        <w:rPr>
          <w:b/>
          <w:bCs/>
        </w:rPr>
        <w:t xml:space="preserve"> </w:t>
      </w:r>
      <w:r w:rsidR="00777384">
        <w:rPr>
          <w:b/>
          <w:bCs/>
        </w:rPr>
        <w:t xml:space="preserve">to </w:t>
      </w:r>
      <w:r w:rsidR="0025636F">
        <w:rPr>
          <w:b/>
          <w:bCs/>
        </w:rPr>
        <w:t xml:space="preserve">be </w:t>
      </w:r>
      <w:r w:rsidR="001E2700">
        <w:rPr>
          <w:b/>
          <w:bCs/>
        </w:rPr>
        <w:t>3.75</w:t>
      </w:r>
      <w:r w:rsidR="00CF669B">
        <w:rPr>
          <w:b/>
          <w:bCs/>
        </w:rPr>
        <w:t>/4.00</w:t>
      </w:r>
      <w:r w:rsidR="005F1F9D">
        <w:rPr>
          <w:b/>
          <w:bCs/>
        </w:rPr>
        <w:t xml:space="preserve"> </w:t>
      </w:r>
      <w:r w:rsidR="000C3AA1">
        <w:rPr>
          <w:b/>
          <w:bCs/>
        </w:rPr>
        <w:t xml:space="preserve">percent in </w:t>
      </w:r>
      <w:r w:rsidR="009523E0">
        <w:rPr>
          <w:b/>
          <w:bCs/>
        </w:rPr>
        <w:t xml:space="preserve">the </w:t>
      </w:r>
      <w:r w:rsidR="001E2700">
        <w:rPr>
          <w:b/>
          <w:bCs/>
        </w:rPr>
        <w:t>fourth</w:t>
      </w:r>
      <w:r w:rsidR="009523E0">
        <w:rPr>
          <w:b/>
          <w:bCs/>
        </w:rPr>
        <w:t xml:space="preserve"> quarter of 202</w:t>
      </w:r>
      <w:r w:rsidR="00060A3E">
        <w:rPr>
          <w:b/>
          <w:bCs/>
        </w:rPr>
        <w:t>4</w:t>
      </w:r>
      <w:r w:rsidR="000C3AA1">
        <w:t xml:space="preserve"> (Table </w:t>
      </w:r>
      <w:r w:rsidR="001E2700">
        <w:t>2</w:t>
      </w:r>
      <w:r w:rsidR="000C3AA1">
        <w:t>)</w:t>
      </w:r>
      <w:r w:rsidR="00995A4F">
        <w:t xml:space="preserve">.  </w:t>
      </w:r>
      <w:r w:rsidR="000C0CAD">
        <w:t>The interest rate level during the forecast period will he</w:t>
      </w:r>
      <w:r w:rsidR="00060A3E">
        <w:t xml:space="preserve">lp </w:t>
      </w:r>
      <w:r w:rsidR="0025636F">
        <w:t xml:space="preserve">stabilize </w:t>
      </w:r>
      <w:r w:rsidR="002D3C08">
        <w:t>the financial markets and support domestic demand</w:t>
      </w:r>
      <w:r w:rsidR="00D340F8">
        <w:t>.</w:t>
      </w:r>
      <w:r w:rsidR="009523E0">
        <w:t xml:space="preserve"> </w:t>
      </w:r>
    </w:p>
    <w:p w:rsidR="00C45ED5" w:rsidRDefault="00C45ED5" w:rsidP="00C45ED5">
      <w:pPr>
        <w:bidi w:val="0"/>
        <w:jc w:val="both"/>
      </w:pPr>
    </w:p>
    <w:p w:rsidR="00682563" w:rsidRDefault="00682563" w:rsidP="001E2700">
      <w:pPr>
        <w:bidi w:val="0"/>
        <w:jc w:val="both"/>
      </w:pPr>
      <w:r>
        <w:t xml:space="preserve">Table </w:t>
      </w:r>
      <w:r w:rsidR="001E2700">
        <w:t>2</w:t>
      </w:r>
      <w:r>
        <w:t xml:space="preserve"> shows that the Research Department’s staff forecast regarding </w:t>
      </w:r>
      <w:r w:rsidR="001E2700">
        <w:t xml:space="preserve">the interest rate </w:t>
      </w:r>
      <w:r w:rsidR="00995A4F">
        <w:t xml:space="preserve">is </w:t>
      </w:r>
      <w:r w:rsidR="00D372F5">
        <w:t>higher than</w:t>
      </w:r>
      <w:r w:rsidR="001E2700">
        <w:t xml:space="preserve"> market</w:t>
      </w:r>
      <w:r w:rsidR="00995A4F">
        <w:t xml:space="preserve"> expectations</w:t>
      </w:r>
      <w:r w:rsidR="001E2700">
        <w:t>, while the Research Department’s inflation forecast is slightly lower than the market’s expectations.  The forecasters’ projections for both the interest rate and inflation are similar to the Research Department’s forecast.</w:t>
      </w:r>
      <w:r w:rsidR="00995A4F">
        <w:t xml:space="preserve">  </w:t>
      </w:r>
    </w:p>
    <w:p w:rsidR="0010114F" w:rsidRDefault="0010114F" w:rsidP="006E2552">
      <w:pPr>
        <w:bidi w:val="0"/>
        <w:jc w:val="both"/>
      </w:pPr>
    </w:p>
    <w:p w:rsidR="005F6371" w:rsidRPr="00C031F8" w:rsidRDefault="005F6371" w:rsidP="005F6371">
      <w:pPr>
        <w:bidi w:val="0"/>
        <w:jc w:val="both"/>
      </w:pPr>
    </w:p>
    <w:tbl>
      <w:tblPr>
        <w:tblW w:w="8233" w:type="dxa"/>
        <w:tblInd w:w="93" w:type="dxa"/>
        <w:tblLook w:val="04A0" w:firstRow="1" w:lastRow="0" w:firstColumn="1" w:lastColumn="0" w:noHBand="0" w:noVBand="1"/>
      </w:tblPr>
      <w:tblGrid>
        <w:gridCol w:w="2480"/>
        <w:gridCol w:w="2094"/>
        <w:gridCol w:w="1540"/>
        <w:gridCol w:w="2119"/>
      </w:tblGrid>
      <w:tr w:rsidR="00A21D01" w:rsidRPr="00B23575" w:rsidTr="00211EF7">
        <w:trPr>
          <w:trHeight w:val="316"/>
          <w:tblHeader/>
        </w:trPr>
        <w:tc>
          <w:tcPr>
            <w:tcW w:w="8233" w:type="dxa"/>
            <w:gridSpan w:val="4"/>
            <w:tcBorders>
              <w:top w:val="nil"/>
              <w:left w:val="nil"/>
              <w:bottom w:val="nil"/>
              <w:right w:val="nil"/>
            </w:tcBorders>
            <w:shd w:val="clear" w:color="000000" w:fill="FFFFFF"/>
            <w:noWrap/>
            <w:vAlign w:val="center"/>
            <w:hideMark/>
          </w:tcPr>
          <w:p w:rsidR="00A21D01" w:rsidRPr="00F75C0A" w:rsidRDefault="002945D2" w:rsidP="00014365">
            <w:pPr>
              <w:bidi w:val="0"/>
              <w:rPr>
                <w:rFonts w:asciiTheme="majorBidi" w:hAnsiTheme="majorBidi" w:cstheme="majorBidi"/>
                <w:b/>
                <w:bCs/>
                <w:color w:val="0070C0"/>
              </w:rPr>
            </w:pPr>
            <w:r w:rsidRPr="00F75C0A">
              <w:rPr>
                <w:color w:val="0070C0"/>
              </w:rPr>
              <w:br w:type="page"/>
            </w:r>
            <w:r w:rsidR="00A21D01" w:rsidRPr="00F75C0A">
              <w:rPr>
                <w:rFonts w:asciiTheme="majorBidi" w:hAnsiTheme="majorBidi" w:cstheme="majorBidi"/>
                <w:b/>
                <w:bCs/>
                <w:color w:val="0070C0"/>
              </w:rPr>
              <w:t xml:space="preserve">Table </w:t>
            </w:r>
            <w:r w:rsidR="00E718CD">
              <w:rPr>
                <w:rFonts w:asciiTheme="majorBidi" w:hAnsiTheme="majorBidi" w:cstheme="majorBidi"/>
                <w:b/>
                <w:bCs/>
                <w:color w:val="0070C0"/>
              </w:rPr>
              <w:t>2</w:t>
            </w:r>
          </w:p>
        </w:tc>
      </w:tr>
      <w:tr w:rsidR="00A21D01" w:rsidRPr="00B23575" w:rsidTr="00211EF7">
        <w:trPr>
          <w:trHeight w:val="316"/>
          <w:tblHeader/>
        </w:trPr>
        <w:tc>
          <w:tcPr>
            <w:tcW w:w="8233" w:type="dxa"/>
            <w:gridSpan w:val="4"/>
            <w:tcBorders>
              <w:top w:val="nil"/>
              <w:left w:val="nil"/>
              <w:bottom w:val="nil"/>
              <w:right w:val="nil"/>
            </w:tcBorders>
            <w:shd w:val="clear" w:color="000000" w:fill="FFFFFF"/>
            <w:noWrap/>
            <w:vAlign w:val="center"/>
            <w:hideMark/>
          </w:tcPr>
          <w:p w:rsidR="00A21D01" w:rsidRPr="00F75C0A" w:rsidRDefault="00453D2B" w:rsidP="00D62B59">
            <w:pPr>
              <w:bidi w:val="0"/>
              <w:rPr>
                <w:rFonts w:asciiTheme="majorBidi" w:hAnsiTheme="majorBidi" w:cstheme="majorBidi"/>
                <w:b/>
                <w:bCs/>
                <w:color w:val="0070C0"/>
              </w:rPr>
            </w:pPr>
            <w:r w:rsidRPr="00F75C0A">
              <w:rPr>
                <w:rFonts w:asciiTheme="majorBidi" w:hAnsiTheme="majorBidi" w:cstheme="majorBidi"/>
                <w:b/>
                <w:bCs/>
                <w:color w:val="0070C0"/>
              </w:rPr>
              <w:t>I</w:t>
            </w:r>
            <w:r w:rsidR="00A21D01" w:rsidRPr="00F75C0A">
              <w:rPr>
                <w:rFonts w:asciiTheme="majorBidi" w:hAnsiTheme="majorBidi" w:cstheme="majorBidi"/>
                <w:b/>
                <w:bCs/>
                <w:color w:val="0070C0"/>
              </w:rPr>
              <w:t xml:space="preserve">nflation </w:t>
            </w:r>
            <w:r w:rsidRPr="00F75C0A">
              <w:rPr>
                <w:rFonts w:asciiTheme="majorBidi" w:hAnsiTheme="majorBidi" w:cstheme="majorBidi"/>
                <w:b/>
                <w:bCs/>
                <w:color w:val="0070C0"/>
              </w:rPr>
              <w:t xml:space="preserve">forecast </w:t>
            </w:r>
            <w:r w:rsidR="00A21D01" w:rsidRPr="00F75C0A">
              <w:rPr>
                <w:rFonts w:asciiTheme="majorBidi" w:hAnsiTheme="majorBidi" w:cstheme="majorBidi"/>
                <w:b/>
                <w:bCs/>
                <w:color w:val="0070C0"/>
              </w:rPr>
              <w:t>for the coming year</w:t>
            </w:r>
            <w:r w:rsidR="00D62B59">
              <w:rPr>
                <w:rFonts w:asciiTheme="majorBidi" w:hAnsiTheme="majorBidi" w:cstheme="majorBidi"/>
                <w:b/>
                <w:bCs/>
                <w:color w:val="0070C0"/>
              </w:rPr>
              <w:t xml:space="preserve"> </w:t>
            </w:r>
            <w:r w:rsidR="00D62B59" w:rsidRPr="00F75C0A">
              <w:rPr>
                <w:rFonts w:asciiTheme="majorBidi" w:hAnsiTheme="majorBidi" w:cstheme="majorBidi"/>
                <w:b/>
                <w:bCs/>
                <w:color w:val="0070C0"/>
              </w:rPr>
              <w:t>and interest rate</w:t>
            </w:r>
            <w:r w:rsidR="00D62B59">
              <w:rPr>
                <w:rFonts w:asciiTheme="majorBidi" w:hAnsiTheme="majorBidi" w:cstheme="majorBidi"/>
                <w:b/>
                <w:bCs/>
                <w:color w:val="0070C0"/>
              </w:rPr>
              <w:t xml:space="preserve"> forecast for one year from now</w:t>
            </w:r>
          </w:p>
        </w:tc>
      </w:tr>
      <w:tr w:rsidR="00A21D01" w:rsidRPr="00B23575"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rsidR="00A21D01" w:rsidRPr="00F75C0A" w:rsidRDefault="00A21D01" w:rsidP="00211EF7">
            <w:pPr>
              <w:bidi w:val="0"/>
              <w:jc w:val="right"/>
              <w:rPr>
                <w:rFonts w:asciiTheme="majorBidi" w:hAnsiTheme="majorBidi" w:cstheme="majorBidi"/>
                <w:color w:val="0070C0"/>
                <w:sz w:val="22"/>
                <w:szCs w:val="22"/>
              </w:rPr>
            </w:pPr>
            <w:r w:rsidRPr="00F75C0A">
              <w:rPr>
                <w:rFonts w:asciiTheme="majorBidi" w:hAnsiTheme="majorBidi" w:cstheme="majorBidi"/>
                <w:color w:val="0070C0"/>
                <w:sz w:val="22"/>
                <w:szCs w:val="22"/>
              </w:rPr>
              <w:t>(percent)</w:t>
            </w:r>
          </w:p>
        </w:tc>
      </w:tr>
      <w:tr w:rsidR="00A21D01" w:rsidRPr="00B23575" w:rsidTr="0044397B">
        <w:trPr>
          <w:trHeight w:val="683"/>
          <w:tblHeader/>
        </w:trPr>
        <w:tc>
          <w:tcPr>
            <w:tcW w:w="2480" w:type="dxa"/>
            <w:tcBorders>
              <w:top w:val="nil"/>
              <w:left w:val="nil"/>
              <w:bottom w:val="nil"/>
              <w:right w:val="nil"/>
            </w:tcBorders>
            <w:shd w:val="clear" w:color="000000" w:fill="FFFFFF"/>
            <w:vAlign w:val="center"/>
            <w:hideMark/>
          </w:tcPr>
          <w:p w:rsidR="00A21D01" w:rsidRPr="00211EF7" w:rsidRDefault="00A21D01" w:rsidP="0044397B">
            <w:pPr>
              <w:bidi w:val="0"/>
              <w:jc w:val="center"/>
              <w:rPr>
                <w:rFonts w:asciiTheme="majorBidi" w:hAnsiTheme="majorBidi" w:cstheme="majorBidi"/>
              </w:rPr>
            </w:pPr>
          </w:p>
        </w:tc>
        <w:tc>
          <w:tcPr>
            <w:tcW w:w="2094" w:type="dxa"/>
            <w:tcBorders>
              <w:top w:val="nil"/>
              <w:left w:val="nil"/>
              <w:bottom w:val="nil"/>
              <w:right w:val="nil"/>
            </w:tcBorders>
            <w:shd w:val="clear" w:color="000000" w:fill="FFFFFF"/>
            <w:vAlign w:val="center"/>
            <w:hideMark/>
          </w:tcPr>
          <w:p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Bank of Israel Research Department</w:t>
            </w:r>
          </w:p>
        </w:tc>
        <w:tc>
          <w:tcPr>
            <w:tcW w:w="1540" w:type="dxa"/>
            <w:tcBorders>
              <w:top w:val="nil"/>
              <w:left w:val="nil"/>
              <w:bottom w:val="nil"/>
              <w:right w:val="nil"/>
            </w:tcBorders>
            <w:shd w:val="clear" w:color="000000" w:fill="FFFFFF"/>
            <w:vAlign w:val="center"/>
            <w:hideMark/>
          </w:tcPr>
          <w:p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 xml:space="preserve">Capital </w:t>
            </w:r>
            <w:proofErr w:type="spellStart"/>
            <w:r w:rsidRPr="00211EF7">
              <w:rPr>
                <w:rFonts w:asciiTheme="majorBidi" w:hAnsiTheme="majorBidi" w:cstheme="majorBidi"/>
              </w:rPr>
              <w:t>markets</w:t>
            </w:r>
            <w:r w:rsidR="00446B32" w:rsidRPr="00211EF7">
              <w:rPr>
                <w:rFonts w:asciiTheme="majorBidi" w:hAnsiTheme="majorBidi" w:cstheme="majorBidi"/>
                <w:vertAlign w:val="superscript"/>
              </w:rPr>
              <w:t>a</w:t>
            </w:r>
            <w:proofErr w:type="spellEnd"/>
          </w:p>
        </w:tc>
        <w:tc>
          <w:tcPr>
            <w:tcW w:w="2119" w:type="dxa"/>
            <w:tcBorders>
              <w:top w:val="nil"/>
              <w:left w:val="nil"/>
              <w:bottom w:val="nil"/>
              <w:right w:val="nil"/>
            </w:tcBorders>
            <w:shd w:val="clear" w:color="000000" w:fill="FFFFFF"/>
            <w:vAlign w:val="center"/>
            <w:hideMark/>
          </w:tcPr>
          <w:p w:rsidR="00A21D01" w:rsidRPr="00211EF7" w:rsidRDefault="00A21D01" w:rsidP="0044397B">
            <w:pPr>
              <w:bidi w:val="0"/>
              <w:jc w:val="center"/>
              <w:rPr>
                <w:rFonts w:asciiTheme="majorBidi" w:hAnsiTheme="majorBidi" w:cstheme="majorBidi"/>
              </w:rPr>
            </w:pPr>
            <w:r w:rsidRPr="00211EF7">
              <w:rPr>
                <w:rFonts w:asciiTheme="majorBidi" w:hAnsiTheme="majorBidi" w:cstheme="majorBidi"/>
              </w:rPr>
              <w:t xml:space="preserve">Private </w:t>
            </w:r>
            <w:proofErr w:type="spellStart"/>
            <w:r w:rsidRPr="00211EF7">
              <w:rPr>
                <w:rFonts w:asciiTheme="majorBidi" w:hAnsiTheme="majorBidi" w:cstheme="majorBidi"/>
              </w:rPr>
              <w:t>forecasters</w:t>
            </w:r>
            <w:r w:rsidR="00446B32" w:rsidRPr="00211EF7">
              <w:rPr>
                <w:rFonts w:asciiTheme="majorBidi" w:hAnsiTheme="majorBidi" w:cstheme="majorBidi"/>
                <w:vertAlign w:val="superscript"/>
              </w:rPr>
              <w:t>b</w:t>
            </w:r>
            <w:proofErr w:type="spellEnd"/>
          </w:p>
        </w:tc>
      </w:tr>
      <w:tr w:rsidR="00F53855" w:rsidRPr="00B23575" w:rsidTr="00BE556B">
        <w:trPr>
          <w:trHeight w:val="280"/>
          <w:tblHeader/>
        </w:trPr>
        <w:tc>
          <w:tcPr>
            <w:tcW w:w="2480" w:type="dxa"/>
            <w:tcBorders>
              <w:top w:val="single" w:sz="4" w:space="0" w:color="auto"/>
              <w:left w:val="nil"/>
              <w:bottom w:val="nil"/>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 xml:space="preserve">Inflation </w:t>
            </w:r>
            <w:proofErr w:type="spellStart"/>
            <w:r w:rsidRPr="00211EF7">
              <w:rPr>
                <w:rFonts w:asciiTheme="majorBidi" w:hAnsiTheme="majorBidi" w:cstheme="majorBidi"/>
              </w:rPr>
              <w:t>rate</w:t>
            </w:r>
            <w:r w:rsidR="00446B32" w:rsidRPr="00211EF7">
              <w:rPr>
                <w:rFonts w:asciiTheme="majorBidi" w:hAnsiTheme="majorBidi" w:cstheme="majorBidi"/>
                <w:vertAlign w:val="superscript"/>
              </w:rPr>
              <w:t>c</w:t>
            </w:r>
            <w:proofErr w:type="spellEnd"/>
          </w:p>
        </w:tc>
        <w:tc>
          <w:tcPr>
            <w:tcW w:w="2094" w:type="dxa"/>
            <w:tcBorders>
              <w:top w:val="single" w:sz="4" w:space="0" w:color="auto"/>
              <w:left w:val="nil"/>
              <w:bottom w:val="nil"/>
              <w:right w:val="nil"/>
            </w:tcBorders>
            <w:shd w:val="clear" w:color="auto" w:fill="auto"/>
            <w:vAlign w:val="center"/>
          </w:tcPr>
          <w:p w:rsidR="00A2696D" w:rsidRPr="00211EF7" w:rsidRDefault="00FF10BA" w:rsidP="001E2700">
            <w:pPr>
              <w:bidi w:val="0"/>
              <w:jc w:val="center"/>
              <w:rPr>
                <w:rFonts w:asciiTheme="majorBidi" w:hAnsiTheme="majorBidi" w:cstheme="majorBidi"/>
              </w:rPr>
            </w:pPr>
            <w:r>
              <w:rPr>
                <w:rFonts w:asciiTheme="majorBidi" w:hAnsiTheme="majorBidi" w:cstheme="majorBidi"/>
              </w:rPr>
              <w:t>2.</w:t>
            </w:r>
            <w:r w:rsidR="001E2700">
              <w:rPr>
                <w:rFonts w:asciiTheme="majorBidi" w:hAnsiTheme="majorBidi" w:cstheme="majorBidi"/>
              </w:rPr>
              <w:t>4</w:t>
            </w:r>
          </w:p>
        </w:tc>
        <w:tc>
          <w:tcPr>
            <w:tcW w:w="1540" w:type="dxa"/>
            <w:tcBorders>
              <w:top w:val="single" w:sz="4" w:space="0" w:color="auto"/>
              <w:left w:val="nil"/>
              <w:bottom w:val="nil"/>
              <w:right w:val="nil"/>
            </w:tcBorders>
            <w:shd w:val="clear" w:color="auto" w:fill="auto"/>
            <w:vAlign w:val="center"/>
          </w:tcPr>
          <w:p w:rsidR="00F53855" w:rsidRPr="00211EF7" w:rsidRDefault="00FF10BA" w:rsidP="00AF330E">
            <w:pPr>
              <w:bidi w:val="0"/>
              <w:jc w:val="center"/>
              <w:rPr>
                <w:rFonts w:asciiTheme="majorBidi" w:hAnsiTheme="majorBidi" w:cstheme="majorBidi"/>
              </w:rPr>
            </w:pPr>
            <w:r>
              <w:rPr>
                <w:rFonts w:asciiTheme="majorBidi" w:hAnsiTheme="majorBidi" w:cstheme="majorBidi"/>
              </w:rPr>
              <w:t>2.</w:t>
            </w:r>
            <w:r w:rsidR="00AF330E">
              <w:rPr>
                <w:rFonts w:asciiTheme="majorBidi" w:hAnsiTheme="majorBidi" w:cstheme="majorBidi"/>
              </w:rPr>
              <w:t>8</w:t>
            </w:r>
          </w:p>
        </w:tc>
        <w:tc>
          <w:tcPr>
            <w:tcW w:w="2119" w:type="dxa"/>
            <w:tcBorders>
              <w:top w:val="single" w:sz="4" w:space="0" w:color="auto"/>
              <w:left w:val="nil"/>
              <w:bottom w:val="nil"/>
              <w:right w:val="nil"/>
            </w:tcBorders>
            <w:shd w:val="clear" w:color="auto" w:fill="auto"/>
            <w:vAlign w:val="center"/>
          </w:tcPr>
          <w:p w:rsidR="00F53855" w:rsidRPr="00211EF7" w:rsidRDefault="00995A4F" w:rsidP="00AF330E">
            <w:pPr>
              <w:bidi w:val="0"/>
              <w:jc w:val="center"/>
              <w:rPr>
                <w:rFonts w:asciiTheme="majorBidi" w:hAnsiTheme="majorBidi" w:cstheme="majorBidi"/>
              </w:rPr>
            </w:pPr>
            <w:r>
              <w:rPr>
                <w:rFonts w:asciiTheme="majorBidi" w:hAnsiTheme="majorBidi" w:cstheme="majorBidi"/>
              </w:rPr>
              <w:t>2.</w:t>
            </w:r>
            <w:r w:rsidR="00AF330E">
              <w:rPr>
                <w:rFonts w:asciiTheme="majorBidi" w:hAnsiTheme="majorBidi" w:cstheme="majorBidi"/>
              </w:rPr>
              <w:t>3</w:t>
            </w:r>
            <w:r w:rsidR="00AD21E2">
              <w:rPr>
                <w:rFonts w:asciiTheme="majorBidi" w:hAnsiTheme="majorBidi" w:cstheme="majorBidi"/>
              </w:rPr>
              <w:t xml:space="preserve"> </w:t>
            </w:r>
            <w:r w:rsidR="00A2696D">
              <w:rPr>
                <w:rFonts w:asciiTheme="majorBidi" w:hAnsiTheme="majorBidi" w:cstheme="majorBidi"/>
              </w:rPr>
              <w:t>(</w:t>
            </w:r>
            <w:r w:rsidR="00AF330E">
              <w:rPr>
                <w:rFonts w:asciiTheme="majorBidi" w:hAnsiTheme="majorBidi" w:cstheme="majorBidi"/>
              </w:rPr>
              <w:t>1.9</w:t>
            </w:r>
            <w:r w:rsidR="00AD21E2">
              <w:rPr>
                <w:rFonts w:asciiTheme="majorBidi" w:hAnsiTheme="majorBidi" w:cstheme="majorBidi"/>
              </w:rPr>
              <w:t>–</w:t>
            </w:r>
            <w:r w:rsidR="002D3C08">
              <w:rPr>
                <w:rFonts w:asciiTheme="majorBidi" w:hAnsiTheme="majorBidi" w:cstheme="majorBidi"/>
              </w:rPr>
              <w:t>2.</w:t>
            </w:r>
            <w:r w:rsidR="00AF330E">
              <w:rPr>
                <w:rFonts w:asciiTheme="majorBidi" w:hAnsiTheme="majorBidi" w:cstheme="majorBidi"/>
              </w:rPr>
              <w:t>6</w:t>
            </w:r>
            <w:r w:rsidR="00AD21E2">
              <w:rPr>
                <w:rFonts w:asciiTheme="majorBidi" w:hAnsiTheme="majorBidi" w:cstheme="majorBidi"/>
              </w:rPr>
              <w:t>)</w:t>
            </w:r>
          </w:p>
        </w:tc>
      </w:tr>
      <w:tr w:rsidR="00F53855" w:rsidRPr="00B23575" w:rsidTr="00BE556B">
        <w:trPr>
          <w:trHeight w:val="281"/>
          <w:tblHeader/>
        </w:trPr>
        <w:tc>
          <w:tcPr>
            <w:tcW w:w="2480" w:type="dxa"/>
            <w:tcBorders>
              <w:top w:val="nil"/>
              <w:left w:val="nil"/>
              <w:bottom w:val="single" w:sz="4" w:space="0" w:color="auto"/>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(range of forecasts)</w:t>
            </w:r>
          </w:p>
        </w:tc>
        <w:tc>
          <w:tcPr>
            <w:tcW w:w="2094" w:type="dxa"/>
            <w:tcBorders>
              <w:top w:val="nil"/>
              <w:left w:val="nil"/>
              <w:bottom w:val="single" w:sz="4" w:space="0" w:color="auto"/>
              <w:right w:val="nil"/>
            </w:tcBorders>
            <w:shd w:val="clear" w:color="auto" w:fill="auto"/>
            <w:vAlign w:val="center"/>
          </w:tcPr>
          <w:p w:rsidR="00F53855" w:rsidRPr="00211EF7" w:rsidRDefault="00F53855" w:rsidP="0044397B">
            <w:pPr>
              <w:bidi w:val="0"/>
              <w:jc w:val="center"/>
              <w:rPr>
                <w:rFonts w:asciiTheme="majorBidi" w:hAnsiTheme="majorBidi" w:cstheme="majorBidi"/>
              </w:rPr>
            </w:pPr>
          </w:p>
        </w:tc>
        <w:tc>
          <w:tcPr>
            <w:tcW w:w="1540" w:type="dxa"/>
            <w:tcBorders>
              <w:top w:val="nil"/>
              <w:left w:val="nil"/>
              <w:bottom w:val="single" w:sz="4" w:space="0" w:color="auto"/>
              <w:right w:val="nil"/>
            </w:tcBorders>
            <w:shd w:val="clear" w:color="auto" w:fill="auto"/>
            <w:vAlign w:val="center"/>
          </w:tcPr>
          <w:p w:rsidR="00F53855" w:rsidRPr="00211EF7" w:rsidRDefault="00F53855" w:rsidP="0044397B">
            <w:pPr>
              <w:bidi w:val="0"/>
              <w:jc w:val="center"/>
              <w:rPr>
                <w:rFonts w:asciiTheme="majorBidi" w:hAnsiTheme="majorBidi" w:cstheme="majorBidi"/>
              </w:rPr>
            </w:pPr>
          </w:p>
        </w:tc>
        <w:tc>
          <w:tcPr>
            <w:tcW w:w="2119" w:type="dxa"/>
            <w:tcBorders>
              <w:top w:val="nil"/>
              <w:left w:val="nil"/>
              <w:bottom w:val="nil"/>
              <w:right w:val="nil"/>
            </w:tcBorders>
            <w:shd w:val="clear" w:color="auto" w:fill="auto"/>
            <w:noWrap/>
            <w:vAlign w:val="center"/>
          </w:tcPr>
          <w:p w:rsidR="00F53855" w:rsidRPr="00211EF7" w:rsidRDefault="00F53855" w:rsidP="00B540ED">
            <w:pPr>
              <w:bidi w:val="0"/>
              <w:jc w:val="center"/>
              <w:rPr>
                <w:rFonts w:asciiTheme="majorBidi" w:hAnsiTheme="majorBidi" w:cstheme="majorBidi"/>
              </w:rPr>
            </w:pPr>
          </w:p>
        </w:tc>
      </w:tr>
      <w:tr w:rsidR="00F53855" w:rsidRPr="00B23575" w:rsidTr="004C2B26">
        <w:trPr>
          <w:trHeight w:val="274"/>
          <w:tblHeader/>
        </w:trPr>
        <w:tc>
          <w:tcPr>
            <w:tcW w:w="2480" w:type="dxa"/>
            <w:tcBorders>
              <w:top w:val="nil"/>
              <w:left w:val="nil"/>
              <w:bottom w:val="nil"/>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Interest rate</w:t>
            </w:r>
            <w:r w:rsidR="00446B32" w:rsidRPr="00211EF7">
              <w:rPr>
                <w:rFonts w:asciiTheme="majorBidi" w:hAnsiTheme="majorBidi" w:cstheme="majorBidi"/>
                <w:vertAlign w:val="superscript"/>
              </w:rPr>
              <w:t>d</w:t>
            </w:r>
          </w:p>
        </w:tc>
        <w:tc>
          <w:tcPr>
            <w:tcW w:w="2094" w:type="dxa"/>
            <w:tcBorders>
              <w:top w:val="nil"/>
              <w:left w:val="nil"/>
              <w:bottom w:val="nil"/>
              <w:right w:val="nil"/>
            </w:tcBorders>
            <w:shd w:val="clear" w:color="auto" w:fill="auto"/>
            <w:vAlign w:val="center"/>
          </w:tcPr>
          <w:p w:rsidR="00F53855" w:rsidRPr="00211EF7" w:rsidRDefault="00AF330E" w:rsidP="002D3C08">
            <w:pPr>
              <w:bidi w:val="0"/>
              <w:jc w:val="center"/>
              <w:rPr>
                <w:rFonts w:asciiTheme="majorBidi" w:hAnsiTheme="majorBidi" w:cstheme="majorBidi"/>
              </w:rPr>
            </w:pPr>
            <w:r>
              <w:t>3.75</w:t>
            </w:r>
            <w:r w:rsidR="00CF669B">
              <w:t>/4.00</w:t>
            </w:r>
          </w:p>
        </w:tc>
        <w:tc>
          <w:tcPr>
            <w:tcW w:w="1540" w:type="dxa"/>
            <w:tcBorders>
              <w:top w:val="nil"/>
              <w:left w:val="nil"/>
              <w:bottom w:val="nil"/>
              <w:right w:val="nil"/>
            </w:tcBorders>
            <w:shd w:val="clear" w:color="auto" w:fill="auto"/>
            <w:vAlign w:val="center"/>
          </w:tcPr>
          <w:p w:rsidR="004C2B26" w:rsidRPr="00211EF7" w:rsidRDefault="007E05AB" w:rsidP="00CF669B">
            <w:pPr>
              <w:bidi w:val="0"/>
              <w:jc w:val="center"/>
              <w:rPr>
                <w:rFonts w:asciiTheme="majorBidi" w:hAnsiTheme="majorBidi" w:cstheme="majorBidi"/>
              </w:rPr>
            </w:pPr>
            <w:r>
              <w:rPr>
                <w:rFonts w:asciiTheme="majorBidi" w:hAnsiTheme="majorBidi" w:cstheme="majorBidi"/>
              </w:rPr>
              <w:t>3</w:t>
            </w:r>
            <w:r w:rsidR="002D6565">
              <w:rPr>
                <w:rFonts w:asciiTheme="majorBidi" w:hAnsiTheme="majorBidi" w:cstheme="majorBidi"/>
              </w:rPr>
              <w:t>.</w:t>
            </w:r>
            <w:r w:rsidR="00CF669B">
              <w:rPr>
                <w:rFonts w:asciiTheme="majorBidi" w:hAnsiTheme="majorBidi" w:cstheme="majorBidi"/>
              </w:rPr>
              <w:t>4</w:t>
            </w:r>
          </w:p>
        </w:tc>
        <w:tc>
          <w:tcPr>
            <w:tcW w:w="2119" w:type="dxa"/>
            <w:tcBorders>
              <w:top w:val="single" w:sz="4" w:space="0" w:color="auto"/>
              <w:left w:val="nil"/>
              <w:bottom w:val="nil"/>
              <w:right w:val="nil"/>
            </w:tcBorders>
            <w:shd w:val="clear" w:color="auto" w:fill="auto"/>
            <w:vAlign w:val="center"/>
            <w:hideMark/>
          </w:tcPr>
          <w:p w:rsidR="00F53855" w:rsidRPr="00211EF7" w:rsidRDefault="005F1F9D" w:rsidP="00AF330E">
            <w:pPr>
              <w:bidi w:val="0"/>
              <w:jc w:val="center"/>
              <w:rPr>
                <w:rFonts w:asciiTheme="majorBidi" w:hAnsiTheme="majorBidi" w:cstheme="majorBidi"/>
              </w:rPr>
            </w:pPr>
            <w:r>
              <w:rPr>
                <w:rFonts w:asciiTheme="majorBidi" w:hAnsiTheme="majorBidi" w:cstheme="majorBidi"/>
              </w:rPr>
              <w:t>3.</w:t>
            </w:r>
            <w:r w:rsidR="002D3C08">
              <w:rPr>
                <w:rFonts w:asciiTheme="majorBidi" w:hAnsiTheme="majorBidi" w:cstheme="majorBidi"/>
              </w:rPr>
              <w:t>6</w:t>
            </w:r>
          </w:p>
        </w:tc>
      </w:tr>
      <w:tr w:rsidR="00F53855" w:rsidRPr="00B23575" w:rsidTr="00211EF7">
        <w:trPr>
          <w:trHeight w:val="275"/>
          <w:tblHeader/>
        </w:trPr>
        <w:tc>
          <w:tcPr>
            <w:tcW w:w="2480" w:type="dxa"/>
            <w:tcBorders>
              <w:top w:val="nil"/>
              <w:left w:val="nil"/>
              <w:bottom w:val="single" w:sz="4" w:space="0" w:color="auto"/>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r w:rsidRPr="00211EF7">
              <w:rPr>
                <w:rFonts w:asciiTheme="majorBidi" w:hAnsiTheme="majorBidi" w:cstheme="majorBidi"/>
              </w:rPr>
              <w:t>(range of forecasts)</w:t>
            </w:r>
          </w:p>
        </w:tc>
        <w:tc>
          <w:tcPr>
            <w:tcW w:w="2094" w:type="dxa"/>
            <w:tcBorders>
              <w:top w:val="nil"/>
              <w:left w:val="nil"/>
              <w:bottom w:val="single" w:sz="4" w:space="0" w:color="auto"/>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p>
        </w:tc>
        <w:tc>
          <w:tcPr>
            <w:tcW w:w="1540" w:type="dxa"/>
            <w:tcBorders>
              <w:top w:val="nil"/>
              <w:left w:val="nil"/>
              <w:bottom w:val="single" w:sz="4" w:space="0" w:color="auto"/>
              <w:right w:val="nil"/>
            </w:tcBorders>
            <w:shd w:val="clear" w:color="auto" w:fill="auto"/>
            <w:vAlign w:val="center"/>
            <w:hideMark/>
          </w:tcPr>
          <w:p w:rsidR="00F53855" w:rsidRPr="00211EF7" w:rsidRDefault="00F53855" w:rsidP="0044397B">
            <w:pPr>
              <w:bidi w:val="0"/>
              <w:jc w:val="center"/>
              <w:rPr>
                <w:rFonts w:asciiTheme="majorBidi" w:hAnsiTheme="majorBidi" w:cstheme="majorBidi"/>
              </w:rPr>
            </w:pPr>
          </w:p>
        </w:tc>
        <w:tc>
          <w:tcPr>
            <w:tcW w:w="2119" w:type="dxa"/>
            <w:tcBorders>
              <w:top w:val="nil"/>
              <w:left w:val="nil"/>
              <w:bottom w:val="single" w:sz="4" w:space="0" w:color="auto"/>
              <w:right w:val="nil"/>
            </w:tcBorders>
            <w:shd w:val="clear" w:color="auto" w:fill="auto"/>
            <w:noWrap/>
            <w:vAlign w:val="center"/>
            <w:hideMark/>
          </w:tcPr>
          <w:p w:rsidR="00F53855" w:rsidRPr="00211EF7" w:rsidRDefault="00F53855" w:rsidP="002D3C08">
            <w:pPr>
              <w:bidi w:val="0"/>
              <w:jc w:val="center"/>
              <w:rPr>
                <w:rFonts w:asciiTheme="majorBidi" w:hAnsiTheme="majorBidi" w:cstheme="majorBidi"/>
              </w:rPr>
            </w:pPr>
            <w:r w:rsidRPr="00211EF7">
              <w:rPr>
                <w:rFonts w:asciiTheme="majorBidi" w:hAnsiTheme="majorBidi" w:cstheme="majorBidi"/>
              </w:rPr>
              <w:t>(</w:t>
            </w:r>
            <w:r w:rsidR="00060A3E">
              <w:rPr>
                <w:rFonts w:asciiTheme="majorBidi" w:hAnsiTheme="majorBidi" w:cstheme="majorBidi"/>
              </w:rPr>
              <w:t>3.</w:t>
            </w:r>
            <w:r w:rsidR="002D3C08">
              <w:rPr>
                <w:rFonts w:asciiTheme="majorBidi" w:hAnsiTheme="majorBidi" w:cstheme="majorBidi"/>
              </w:rPr>
              <w:t>00</w:t>
            </w:r>
            <w:r w:rsidR="00A2696D">
              <w:rPr>
                <w:rFonts w:asciiTheme="majorBidi" w:hAnsiTheme="majorBidi" w:cstheme="majorBidi"/>
              </w:rPr>
              <w:t>–</w:t>
            </w:r>
            <w:r w:rsidR="00995A4F">
              <w:rPr>
                <w:rFonts w:asciiTheme="majorBidi" w:hAnsiTheme="majorBidi" w:cstheme="majorBidi"/>
              </w:rPr>
              <w:t>4.</w:t>
            </w:r>
            <w:r w:rsidR="005F1F9D">
              <w:rPr>
                <w:rFonts w:asciiTheme="majorBidi" w:hAnsiTheme="majorBidi" w:cstheme="majorBidi"/>
              </w:rPr>
              <w:t>00</w:t>
            </w:r>
            <w:r w:rsidR="001C55F7">
              <w:rPr>
                <w:rFonts w:asciiTheme="majorBidi" w:hAnsiTheme="majorBidi" w:cstheme="majorBidi"/>
              </w:rPr>
              <w:t>)</w:t>
            </w:r>
          </w:p>
        </w:tc>
      </w:tr>
      <w:tr w:rsidR="00A21D01" w:rsidRPr="00B23575" w:rsidTr="00A21D01">
        <w:trPr>
          <w:trHeight w:val="257"/>
          <w:tblHeader/>
        </w:trPr>
        <w:tc>
          <w:tcPr>
            <w:tcW w:w="8233" w:type="dxa"/>
            <w:gridSpan w:val="4"/>
            <w:tcBorders>
              <w:top w:val="nil"/>
              <w:left w:val="nil"/>
              <w:bottom w:val="nil"/>
              <w:right w:val="nil"/>
            </w:tcBorders>
            <w:shd w:val="clear" w:color="auto" w:fill="auto"/>
            <w:hideMark/>
          </w:tcPr>
          <w:p w:rsidR="00446B32" w:rsidRDefault="00446B32" w:rsidP="00AF330E">
            <w:pPr>
              <w:bidi w:val="0"/>
              <w:rPr>
                <w:rFonts w:asciiTheme="majorBidi" w:hAnsiTheme="majorBidi" w:cstheme="majorBidi"/>
                <w:sz w:val="20"/>
                <w:szCs w:val="20"/>
              </w:rPr>
            </w:pPr>
            <w:r>
              <w:rPr>
                <w:rFonts w:asciiTheme="majorBidi" w:hAnsiTheme="majorBidi" w:cstheme="majorBidi"/>
                <w:sz w:val="20"/>
                <w:szCs w:val="20"/>
              </w:rPr>
              <w:t xml:space="preserve">a) </w:t>
            </w:r>
            <w:r w:rsidR="00D62B59">
              <w:rPr>
                <w:rFonts w:asciiTheme="majorBidi" w:hAnsiTheme="majorBidi" w:cstheme="majorBidi"/>
                <w:sz w:val="20"/>
                <w:szCs w:val="20"/>
              </w:rPr>
              <w:t>Inflation expectations are seasonally adjusted</w:t>
            </w:r>
            <w:r w:rsidR="00A53FEA">
              <w:rPr>
                <w:rFonts w:asciiTheme="majorBidi" w:hAnsiTheme="majorBidi" w:cstheme="majorBidi"/>
                <w:sz w:val="20"/>
                <w:szCs w:val="20"/>
              </w:rPr>
              <w:t xml:space="preserve"> (</w:t>
            </w:r>
            <w:r w:rsidR="00DA623D">
              <w:rPr>
                <w:rFonts w:asciiTheme="majorBidi" w:hAnsiTheme="majorBidi" w:cstheme="majorBidi"/>
                <w:sz w:val="20"/>
                <w:szCs w:val="20"/>
              </w:rPr>
              <w:t>a</w:t>
            </w:r>
            <w:r w:rsidR="00862770">
              <w:rPr>
                <w:rFonts w:asciiTheme="majorBidi" w:hAnsiTheme="majorBidi" w:cstheme="majorBidi"/>
                <w:sz w:val="20"/>
                <w:szCs w:val="20"/>
              </w:rPr>
              <w:t xml:space="preserve">s of </w:t>
            </w:r>
            <w:r w:rsidR="00AF330E">
              <w:rPr>
                <w:rFonts w:asciiTheme="majorBidi" w:hAnsiTheme="majorBidi" w:cstheme="majorBidi"/>
                <w:sz w:val="20"/>
                <w:szCs w:val="20"/>
              </w:rPr>
              <w:t>December 31</w:t>
            </w:r>
            <w:r w:rsidR="00862770">
              <w:rPr>
                <w:rFonts w:asciiTheme="majorBidi" w:hAnsiTheme="majorBidi" w:cstheme="majorBidi"/>
                <w:sz w:val="20"/>
                <w:szCs w:val="20"/>
              </w:rPr>
              <w:t>, 202</w:t>
            </w:r>
            <w:r w:rsidR="00DA623D">
              <w:rPr>
                <w:rFonts w:asciiTheme="majorBidi" w:hAnsiTheme="majorBidi" w:cstheme="majorBidi"/>
                <w:sz w:val="20"/>
                <w:szCs w:val="20"/>
              </w:rPr>
              <w:t>3)</w:t>
            </w:r>
            <w:r w:rsidR="005650EE">
              <w:rPr>
                <w:rFonts w:asciiTheme="majorBidi" w:hAnsiTheme="majorBidi" w:cstheme="majorBidi"/>
                <w:sz w:val="20"/>
                <w:szCs w:val="20"/>
              </w:rPr>
              <w:t>.</w:t>
            </w:r>
          </w:p>
          <w:p w:rsidR="00446B32" w:rsidRDefault="00446B32" w:rsidP="00AF330E">
            <w:pPr>
              <w:bidi w:val="0"/>
              <w:rPr>
                <w:rFonts w:asciiTheme="majorBidi" w:hAnsiTheme="majorBidi" w:cstheme="majorBidi"/>
                <w:sz w:val="20"/>
                <w:szCs w:val="20"/>
              </w:rPr>
            </w:pPr>
            <w:r>
              <w:rPr>
                <w:rFonts w:asciiTheme="majorBidi" w:hAnsiTheme="majorBidi" w:cstheme="majorBidi"/>
                <w:sz w:val="20"/>
                <w:szCs w:val="20"/>
              </w:rPr>
              <w:t xml:space="preserve">b) </w:t>
            </w:r>
            <w:r w:rsidR="00046EE6">
              <w:rPr>
                <w:rFonts w:asciiTheme="majorBidi" w:hAnsiTheme="majorBidi" w:cstheme="majorBidi"/>
                <w:sz w:val="20"/>
                <w:szCs w:val="20"/>
              </w:rPr>
              <w:t xml:space="preserve">The </w:t>
            </w:r>
            <w:r w:rsidR="00BE556B">
              <w:rPr>
                <w:rFonts w:asciiTheme="majorBidi" w:hAnsiTheme="majorBidi" w:cstheme="majorBidi"/>
                <w:sz w:val="20"/>
                <w:szCs w:val="20"/>
              </w:rPr>
              <w:t xml:space="preserve">average of </w:t>
            </w:r>
            <w:r w:rsidR="00046EE6">
              <w:rPr>
                <w:rFonts w:asciiTheme="majorBidi" w:hAnsiTheme="majorBidi" w:cstheme="majorBidi"/>
                <w:sz w:val="20"/>
                <w:szCs w:val="20"/>
              </w:rPr>
              <w:t xml:space="preserve">forecasts published </w:t>
            </w:r>
            <w:r w:rsidR="00D62B59">
              <w:rPr>
                <w:rFonts w:asciiTheme="majorBidi" w:hAnsiTheme="majorBidi" w:cstheme="majorBidi"/>
                <w:sz w:val="20"/>
                <w:szCs w:val="20"/>
              </w:rPr>
              <w:t xml:space="preserve">following the publication of the Consumer Price Index for </w:t>
            </w:r>
            <w:r w:rsidR="00AF330E">
              <w:rPr>
                <w:rFonts w:asciiTheme="majorBidi" w:hAnsiTheme="majorBidi" w:cstheme="majorBidi"/>
                <w:sz w:val="20"/>
                <w:szCs w:val="20"/>
              </w:rPr>
              <w:t>November</w:t>
            </w:r>
            <w:r w:rsidR="00242401">
              <w:rPr>
                <w:rFonts w:asciiTheme="majorBidi" w:hAnsiTheme="majorBidi" w:cstheme="majorBidi"/>
                <w:sz w:val="20"/>
                <w:szCs w:val="20"/>
              </w:rPr>
              <w:t xml:space="preserve"> 2023</w:t>
            </w:r>
            <w:r>
              <w:rPr>
                <w:rFonts w:asciiTheme="majorBidi" w:hAnsiTheme="majorBidi" w:cstheme="majorBidi"/>
                <w:sz w:val="20"/>
                <w:szCs w:val="20"/>
              </w:rPr>
              <w:t>.</w:t>
            </w:r>
          </w:p>
          <w:p w:rsidR="00A21D01" w:rsidRPr="00B23575" w:rsidRDefault="00446B32" w:rsidP="00AF330E">
            <w:pPr>
              <w:bidi w:val="0"/>
              <w:rPr>
                <w:rFonts w:asciiTheme="majorBidi" w:hAnsiTheme="majorBidi" w:cstheme="majorBidi"/>
                <w:sz w:val="20"/>
                <w:szCs w:val="20"/>
              </w:rPr>
            </w:pPr>
            <w:r>
              <w:rPr>
                <w:rFonts w:asciiTheme="majorBidi" w:hAnsiTheme="majorBidi" w:cstheme="majorBidi"/>
                <w:sz w:val="20"/>
                <w:szCs w:val="20"/>
              </w:rPr>
              <w:t>c</w:t>
            </w:r>
            <w:r w:rsidR="00A21D01" w:rsidRPr="00B23575">
              <w:rPr>
                <w:rFonts w:asciiTheme="majorBidi" w:hAnsiTheme="majorBidi" w:cstheme="majorBidi"/>
                <w:sz w:val="20"/>
                <w:szCs w:val="20"/>
              </w:rPr>
              <w:t xml:space="preserve">) Research </w:t>
            </w:r>
            <w:r w:rsidR="00A21D01" w:rsidRPr="00C378E2">
              <w:rPr>
                <w:rFonts w:asciiTheme="majorBidi" w:hAnsiTheme="majorBidi" w:cstheme="majorBidi"/>
                <w:sz w:val="20"/>
                <w:szCs w:val="20"/>
              </w:rPr>
              <w:t xml:space="preserve">Department: </w:t>
            </w:r>
            <w:r w:rsidR="00D40032">
              <w:rPr>
                <w:rFonts w:asciiTheme="majorBidi" w:hAnsiTheme="majorBidi" w:cstheme="majorBidi"/>
                <w:sz w:val="20"/>
                <w:szCs w:val="20"/>
              </w:rPr>
              <w:t xml:space="preserve">the </w:t>
            </w:r>
            <w:r w:rsidR="00DA623D">
              <w:rPr>
                <w:rFonts w:asciiTheme="majorBidi" w:hAnsiTheme="majorBidi" w:cstheme="majorBidi"/>
                <w:sz w:val="20"/>
                <w:szCs w:val="20"/>
              </w:rPr>
              <w:t>inflation rate</w:t>
            </w:r>
            <w:r w:rsidR="00C51B50">
              <w:rPr>
                <w:rFonts w:asciiTheme="majorBidi" w:hAnsiTheme="majorBidi" w:cstheme="majorBidi"/>
                <w:sz w:val="20"/>
                <w:szCs w:val="20"/>
              </w:rPr>
              <w:t xml:space="preserve"> </w:t>
            </w:r>
            <w:r w:rsidR="00D40032">
              <w:rPr>
                <w:rFonts w:asciiTheme="majorBidi" w:hAnsiTheme="majorBidi" w:cstheme="majorBidi"/>
                <w:sz w:val="20"/>
                <w:szCs w:val="20"/>
              </w:rPr>
              <w:t xml:space="preserve">during the four quarters ending </w:t>
            </w:r>
            <w:r w:rsidR="00C51B50">
              <w:rPr>
                <w:rFonts w:asciiTheme="majorBidi" w:hAnsiTheme="majorBidi" w:cstheme="majorBidi"/>
                <w:sz w:val="20"/>
                <w:szCs w:val="20"/>
              </w:rPr>
              <w:t xml:space="preserve">in the </w:t>
            </w:r>
            <w:r w:rsidR="00AF330E">
              <w:rPr>
                <w:rFonts w:asciiTheme="majorBidi" w:hAnsiTheme="majorBidi" w:cstheme="majorBidi"/>
                <w:sz w:val="20"/>
                <w:szCs w:val="20"/>
              </w:rPr>
              <w:t>fourth</w:t>
            </w:r>
            <w:r w:rsidR="004C2B26">
              <w:rPr>
                <w:rFonts w:asciiTheme="majorBidi" w:hAnsiTheme="majorBidi" w:cstheme="majorBidi"/>
                <w:sz w:val="20"/>
                <w:szCs w:val="20"/>
              </w:rPr>
              <w:t xml:space="preserve"> </w:t>
            </w:r>
            <w:r w:rsidR="00C51B50">
              <w:rPr>
                <w:rFonts w:asciiTheme="majorBidi" w:hAnsiTheme="majorBidi" w:cstheme="majorBidi"/>
                <w:sz w:val="20"/>
                <w:szCs w:val="20"/>
              </w:rPr>
              <w:t>quarter of 2</w:t>
            </w:r>
            <w:r w:rsidR="00725CB0">
              <w:rPr>
                <w:rFonts w:asciiTheme="majorBidi" w:hAnsiTheme="majorBidi" w:cstheme="majorBidi"/>
                <w:sz w:val="20"/>
                <w:szCs w:val="20"/>
              </w:rPr>
              <w:t>02</w:t>
            </w:r>
            <w:r w:rsidR="00DA623D">
              <w:rPr>
                <w:rFonts w:asciiTheme="majorBidi" w:hAnsiTheme="majorBidi" w:cstheme="majorBidi"/>
                <w:sz w:val="20"/>
                <w:szCs w:val="20"/>
              </w:rPr>
              <w:t>4</w:t>
            </w:r>
            <w:r w:rsidR="007864A7" w:rsidRPr="00C378E2">
              <w:rPr>
                <w:rFonts w:asciiTheme="majorBidi" w:hAnsiTheme="majorBidi" w:cstheme="majorBidi"/>
                <w:sz w:val="20"/>
                <w:szCs w:val="20"/>
              </w:rPr>
              <w:t>.</w:t>
            </w:r>
            <w:r w:rsidR="00DA623D">
              <w:rPr>
                <w:rFonts w:asciiTheme="majorBidi" w:hAnsiTheme="majorBidi" w:cstheme="majorBidi"/>
                <w:sz w:val="20"/>
                <w:szCs w:val="20"/>
              </w:rPr>
              <w:t xml:space="preserve"> </w:t>
            </w:r>
          </w:p>
        </w:tc>
      </w:tr>
      <w:tr w:rsidR="00A21D01" w:rsidRPr="00B23575" w:rsidTr="00A21D01">
        <w:trPr>
          <w:trHeight w:val="445"/>
          <w:tblHeader/>
        </w:trPr>
        <w:tc>
          <w:tcPr>
            <w:tcW w:w="8233" w:type="dxa"/>
            <w:gridSpan w:val="4"/>
            <w:tcBorders>
              <w:top w:val="nil"/>
              <w:left w:val="nil"/>
              <w:bottom w:val="nil"/>
              <w:right w:val="nil"/>
            </w:tcBorders>
            <w:shd w:val="clear" w:color="auto" w:fill="auto"/>
            <w:hideMark/>
          </w:tcPr>
          <w:p w:rsidR="00A21D01" w:rsidRDefault="00446B32" w:rsidP="00AF330E">
            <w:pPr>
              <w:bidi w:val="0"/>
              <w:rPr>
                <w:rFonts w:asciiTheme="majorBidi" w:hAnsiTheme="majorBidi" w:cstheme="majorBidi"/>
                <w:sz w:val="20"/>
                <w:szCs w:val="20"/>
              </w:rPr>
            </w:pPr>
            <w:r>
              <w:rPr>
                <w:rFonts w:asciiTheme="majorBidi" w:hAnsiTheme="majorBidi" w:cstheme="majorBidi"/>
                <w:sz w:val="20"/>
                <w:szCs w:val="20"/>
              </w:rPr>
              <w:t>d</w:t>
            </w:r>
            <w:r w:rsidR="00A21D01" w:rsidRPr="00B23575">
              <w:rPr>
                <w:rFonts w:asciiTheme="majorBidi" w:hAnsiTheme="majorBidi" w:cstheme="majorBidi"/>
                <w:sz w:val="20"/>
                <w:szCs w:val="20"/>
              </w:rPr>
              <w:t>)</w:t>
            </w:r>
            <w:r w:rsidR="00A21D01">
              <w:rPr>
                <w:rFonts w:asciiTheme="majorBidi" w:hAnsiTheme="majorBidi" w:cstheme="majorBidi"/>
                <w:sz w:val="20"/>
                <w:szCs w:val="20"/>
              </w:rPr>
              <w:t xml:space="preserve"> </w:t>
            </w:r>
            <w:r w:rsidR="002945D2">
              <w:rPr>
                <w:rFonts w:asciiTheme="majorBidi" w:hAnsiTheme="majorBidi" w:cstheme="majorBidi"/>
                <w:sz w:val="20"/>
                <w:szCs w:val="20"/>
              </w:rPr>
              <w:t>Research Department:</w:t>
            </w:r>
            <w:r w:rsidR="00862770">
              <w:rPr>
                <w:rFonts w:asciiTheme="majorBidi" w:hAnsiTheme="majorBidi" w:cstheme="majorBidi"/>
                <w:sz w:val="20"/>
                <w:szCs w:val="20"/>
              </w:rPr>
              <w:t xml:space="preserve"> </w:t>
            </w:r>
            <w:r w:rsidR="00DA623D">
              <w:rPr>
                <w:rFonts w:asciiTheme="majorBidi" w:hAnsiTheme="majorBidi" w:cstheme="majorBidi"/>
                <w:sz w:val="20"/>
                <w:szCs w:val="20"/>
              </w:rPr>
              <w:t xml:space="preserve">the </w:t>
            </w:r>
            <w:r w:rsidR="00862770">
              <w:rPr>
                <w:rFonts w:asciiTheme="majorBidi" w:hAnsiTheme="majorBidi" w:cstheme="majorBidi"/>
                <w:sz w:val="20"/>
                <w:szCs w:val="20"/>
              </w:rPr>
              <w:t>average interest rate</w:t>
            </w:r>
            <w:r w:rsidR="002945D2">
              <w:rPr>
                <w:rFonts w:asciiTheme="majorBidi" w:hAnsiTheme="majorBidi" w:cstheme="majorBidi"/>
                <w:sz w:val="20"/>
                <w:szCs w:val="20"/>
              </w:rPr>
              <w:t xml:space="preserve"> in the </w:t>
            </w:r>
            <w:r w:rsidR="00AF330E">
              <w:rPr>
                <w:rFonts w:asciiTheme="majorBidi" w:hAnsiTheme="majorBidi" w:cstheme="majorBidi"/>
                <w:sz w:val="20"/>
                <w:szCs w:val="20"/>
              </w:rPr>
              <w:t>fourth</w:t>
            </w:r>
            <w:r w:rsidR="00725CB0">
              <w:rPr>
                <w:rFonts w:asciiTheme="majorBidi" w:hAnsiTheme="majorBidi" w:cstheme="majorBidi"/>
                <w:sz w:val="20"/>
                <w:szCs w:val="20"/>
              </w:rPr>
              <w:t xml:space="preserve"> </w:t>
            </w:r>
            <w:r w:rsidR="002945D2">
              <w:rPr>
                <w:rFonts w:asciiTheme="majorBidi" w:hAnsiTheme="majorBidi" w:cstheme="majorBidi"/>
                <w:sz w:val="20"/>
                <w:szCs w:val="20"/>
              </w:rPr>
              <w:t>quarter of 20</w:t>
            </w:r>
            <w:r w:rsidR="00725CB0">
              <w:rPr>
                <w:rFonts w:asciiTheme="majorBidi" w:hAnsiTheme="majorBidi" w:cstheme="majorBidi"/>
                <w:sz w:val="20"/>
                <w:szCs w:val="20"/>
              </w:rPr>
              <w:t>2</w:t>
            </w:r>
            <w:r w:rsidR="00995A4F">
              <w:rPr>
                <w:rFonts w:asciiTheme="majorBidi" w:hAnsiTheme="majorBidi" w:cstheme="majorBidi"/>
                <w:sz w:val="20"/>
                <w:szCs w:val="20"/>
              </w:rPr>
              <w:t>4</w:t>
            </w:r>
            <w:r w:rsidR="002945D2">
              <w:rPr>
                <w:rFonts w:asciiTheme="majorBidi" w:hAnsiTheme="majorBidi" w:cstheme="majorBidi"/>
                <w:sz w:val="20"/>
                <w:szCs w:val="20"/>
              </w:rPr>
              <w:t>. Expectations</w:t>
            </w:r>
            <w:r w:rsidR="00046EE6">
              <w:rPr>
                <w:rFonts w:asciiTheme="majorBidi" w:hAnsiTheme="majorBidi" w:cstheme="majorBidi"/>
                <w:sz w:val="20"/>
                <w:szCs w:val="20"/>
              </w:rPr>
              <w:t xml:space="preserve"> derived</w:t>
            </w:r>
            <w:r w:rsidR="002945D2">
              <w:rPr>
                <w:rFonts w:asciiTheme="majorBidi" w:hAnsiTheme="majorBidi" w:cstheme="majorBidi"/>
                <w:sz w:val="20"/>
                <w:szCs w:val="20"/>
              </w:rPr>
              <w:t xml:space="preserve"> from the capital market are b</w:t>
            </w:r>
            <w:r w:rsidR="004E71DD">
              <w:rPr>
                <w:rFonts w:asciiTheme="majorBidi" w:hAnsiTheme="majorBidi" w:cstheme="majorBidi"/>
                <w:sz w:val="20"/>
                <w:szCs w:val="20"/>
              </w:rPr>
              <w:t>a</w:t>
            </w:r>
            <w:r w:rsidR="002945D2">
              <w:rPr>
                <w:rFonts w:asciiTheme="majorBidi" w:hAnsiTheme="majorBidi" w:cstheme="majorBidi"/>
                <w:sz w:val="20"/>
                <w:szCs w:val="20"/>
              </w:rPr>
              <w:t xml:space="preserve">sed on the </w:t>
            </w:r>
            <w:proofErr w:type="spellStart"/>
            <w:r w:rsidR="00D45EF8">
              <w:rPr>
                <w:rFonts w:asciiTheme="majorBidi" w:hAnsiTheme="majorBidi" w:cstheme="majorBidi"/>
                <w:sz w:val="20"/>
                <w:szCs w:val="20"/>
              </w:rPr>
              <w:t>Telbor</w:t>
            </w:r>
            <w:proofErr w:type="spellEnd"/>
            <w:r w:rsidR="00D45EF8">
              <w:rPr>
                <w:rFonts w:asciiTheme="majorBidi" w:hAnsiTheme="majorBidi" w:cstheme="majorBidi"/>
                <w:sz w:val="20"/>
                <w:szCs w:val="20"/>
              </w:rPr>
              <w:t xml:space="preserve"> market</w:t>
            </w:r>
            <w:r w:rsidR="00DA623D">
              <w:rPr>
                <w:rFonts w:asciiTheme="majorBidi" w:hAnsiTheme="majorBidi" w:cstheme="majorBidi"/>
                <w:sz w:val="20"/>
                <w:szCs w:val="20"/>
              </w:rPr>
              <w:t xml:space="preserve"> </w:t>
            </w:r>
            <w:r w:rsidR="00324468">
              <w:rPr>
                <w:rFonts w:asciiTheme="majorBidi" w:hAnsiTheme="majorBidi" w:cstheme="majorBidi"/>
                <w:sz w:val="20"/>
                <w:szCs w:val="20"/>
              </w:rPr>
              <w:t>(</w:t>
            </w:r>
            <w:r w:rsidR="00862770">
              <w:rPr>
                <w:rFonts w:asciiTheme="majorBidi" w:hAnsiTheme="majorBidi" w:cstheme="majorBidi"/>
                <w:sz w:val="20"/>
                <w:szCs w:val="20"/>
              </w:rPr>
              <w:t xml:space="preserve">as of </w:t>
            </w:r>
            <w:r w:rsidR="00AF330E">
              <w:rPr>
                <w:rFonts w:asciiTheme="majorBidi" w:hAnsiTheme="majorBidi" w:cstheme="majorBidi"/>
                <w:sz w:val="20"/>
                <w:szCs w:val="20"/>
              </w:rPr>
              <w:t>December 31</w:t>
            </w:r>
            <w:r w:rsidR="00862770">
              <w:rPr>
                <w:rFonts w:asciiTheme="majorBidi" w:hAnsiTheme="majorBidi" w:cstheme="majorBidi"/>
                <w:sz w:val="20"/>
                <w:szCs w:val="20"/>
              </w:rPr>
              <w:t>, 202</w:t>
            </w:r>
            <w:r w:rsidR="00DA623D">
              <w:rPr>
                <w:rFonts w:asciiTheme="majorBidi" w:hAnsiTheme="majorBidi" w:cstheme="majorBidi"/>
                <w:sz w:val="20"/>
                <w:szCs w:val="20"/>
              </w:rPr>
              <w:t>3</w:t>
            </w:r>
            <w:r w:rsidR="00324468">
              <w:rPr>
                <w:rFonts w:asciiTheme="majorBidi" w:hAnsiTheme="majorBidi" w:cstheme="majorBidi"/>
                <w:sz w:val="20"/>
                <w:szCs w:val="20"/>
              </w:rPr>
              <w:t>)</w:t>
            </w:r>
            <w:r w:rsidR="002945D2">
              <w:rPr>
                <w:rFonts w:asciiTheme="majorBidi" w:hAnsiTheme="majorBidi" w:cstheme="majorBidi"/>
                <w:sz w:val="20"/>
                <w:szCs w:val="20"/>
              </w:rPr>
              <w:t>.</w:t>
            </w:r>
          </w:p>
          <w:p w:rsidR="00FE6484" w:rsidRPr="00B23575" w:rsidRDefault="00FE6484" w:rsidP="00FE6484">
            <w:pPr>
              <w:bidi w:val="0"/>
              <w:rPr>
                <w:rFonts w:asciiTheme="majorBidi" w:hAnsiTheme="majorBidi" w:cstheme="majorBidi"/>
                <w:sz w:val="20"/>
                <w:szCs w:val="20"/>
                <w:rtl/>
              </w:rPr>
            </w:pPr>
            <w:r>
              <w:rPr>
                <w:rFonts w:asciiTheme="majorBidi" w:hAnsiTheme="majorBidi" w:cstheme="majorBidi"/>
                <w:sz w:val="20"/>
                <w:szCs w:val="20"/>
              </w:rPr>
              <w:t>SOURCE: Bank of Israel.</w:t>
            </w:r>
          </w:p>
        </w:tc>
      </w:tr>
    </w:tbl>
    <w:p w:rsidR="00D211EC" w:rsidRDefault="00D211EC" w:rsidP="009335C7">
      <w:pPr>
        <w:bidi w:val="0"/>
        <w:jc w:val="both"/>
        <w:rPr>
          <w:b/>
          <w:bCs/>
        </w:rPr>
      </w:pPr>
    </w:p>
    <w:p w:rsidR="00A21D01" w:rsidRDefault="00A21D01" w:rsidP="00A21D01">
      <w:pPr>
        <w:bidi w:val="0"/>
        <w:spacing w:line="300" w:lineRule="exact"/>
        <w:jc w:val="both"/>
      </w:pPr>
    </w:p>
    <w:p w:rsidR="00A21D01" w:rsidRPr="00CD2FC5" w:rsidRDefault="006648AB" w:rsidP="00202CCB">
      <w:pPr>
        <w:numPr>
          <w:ilvl w:val="0"/>
          <w:numId w:val="9"/>
        </w:numPr>
        <w:bidi w:val="0"/>
        <w:spacing w:line="360" w:lineRule="auto"/>
        <w:ind w:left="357" w:hanging="357"/>
        <w:jc w:val="both"/>
        <w:rPr>
          <w:b/>
          <w:bCs/>
        </w:rPr>
      </w:pPr>
      <w:r w:rsidRPr="00764EAD">
        <w:rPr>
          <w:b/>
          <w:bCs/>
        </w:rPr>
        <w:t>Main r</w:t>
      </w:r>
      <w:r w:rsidR="00A21D01" w:rsidRPr="00764EAD">
        <w:rPr>
          <w:b/>
          <w:bCs/>
        </w:rPr>
        <w:t xml:space="preserve">isks </w:t>
      </w:r>
      <w:r w:rsidR="00202CCB" w:rsidRPr="00764EAD">
        <w:rPr>
          <w:b/>
          <w:bCs/>
        </w:rPr>
        <w:t>to</w:t>
      </w:r>
      <w:r w:rsidR="00202CCB">
        <w:rPr>
          <w:b/>
          <w:bCs/>
        </w:rPr>
        <w:t xml:space="preserve"> </w:t>
      </w:r>
      <w:r w:rsidR="00A21D01">
        <w:rPr>
          <w:b/>
          <w:bCs/>
        </w:rPr>
        <w:t>the forecast</w:t>
      </w:r>
    </w:p>
    <w:p w:rsidR="00FF22EB" w:rsidRDefault="00FF22EB" w:rsidP="00425B3F">
      <w:pPr>
        <w:bidi w:val="0"/>
        <w:jc w:val="both"/>
      </w:pPr>
    </w:p>
    <w:p w:rsidR="00AF330E" w:rsidRDefault="00995A4F" w:rsidP="004E6580">
      <w:pPr>
        <w:bidi w:val="0"/>
        <w:jc w:val="both"/>
      </w:pPr>
      <w:r>
        <w:lastRenderedPageBreak/>
        <w:t>The forecast</w:t>
      </w:r>
      <w:r w:rsidR="00F36C49">
        <w:t xml:space="preserve"> </w:t>
      </w:r>
      <w:r w:rsidR="00AF330E">
        <w:t xml:space="preserve">is based on the assumption that </w:t>
      </w:r>
      <w:r w:rsidR="00F36C49">
        <w:t xml:space="preserve">the </w:t>
      </w:r>
      <w:r w:rsidR="00D372F5" w:rsidRPr="00D372F5">
        <w:t>main part</w:t>
      </w:r>
      <w:r w:rsidR="00660ADD">
        <w:t xml:space="preserve"> </w:t>
      </w:r>
      <w:r w:rsidR="005F1F9D">
        <w:t xml:space="preserve">of </w:t>
      </w:r>
      <w:r w:rsidR="00AF330E">
        <w:t>the war</w:t>
      </w:r>
      <w:r w:rsidR="00D372F5" w:rsidRPr="00D372F5" w:rsidDel="00D372F5">
        <w:t xml:space="preserve"> </w:t>
      </w:r>
      <w:r w:rsidR="00D372F5">
        <w:t>will</w:t>
      </w:r>
      <w:r w:rsidR="005F1F9D">
        <w:t xml:space="preserve"> be </w:t>
      </w:r>
      <w:r w:rsidR="002512BB">
        <w:t xml:space="preserve">on one front against the terrorist organizations in Gaza, and </w:t>
      </w:r>
      <w:r w:rsidR="002D3C08">
        <w:t>that its effects will continue into 2024 with declining intensity</w:t>
      </w:r>
      <w:r w:rsidR="005F1F9D">
        <w:t xml:space="preserve">. </w:t>
      </w:r>
      <w:r w:rsidR="00AF330E">
        <w:t>Various developments that may affect th</w:t>
      </w:r>
      <w:r w:rsidR="005F1F9D">
        <w:t>e duration</w:t>
      </w:r>
      <w:r w:rsidR="004E6580">
        <w:t xml:space="preserve"> and severity</w:t>
      </w:r>
      <w:r w:rsidR="005F1F9D">
        <w:t xml:space="preserve"> of the war will obviously </w:t>
      </w:r>
      <w:r w:rsidR="00F36C49">
        <w:t>have a material impact on</w:t>
      </w:r>
      <w:r w:rsidR="005F1F9D">
        <w:t xml:space="preserve"> economic developments.</w:t>
      </w:r>
      <w:r w:rsidR="002D3C08">
        <w:t xml:space="preserve"> </w:t>
      </w:r>
      <w:r w:rsidR="00AF330E">
        <w:t xml:space="preserve">In particular, an expansion of the war to the northern front, which, according to assessment, is more complex than the southern front, is expected to have a more serious economic impact.  Such an expansion will be accompanied by an additional impact to growth, and for some time will lead to interruptions in the ability to conduct routine economic activity.  As a result, it </w:t>
      </w:r>
      <w:r w:rsidR="004E6580">
        <w:t>may</w:t>
      </w:r>
      <w:r w:rsidR="00AF330E">
        <w:t xml:space="preserve"> again undermine stability in the markets and lead to upward pressure on inflation.  In view of this possibility, our assessment is that the balance of risks to the Research Department’s forecast tends to be downward.  In making policy decisions—both monetary and fiscal—it is important to recognize that there is considerable likelihood of such a development during the forecast range.</w:t>
      </w:r>
    </w:p>
    <w:p w:rsidR="00AF330E" w:rsidRDefault="00AF330E" w:rsidP="00AF330E">
      <w:pPr>
        <w:bidi w:val="0"/>
        <w:jc w:val="both"/>
      </w:pPr>
    </w:p>
    <w:p w:rsidR="00AF330E" w:rsidRDefault="002D3C08" w:rsidP="004E6580">
      <w:pPr>
        <w:bidi w:val="0"/>
        <w:jc w:val="both"/>
      </w:pPr>
      <w:r>
        <w:t xml:space="preserve">In the fiscal realm, there are risks </w:t>
      </w:r>
      <w:r w:rsidR="00AF330E">
        <w:t xml:space="preserve">to the forecast </w:t>
      </w:r>
      <w:r>
        <w:t>due to the uncertainty with regard to the volume and finan</w:t>
      </w:r>
      <w:r w:rsidR="00D16DFB">
        <w:t xml:space="preserve">cing of government expenditures.  If the government decides to further increase expenditures and/or avoid reducing other expenditures, the deficit and debt are expected to grow further accordingly.  </w:t>
      </w:r>
      <w:r w:rsidR="00AF330E">
        <w:t xml:space="preserve">In a scenario in which the government chooses not to make any budgetary adjustments during the coming years, while significantly increasing the structural deficit, the debt to GDP ratio </w:t>
      </w:r>
      <w:r w:rsidR="004E6580">
        <w:t>is expected to</w:t>
      </w:r>
      <w:r w:rsidR="00AF330E">
        <w:t xml:space="preserve"> continue increas</w:t>
      </w:r>
      <w:r w:rsidR="004E6580">
        <w:t>ing</w:t>
      </w:r>
      <w:r w:rsidR="00AF330E">
        <w:t xml:space="preserve"> even beyond the forecast range.</w:t>
      </w:r>
    </w:p>
    <w:p w:rsidR="00AF330E" w:rsidRDefault="00AF330E" w:rsidP="00AF330E">
      <w:pPr>
        <w:bidi w:val="0"/>
        <w:jc w:val="both"/>
      </w:pPr>
    </w:p>
    <w:p w:rsidR="00AF330E" w:rsidRDefault="00AF330E" w:rsidP="004E6580">
      <w:pPr>
        <w:bidi w:val="0"/>
        <w:jc w:val="both"/>
      </w:pPr>
      <w:r>
        <w:t xml:space="preserve">Such a </w:t>
      </w:r>
      <w:r w:rsidR="004E6580">
        <w:t>policy</w:t>
      </w:r>
      <w:r>
        <w:t xml:space="preserve"> is expected to have negative implications for the economy</w:t>
      </w:r>
      <w:r w:rsidR="004E6580">
        <w:t>.</w:t>
      </w:r>
      <w:r>
        <w:t xml:space="preserve"> </w:t>
      </w:r>
      <w:r w:rsidR="004E6580">
        <w:t>These may</w:t>
      </w:r>
      <w:r>
        <w:t xml:space="preserve"> be reflected in increases in the country’s risk premium and in bond yields, a possible lowering of the country’s credit rating, a depreciation of the shekel, an increase in the interest rate, and an increase in inflation.  In such a scenario, the burden of interest payments on the debt will increase even further in the coming years, </w:t>
      </w:r>
      <w:r w:rsidR="00C8406C">
        <w:t>in addition</w:t>
      </w:r>
      <w:r>
        <w:t xml:space="preserve"> to the increase in defense and civilian expenditures.</w:t>
      </w:r>
      <w:r w:rsidR="00C8406C">
        <w:t xml:space="preserve">  The increase in the interest rate, alongside the impact to market trust, are </w:t>
      </w:r>
      <w:r w:rsidR="004E6580">
        <w:t xml:space="preserve">also </w:t>
      </w:r>
      <w:r w:rsidR="00C8406C">
        <w:t xml:space="preserve">expected to lead to investments being </w:t>
      </w:r>
      <w:r w:rsidR="004E6580">
        <w:t>crowded out</w:t>
      </w:r>
      <w:r w:rsidR="00C8406C">
        <w:t xml:space="preserve">, which would lead to a decline in potential GDP and in growth in the following years.  </w:t>
      </w:r>
    </w:p>
    <w:p w:rsidR="00C8406C" w:rsidRDefault="00C8406C" w:rsidP="00C8406C">
      <w:pPr>
        <w:bidi w:val="0"/>
        <w:jc w:val="both"/>
      </w:pPr>
    </w:p>
    <w:p w:rsidR="00C8406C" w:rsidRDefault="004E6580" w:rsidP="00CF669B">
      <w:pPr>
        <w:bidi w:val="0"/>
        <w:jc w:val="both"/>
      </w:pPr>
      <w:r>
        <w:t>I</w:t>
      </w:r>
      <w:r w:rsidR="00C8406C">
        <w:t>t is difficult to predict the intensity of the response of Israel’s risk premium and its effects on economic activity</w:t>
      </w:r>
      <w:r>
        <w:t>.</w:t>
      </w:r>
      <w:r w:rsidR="00C8406C">
        <w:t xml:space="preserve"> </w:t>
      </w:r>
      <w:r>
        <w:t>I</w:t>
      </w:r>
      <w:r w:rsidR="00C8406C">
        <w:t xml:space="preserve">n order to examine the debt’s sensitivity to the growth rates and the interest rate on public debt, we </w:t>
      </w:r>
      <w:r>
        <w:t>analyzed different</w:t>
      </w:r>
      <w:r w:rsidR="00C8406C">
        <w:t xml:space="preserve"> scenarios in which the government does not make any adjustments.  In the first scenario, the markets respond in a linear fashion, the debt gradually becomes more expensive due to an increase in demand for capital on the part of the government</w:t>
      </w:r>
      <w:r w:rsidR="008862AC">
        <w:rPr>
          <w:rStyle w:val="ac"/>
        </w:rPr>
        <w:footnoteReference w:id="5"/>
      </w:r>
      <w:r w:rsidR="00C8406C">
        <w:t xml:space="preserve">, and GDP grows from 2026 onward according to the potential growth rate.  </w:t>
      </w:r>
      <w:r>
        <w:t xml:space="preserve">In the other scenarios, the financial markets’ risk premium responds earlier to the expected </w:t>
      </w:r>
      <w:r w:rsidR="008862AC">
        <w:t>growth of the debt to GDP ratio:  The interest on new debt raised jumps by 100 basis points in 2024, and continues to increase in a linear fashion with the increase in the debt-to-GDP ratio.</w:t>
      </w:r>
      <w:r>
        <w:t xml:space="preserve">  In some of these scenarios, the increased risk premium also contracts economic growth by 0.5 percentage points during each of 2024 and 2025</w:t>
      </w:r>
      <w:r w:rsidR="008862AC">
        <w:t xml:space="preserve">, before climbing back </w:t>
      </w:r>
      <w:r>
        <w:t xml:space="preserve">to its pre-COVID and prewar levels, </w:t>
      </w:r>
      <w:r w:rsidR="008862AC">
        <w:t xml:space="preserve">while </w:t>
      </w:r>
      <w:r>
        <w:t>in other scenarios the contraction of the growth rate becomes permanent.</w:t>
      </w:r>
      <w:r w:rsidR="00C8406C">
        <w:t xml:space="preserve">  The results of the simulation</w:t>
      </w:r>
      <w:r>
        <w:t>s</w:t>
      </w:r>
      <w:r w:rsidR="00C8406C">
        <w:t xml:space="preserve"> show that the</w:t>
      </w:r>
      <w:r w:rsidR="000A776C">
        <w:t xml:space="preserve"> debt to GDP ratio </w:t>
      </w:r>
      <w:r w:rsidR="00CF669B">
        <w:t>is expected to</w:t>
      </w:r>
      <w:r>
        <w:t xml:space="preserve"> </w:t>
      </w:r>
      <w:r w:rsidR="000A776C">
        <w:t>increase</w:t>
      </w:r>
      <w:r>
        <w:t xml:space="preserve"> </w:t>
      </w:r>
      <w:r w:rsidR="00CF669B">
        <w:t xml:space="preserve">rapidly </w:t>
      </w:r>
      <w:r>
        <w:t>under some scenarios, such that by the year 2030, it would reach</w:t>
      </w:r>
      <w:r w:rsidR="00C8406C">
        <w:t xml:space="preserve"> to 72–8</w:t>
      </w:r>
      <w:r>
        <w:t>0</w:t>
      </w:r>
      <w:r w:rsidR="00C8406C">
        <w:t xml:space="preserve"> percent of GDP, compared </w:t>
      </w:r>
      <w:r w:rsidR="000A776C">
        <w:t>with</w:t>
      </w:r>
      <w:r w:rsidR="00C8406C">
        <w:t xml:space="preserve"> 63 percent in the scenario that includes</w:t>
      </w:r>
      <w:r>
        <w:t xml:space="preserve"> the</w:t>
      </w:r>
      <w:r w:rsidR="00C8406C">
        <w:t xml:space="preserve"> adjustments</w:t>
      </w:r>
      <w:r>
        <w:t xml:space="preserve"> required to fully offset the permanent increase in expenses</w:t>
      </w:r>
      <w:r w:rsidR="00C8406C">
        <w:t xml:space="preserve">.  It is difficult to assess when exactly the markets will react to such a dynamic, but in the end, as experience in Israel and abroad shows, it will require </w:t>
      </w:r>
      <w:r>
        <w:t xml:space="preserve">adjustments </w:t>
      </w:r>
      <w:r w:rsidR="00C8406C">
        <w:t>on a much larger scale than what is necessary today.</w:t>
      </w:r>
    </w:p>
    <w:sectPr w:rsidR="00C8406C" w:rsidSect="008009B5">
      <w:headerReference w:type="even" r:id="rId10"/>
      <w:headerReference w:type="default" r:id="rId11"/>
      <w:footerReference w:type="even" r:id="rId12"/>
      <w:footerReference w:type="default" r:id="rId13"/>
      <w:headerReference w:type="first" r:id="rId14"/>
      <w:footerReference w:type="first" r:id="rId15"/>
      <w:pgSz w:w="11906" w:h="16838"/>
      <w:pgMar w:top="1134" w:right="1416" w:bottom="1276"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8C" w:rsidRDefault="00967A8C" w:rsidP="00AD16FC">
      <w:r>
        <w:separator/>
      </w:r>
    </w:p>
  </w:endnote>
  <w:endnote w:type="continuationSeparator" w:id="0">
    <w:p w:rsidR="00967A8C" w:rsidRDefault="00967A8C"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97" w:rsidRDefault="009F67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CA" w:rsidRPr="009F6797" w:rsidRDefault="00A16ACA" w:rsidP="009F67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DC" w:rsidRPr="009F6797" w:rsidRDefault="00AE0ADC" w:rsidP="009F6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8C" w:rsidRDefault="00967A8C" w:rsidP="00AD16FC">
      <w:r>
        <w:separator/>
      </w:r>
    </w:p>
  </w:footnote>
  <w:footnote w:type="continuationSeparator" w:id="0">
    <w:p w:rsidR="00967A8C" w:rsidRDefault="00967A8C" w:rsidP="00AD16FC">
      <w:r>
        <w:continuationSeparator/>
      </w:r>
    </w:p>
  </w:footnote>
  <w:footnote w:id="1">
    <w:p w:rsidR="00A30AC5" w:rsidRPr="00F31BDD" w:rsidRDefault="00A30AC5" w:rsidP="00F31BDD">
      <w:pPr>
        <w:pStyle w:val="aa"/>
        <w:bidi w:val="0"/>
        <w:jc w:val="both"/>
        <w:rPr>
          <w:rtl/>
        </w:rPr>
      </w:pPr>
      <w:r>
        <w:rPr>
          <w:rStyle w:val="ac"/>
        </w:rPr>
        <w:footnoteRef/>
      </w:r>
      <w:r>
        <w:rPr>
          <w:rtl/>
        </w:rPr>
        <w:t xml:space="preserve"> </w:t>
      </w:r>
      <w:r>
        <w:t xml:space="preserve"> The forecast was presented to the Bank of Israel Monetary Committee on </w:t>
      </w:r>
      <w:r w:rsidR="00F31BDD">
        <w:t>December 31,</w:t>
      </w:r>
      <w:r>
        <w:t xml:space="preserve"> </w:t>
      </w:r>
      <w:r w:rsidR="009733B5">
        <w:t>2023</w:t>
      </w:r>
      <w:r>
        <w:t xml:space="preserve">, prior to the </w:t>
      </w:r>
      <w:r w:rsidRPr="00F31BDD">
        <w:t xml:space="preserve">decision on the interest rate made on </w:t>
      </w:r>
      <w:r w:rsidR="00F31BDD" w:rsidRPr="00F31BDD">
        <w:t>January 1, 2024</w:t>
      </w:r>
      <w:r w:rsidR="00D81515" w:rsidRPr="00F31BDD">
        <w:t>.</w:t>
      </w:r>
    </w:p>
  </w:footnote>
  <w:footnote w:id="2">
    <w:p w:rsidR="004675C1" w:rsidRDefault="004675C1" w:rsidP="00D41588">
      <w:pPr>
        <w:bidi w:val="0"/>
        <w:jc w:val="both"/>
      </w:pPr>
      <w:r w:rsidRPr="00F31BDD">
        <w:rPr>
          <w:rStyle w:val="ac"/>
          <w:sz w:val="20"/>
          <w:szCs w:val="20"/>
        </w:rPr>
        <w:footnoteRef/>
      </w:r>
      <w:r w:rsidRPr="00F31BDD">
        <w:rPr>
          <w:sz w:val="20"/>
          <w:szCs w:val="20"/>
        </w:rPr>
        <w:t xml:space="preserve"> </w:t>
      </w:r>
      <w:r w:rsidR="00F31BDD" w:rsidRPr="00F31BDD">
        <w:rPr>
          <w:sz w:val="20"/>
          <w:szCs w:val="20"/>
        </w:rPr>
        <w:t xml:space="preserve">An explanation of the macroeconomic forecasts formulated by the bank of Israel Research Department, as well as a review of the models on which they are based, appear in the Bank of Israel’s Inflation Report 31 (second quarter of 2010), Section 3c. </w:t>
      </w:r>
      <w:r w:rsidRPr="00F31BDD">
        <w:rPr>
          <w:sz w:val="20"/>
          <w:szCs w:val="20"/>
        </w:rPr>
        <w:t>A Discussion Paper on the DSGE model is available on the Bank of Israel website, under the title: “MOISE</w:t>
      </w:r>
      <w:r w:rsidRPr="00237ACD">
        <w:rPr>
          <w:sz w:val="20"/>
          <w:szCs w:val="20"/>
        </w:rPr>
        <w:t>: A DSGE Model for the Israeli Econom</w:t>
      </w:r>
      <w:r>
        <w:rPr>
          <w:sz w:val="20"/>
          <w:szCs w:val="20"/>
        </w:rPr>
        <w:t>y,” Discussion Paper No. 2012.06</w:t>
      </w:r>
      <w:r w:rsidRPr="00237ACD">
        <w:rPr>
          <w:sz w:val="20"/>
          <w:szCs w:val="20"/>
        </w:rPr>
        <w:t>.</w:t>
      </w:r>
    </w:p>
  </w:footnote>
  <w:footnote w:id="3">
    <w:p w:rsidR="003C6D39" w:rsidRDefault="003C6D39" w:rsidP="00D41588">
      <w:pPr>
        <w:pStyle w:val="aa"/>
        <w:bidi w:val="0"/>
        <w:jc w:val="both"/>
        <w:rPr>
          <w:rtl/>
        </w:rPr>
      </w:pPr>
      <w:r>
        <w:rPr>
          <w:rStyle w:val="ac"/>
        </w:rPr>
        <w:footnoteRef/>
      </w:r>
      <w:r>
        <w:rPr>
          <w:rtl/>
        </w:rPr>
        <w:t xml:space="preserve"> </w:t>
      </w:r>
      <w:r>
        <w:t xml:space="preserve"> In addition to the unemployed, the broad unemployment rate includes those temporarily absent from their jobs for economic reasons (including furloughed employees).</w:t>
      </w:r>
    </w:p>
  </w:footnote>
  <w:footnote w:id="4">
    <w:p w:rsidR="00EC3622" w:rsidRDefault="00EC3622" w:rsidP="00EC3622">
      <w:pPr>
        <w:pStyle w:val="aa"/>
        <w:bidi w:val="0"/>
      </w:pPr>
      <w:r>
        <w:rPr>
          <w:rStyle w:val="ac"/>
        </w:rPr>
        <w:footnoteRef/>
      </w:r>
      <w:r>
        <w:rPr>
          <w:rtl/>
        </w:rPr>
        <w:t xml:space="preserve"> </w:t>
      </w:r>
      <w:r>
        <w:t>We assume that the entire defense grant from the US will be received in 2024, even though it has not yet been approved.  If this does not come to pass, it will require a greater increase in the defense budget (and in the deficit) and/or a deferral of security expenditures to future years.</w:t>
      </w:r>
    </w:p>
  </w:footnote>
  <w:footnote w:id="5">
    <w:p w:rsidR="008862AC" w:rsidRDefault="008862AC" w:rsidP="008862AC">
      <w:pPr>
        <w:pStyle w:val="aa"/>
        <w:bidi w:val="0"/>
      </w:pPr>
      <w:r>
        <w:rPr>
          <w:rStyle w:val="ac"/>
        </w:rPr>
        <w:footnoteRef/>
      </w:r>
      <w:r>
        <w:rPr>
          <w:rtl/>
        </w:rPr>
        <w:t xml:space="preserve"> </w:t>
      </w:r>
      <w:r>
        <w:t xml:space="preserve"> Bank of Israel studies have shown that an increase of one percent in the public debt to GDP ratio increases the real yield on long-term government bonds by 10 basis points.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97" w:rsidRDefault="009F67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97" w:rsidRDefault="009F67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97" w:rsidRDefault="009F67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410B"/>
    <w:rsid w:val="000062AB"/>
    <w:rsid w:val="00006C8A"/>
    <w:rsid w:val="00007CCB"/>
    <w:rsid w:val="00012A9C"/>
    <w:rsid w:val="00012DBD"/>
    <w:rsid w:val="00014365"/>
    <w:rsid w:val="00015BD8"/>
    <w:rsid w:val="0001708B"/>
    <w:rsid w:val="000212CE"/>
    <w:rsid w:val="00021A8C"/>
    <w:rsid w:val="0002620A"/>
    <w:rsid w:val="000268BA"/>
    <w:rsid w:val="00030DCE"/>
    <w:rsid w:val="00036F1B"/>
    <w:rsid w:val="000379D4"/>
    <w:rsid w:val="0004160A"/>
    <w:rsid w:val="0004176B"/>
    <w:rsid w:val="00044F2F"/>
    <w:rsid w:val="00045015"/>
    <w:rsid w:val="00046EE6"/>
    <w:rsid w:val="000502B3"/>
    <w:rsid w:val="00050365"/>
    <w:rsid w:val="0005428E"/>
    <w:rsid w:val="00060A3E"/>
    <w:rsid w:val="00060F00"/>
    <w:rsid w:val="00061D28"/>
    <w:rsid w:val="00064736"/>
    <w:rsid w:val="0006649E"/>
    <w:rsid w:val="00075533"/>
    <w:rsid w:val="00077136"/>
    <w:rsid w:val="00080851"/>
    <w:rsid w:val="000821AD"/>
    <w:rsid w:val="00083E17"/>
    <w:rsid w:val="00087BFF"/>
    <w:rsid w:val="000905F1"/>
    <w:rsid w:val="00090662"/>
    <w:rsid w:val="00090AA3"/>
    <w:rsid w:val="00091EE0"/>
    <w:rsid w:val="00094471"/>
    <w:rsid w:val="00095B99"/>
    <w:rsid w:val="00095D99"/>
    <w:rsid w:val="0009681A"/>
    <w:rsid w:val="000975CA"/>
    <w:rsid w:val="00097B7A"/>
    <w:rsid w:val="000A0CDA"/>
    <w:rsid w:val="000A3230"/>
    <w:rsid w:val="000A5761"/>
    <w:rsid w:val="000A776C"/>
    <w:rsid w:val="000B2298"/>
    <w:rsid w:val="000B2D7E"/>
    <w:rsid w:val="000B566D"/>
    <w:rsid w:val="000C0CAD"/>
    <w:rsid w:val="000C3AA1"/>
    <w:rsid w:val="000C4899"/>
    <w:rsid w:val="000C73AF"/>
    <w:rsid w:val="000C7FAC"/>
    <w:rsid w:val="000D5367"/>
    <w:rsid w:val="000D5A6B"/>
    <w:rsid w:val="000E0ABD"/>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51EC6"/>
    <w:rsid w:val="00153D2D"/>
    <w:rsid w:val="0016240A"/>
    <w:rsid w:val="001626C6"/>
    <w:rsid w:val="0016380B"/>
    <w:rsid w:val="001643BB"/>
    <w:rsid w:val="001723D2"/>
    <w:rsid w:val="00172E4F"/>
    <w:rsid w:val="00176F0B"/>
    <w:rsid w:val="0018085C"/>
    <w:rsid w:val="00184744"/>
    <w:rsid w:val="001914F7"/>
    <w:rsid w:val="00191E60"/>
    <w:rsid w:val="00194094"/>
    <w:rsid w:val="001A27EF"/>
    <w:rsid w:val="001A39E4"/>
    <w:rsid w:val="001A3F54"/>
    <w:rsid w:val="001A4262"/>
    <w:rsid w:val="001A44B1"/>
    <w:rsid w:val="001A5342"/>
    <w:rsid w:val="001A794B"/>
    <w:rsid w:val="001A7A07"/>
    <w:rsid w:val="001B28EA"/>
    <w:rsid w:val="001B362F"/>
    <w:rsid w:val="001B7045"/>
    <w:rsid w:val="001B7D9D"/>
    <w:rsid w:val="001C2571"/>
    <w:rsid w:val="001C2680"/>
    <w:rsid w:val="001C3544"/>
    <w:rsid w:val="001C55F7"/>
    <w:rsid w:val="001D21D1"/>
    <w:rsid w:val="001D76F5"/>
    <w:rsid w:val="001E0DAC"/>
    <w:rsid w:val="001E1311"/>
    <w:rsid w:val="001E2700"/>
    <w:rsid w:val="001E52BF"/>
    <w:rsid w:val="001E5C9F"/>
    <w:rsid w:val="001F2F2F"/>
    <w:rsid w:val="001F390D"/>
    <w:rsid w:val="001F57FB"/>
    <w:rsid w:val="00200E9B"/>
    <w:rsid w:val="00202CCB"/>
    <w:rsid w:val="00205E52"/>
    <w:rsid w:val="00206BD3"/>
    <w:rsid w:val="00207522"/>
    <w:rsid w:val="00207CCA"/>
    <w:rsid w:val="0021167C"/>
    <w:rsid w:val="00211EF7"/>
    <w:rsid w:val="00213E62"/>
    <w:rsid w:val="002142E4"/>
    <w:rsid w:val="00221B38"/>
    <w:rsid w:val="00225FAA"/>
    <w:rsid w:val="002260C5"/>
    <w:rsid w:val="00233A26"/>
    <w:rsid w:val="002345E4"/>
    <w:rsid w:val="00234A33"/>
    <w:rsid w:val="00235170"/>
    <w:rsid w:val="0023631B"/>
    <w:rsid w:val="002363D1"/>
    <w:rsid w:val="00236603"/>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3C4C"/>
    <w:rsid w:val="00275A36"/>
    <w:rsid w:val="00282853"/>
    <w:rsid w:val="002857E1"/>
    <w:rsid w:val="00291398"/>
    <w:rsid w:val="002945D2"/>
    <w:rsid w:val="002966D2"/>
    <w:rsid w:val="002A1839"/>
    <w:rsid w:val="002A3BC1"/>
    <w:rsid w:val="002A4261"/>
    <w:rsid w:val="002A4B84"/>
    <w:rsid w:val="002B1C60"/>
    <w:rsid w:val="002B2C54"/>
    <w:rsid w:val="002C0AF6"/>
    <w:rsid w:val="002C2B40"/>
    <w:rsid w:val="002C67C7"/>
    <w:rsid w:val="002C74F7"/>
    <w:rsid w:val="002D152A"/>
    <w:rsid w:val="002D3C08"/>
    <w:rsid w:val="002D50CF"/>
    <w:rsid w:val="002D6565"/>
    <w:rsid w:val="002E1A22"/>
    <w:rsid w:val="002E2BE2"/>
    <w:rsid w:val="002E37F1"/>
    <w:rsid w:val="002E3EE1"/>
    <w:rsid w:val="002E5ED3"/>
    <w:rsid w:val="002E616F"/>
    <w:rsid w:val="002F0472"/>
    <w:rsid w:val="002F70E9"/>
    <w:rsid w:val="0030038B"/>
    <w:rsid w:val="00300699"/>
    <w:rsid w:val="00302E2F"/>
    <w:rsid w:val="00304398"/>
    <w:rsid w:val="00304BF1"/>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512"/>
    <w:rsid w:val="00363628"/>
    <w:rsid w:val="003638DE"/>
    <w:rsid w:val="0036663A"/>
    <w:rsid w:val="00371244"/>
    <w:rsid w:val="003723AE"/>
    <w:rsid w:val="00374016"/>
    <w:rsid w:val="0037682D"/>
    <w:rsid w:val="00382474"/>
    <w:rsid w:val="0038300A"/>
    <w:rsid w:val="00391040"/>
    <w:rsid w:val="003936A5"/>
    <w:rsid w:val="003955F5"/>
    <w:rsid w:val="00395ECA"/>
    <w:rsid w:val="003979D7"/>
    <w:rsid w:val="003A16A5"/>
    <w:rsid w:val="003A2BCF"/>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3BC1"/>
    <w:rsid w:val="003D3C91"/>
    <w:rsid w:val="003D41B1"/>
    <w:rsid w:val="003D71BE"/>
    <w:rsid w:val="003E08B6"/>
    <w:rsid w:val="003E266A"/>
    <w:rsid w:val="003E5DCB"/>
    <w:rsid w:val="003F0CAA"/>
    <w:rsid w:val="003F1F24"/>
    <w:rsid w:val="003F33D5"/>
    <w:rsid w:val="003F40AA"/>
    <w:rsid w:val="003F5174"/>
    <w:rsid w:val="00404ACD"/>
    <w:rsid w:val="00407E88"/>
    <w:rsid w:val="00410736"/>
    <w:rsid w:val="00413594"/>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6B32"/>
    <w:rsid w:val="004501E8"/>
    <w:rsid w:val="00452B89"/>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6D92"/>
    <w:rsid w:val="004975C8"/>
    <w:rsid w:val="004A0284"/>
    <w:rsid w:val="004A0C32"/>
    <w:rsid w:val="004A4413"/>
    <w:rsid w:val="004A4BD6"/>
    <w:rsid w:val="004A6595"/>
    <w:rsid w:val="004B16A2"/>
    <w:rsid w:val="004B178F"/>
    <w:rsid w:val="004B3835"/>
    <w:rsid w:val="004B39F5"/>
    <w:rsid w:val="004B415E"/>
    <w:rsid w:val="004B687A"/>
    <w:rsid w:val="004C06F2"/>
    <w:rsid w:val="004C2B26"/>
    <w:rsid w:val="004C4648"/>
    <w:rsid w:val="004C64DB"/>
    <w:rsid w:val="004C6D8F"/>
    <w:rsid w:val="004C77DF"/>
    <w:rsid w:val="004D3688"/>
    <w:rsid w:val="004D5A93"/>
    <w:rsid w:val="004E0BC8"/>
    <w:rsid w:val="004E1A6E"/>
    <w:rsid w:val="004E439A"/>
    <w:rsid w:val="004E4EDE"/>
    <w:rsid w:val="004E6580"/>
    <w:rsid w:val="004E71DD"/>
    <w:rsid w:val="004F5B5B"/>
    <w:rsid w:val="004F6E9A"/>
    <w:rsid w:val="004F6FA6"/>
    <w:rsid w:val="004F745B"/>
    <w:rsid w:val="004F764E"/>
    <w:rsid w:val="00500C71"/>
    <w:rsid w:val="00501059"/>
    <w:rsid w:val="00502A88"/>
    <w:rsid w:val="005049F9"/>
    <w:rsid w:val="005079F6"/>
    <w:rsid w:val="00511532"/>
    <w:rsid w:val="005138D9"/>
    <w:rsid w:val="00513EBA"/>
    <w:rsid w:val="005145B3"/>
    <w:rsid w:val="00514812"/>
    <w:rsid w:val="00517AA1"/>
    <w:rsid w:val="00522485"/>
    <w:rsid w:val="005259C8"/>
    <w:rsid w:val="00526A3D"/>
    <w:rsid w:val="00527802"/>
    <w:rsid w:val="00530763"/>
    <w:rsid w:val="00532260"/>
    <w:rsid w:val="005338C6"/>
    <w:rsid w:val="005353CA"/>
    <w:rsid w:val="005371B8"/>
    <w:rsid w:val="00537D44"/>
    <w:rsid w:val="00541457"/>
    <w:rsid w:val="00541F01"/>
    <w:rsid w:val="005430AC"/>
    <w:rsid w:val="005462CC"/>
    <w:rsid w:val="005464BF"/>
    <w:rsid w:val="00550958"/>
    <w:rsid w:val="00550DB9"/>
    <w:rsid w:val="00553BFE"/>
    <w:rsid w:val="005608BA"/>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91B6F"/>
    <w:rsid w:val="0059526F"/>
    <w:rsid w:val="0059707C"/>
    <w:rsid w:val="005A37A5"/>
    <w:rsid w:val="005A3805"/>
    <w:rsid w:val="005A4028"/>
    <w:rsid w:val="005A6809"/>
    <w:rsid w:val="005A7EDF"/>
    <w:rsid w:val="005B2620"/>
    <w:rsid w:val="005B6C8C"/>
    <w:rsid w:val="005C2BD4"/>
    <w:rsid w:val="005C4E0D"/>
    <w:rsid w:val="005C5507"/>
    <w:rsid w:val="005C636E"/>
    <w:rsid w:val="005C7192"/>
    <w:rsid w:val="005C76FE"/>
    <w:rsid w:val="005D38C9"/>
    <w:rsid w:val="005D5BC7"/>
    <w:rsid w:val="005D6EBF"/>
    <w:rsid w:val="005D773A"/>
    <w:rsid w:val="005D7D3B"/>
    <w:rsid w:val="005E0237"/>
    <w:rsid w:val="005E18E9"/>
    <w:rsid w:val="005E6AD1"/>
    <w:rsid w:val="005F1F9D"/>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1795"/>
    <w:rsid w:val="00632EEB"/>
    <w:rsid w:val="00637B9C"/>
    <w:rsid w:val="006418B2"/>
    <w:rsid w:val="00641EA5"/>
    <w:rsid w:val="006476B5"/>
    <w:rsid w:val="00651E7C"/>
    <w:rsid w:val="0065321D"/>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FE0"/>
    <w:rsid w:val="00680EDD"/>
    <w:rsid w:val="0068229E"/>
    <w:rsid w:val="00682563"/>
    <w:rsid w:val="00686EBE"/>
    <w:rsid w:val="00690F17"/>
    <w:rsid w:val="0069716E"/>
    <w:rsid w:val="00697916"/>
    <w:rsid w:val="006979F4"/>
    <w:rsid w:val="006A1A74"/>
    <w:rsid w:val="006A647D"/>
    <w:rsid w:val="006A71E3"/>
    <w:rsid w:val="006A7E98"/>
    <w:rsid w:val="006B2670"/>
    <w:rsid w:val="006B2EE9"/>
    <w:rsid w:val="006B64B8"/>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5AB2"/>
    <w:rsid w:val="00716661"/>
    <w:rsid w:val="00717133"/>
    <w:rsid w:val="007179F2"/>
    <w:rsid w:val="00725CB0"/>
    <w:rsid w:val="00732673"/>
    <w:rsid w:val="00733360"/>
    <w:rsid w:val="00734E01"/>
    <w:rsid w:val="00735B53"/>
    <w:rsid w:val="00736708"/>
    <w:rsid w:val="00736C6C"/>
    <w:rsid w:val="00737CE5"/>
    <w:rsid w:val="00740773"/>
    <w:rsid w:val="007456D1"/>
    <w:rsid w:val="00746090"/>
    <w:rsid w:val="00756CD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2D96"/>
    <w:rsid w:val="007A3D38"/>
    <w:rsid w:val="007A4B17"/>
    <w:rsid w:val="007A782B"/>
    <w:rsid w:val="007B3087"/>
    <w:rsid w:val="007B40F4"/>
    <w:rsid w:val="007B4AFB"/>
    <w:rsid w:val="007B7F32"/>
    <w:rsid w:val="007C0339"/>
    <w:rsid w:val="007C4EFD"/>
    <w:rsid w:val="007D04C3"/>
    <w:rsid w:val="007D063F"/>
    <w:rsid w:val="007D1DF5"/>
    <w:rsid w:val="007D4F49"/>
    <w:rsid w:val="007D509C"/>
    <w:rsid w:val="007D6422"/>
    <w:rsid w:val="007D70EA"/>
    <w:rsid w:val="007E05AB"/>
    <w:rsid w:val="007E0AB6"/>
    <w:rsid w:val="007E443D"/>
    <w:rsid w:val="007E523C"/>
    <w:rsid w:val="007F2871"/>
    <w:rsid w:val="007F3C4C"/>
    <w:rsid w:val="008009B5"/>
    <w:rsid w:val="00802B46"/>
    <w:rsid w:val="00803944"/>
    <w:rsid w:val="00804864"/>
    <w:rsid w:val="008052B5"/>
    <w:rsid w:val="008065C4"/>
    <w:rsid w:val="00813118"/>
    <w:rsid w:val="0081390B"/>
    <w:rsid w:val="00814623"/>
    <w:rsid w:val="00814E81"/>
    <w:rsid w:val="0081703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F13"/>
    <w:rsid w:val="00862770"/>
    <w:rsid w:val="0086369E"/>
    <w:rsid w:val="00863B19"/>
    <w:rsid w:val="00864D44"/>
    <w:rsid w:val="0086708B"/>
    <w:rsid w:val="00870412"/>
    <w:rsid w:val="00870695"/>
    <w:rsid w:val="008707BC"/>
    <w:rsid w:val="0087184F"/>
    <w:rsid w:val="00871E07"/>
    <w:rsid w:val="00871E54"/>
    <w:rsid w:val="00876B2F"/>
    <w:rsid w:val="008823BA"/>
    <w:rsid w:val="008839C3"/>
    <w:rsid w:val="00883D6F"/>
    <w:rsid w:val="008862AC"/>
    <w:rsid w:val="00886302"/>
    <w:rsid w:val="00890A34"/>
    <w:rsid w:val="00891991"/>
    <w:rsid w:val="00891E50"/>
    <w:rsid w:val="00892A41"/>
    <w:rsid w:val="0089451E"/>
    <w:rsid w:val="008954B2"/>
    <w:rsid w:val="00896FC1"/>
    <w:rsid w:val="0089777D"/>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5126"/>
    <w:rsid w:val="008E6FFD"/>
    <w:rsid w:val="008F2323"/>
    <w:rsid w:val="008F34C7"/>
    <w:rsid w:val="008F5935"/>
    <w:rsid w:val="008F5DD7"/>
    <w:rsid w:val="008F7582"/>
    <w:rsid w:val="00900D37"/>
    <w:rsid w:val="00905330"/>
    <w:rsid w:val="009120C7"/>
    <w:rsid w:val="00912F53"/>
    <w:rsid w:val="0091354C"/>
    <w:rsid w:val="00914404"/>
    <w:rsid w:val="00915695"/>
    <w:rsid w:val="00917EB4"/>
    <w:rsid w:val="00921594"/>
    <w:rsid w:val="00922843"/>
    <w:rsid w:val="00924F7B"/>
    <w:rsid w:val="00931604"/>
    <w:rsid w:val="009335C7"/>
    <w:rsid w:val="009336FC"/>
    <w:rsid w:val="00937DAA"/>
    <w:rsid w:val="00942F47"/>
    <w:rsid w:val="00944B53"/>
    <w:rsid w:val="00947E8A"/>
    <w:rsid w:val="009523E0"/>
    <w:rsid w:val="009532A5"/>
    <w:rsid w:val="009561DE"/>
    <w:rsid w:val="00957029"/>
    <w:rsid w:val="009571F6"/>
    <w:rsid w:val="0096005F"/>
    <w:rsid w:val="009638C2"/>
    <w:rsid w:val="00964BF9"/>
    <w:rsid w:val="00966BA2"/>
    <w:rsid w:val="00966BA9"/>
    <w:rsid w:val="00967A8C"/>
    <w:rsid w:val="00970D63"/>
    <w:rsid w:val="009733B5"/>
    <w:rsid w:val="00974091"/>
    <w:rsid w:val="0097503F"/>
    <w:rsid w:val="009816FB"/>
    <w:rsid w:val="00982F32"/>
    <w:rsid w:val="00986A17"/>
    <w:rsid w:val="00987A72"/>
    <w:rsid w:val="00987DC0"/>
    <w:rsid w:val="00990177"/>
    <w:rsid w:val="00990197"/>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797"/>
    <w:rsid w:val="009F6812"/>
    <w:rsid w:val="009F6F89"/>
    <w:rsid w:val="009F7322"/>
    <w:rsid w:val="009F7CC0"/>
    <w:rsid w:val="00A0124F"/>
    <w:rsid w:val="00A02BD8"/>
    <w:rsid w:val="00A034A0"/>
    <w:rsid w:val="00A04ADE"/>
    <w:rsid w:val="00A05E9D"/>
    <w:rsid w:val="00A10196"/>
    <w:rsid w:val="00A11C88"/>
    <w:rsid w:val="00A1285C"/>
    <w:rsid w:val="00A12CDD"/>
    <w:rsid w:val="00A168E3"/>
    <w:rsid w:val="00A16ACA"/>
    <w:rsid w:val="00A21D01"/>
    <w:rsid w:val="00A22607"/>
    <w:rsid w:val="00A22DC8"/>
    <w:rsid w:val="00A23F35"/>
    <w:rsid w:val="00A259DD"/>
    <w:rsid w:val="00A2696D"/>
    <w:rsid w:val="00A30AC5"/>
    <w:rsid w:val="00A31317"/>
    <w:rsid w:val="00A3378A"/>
    <w:rsid w:val="00A346A5"/>
    <w:rsid w:val="00A379B9"/>
    <w:rsid w:val="00A43FBA"/>
    <w:rsid w:val="00A43FFF"/>
    <w:rsid w:val="00A47365"/>
    <w:rsid w:val="00A50C95"/>
    <w:rsid w:val="00A51500"/>
    <w:rsid w:val="00A51FEB"/>
    <w:rsid w:val="00A53FEA"/>
    <w:rsid w:val="00A602A3"/>
    <w:rsid w:val="00A61B99"/>
    <w:rsid w:val="00A63D50"/>
    <w:rsid w:val="00A651A5"/>
    <w:rsid w:val="00A65273"/>
    <w:rsid w:val="00A669EF"/>
    <w:rsid w:val="00A7026F"/>
    <w:rsid w:val="00A73E62"/>
    <w:rsid w:val="00A749D0"/>
    <w:rsid w:val="00A756DD"/>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F330E"/>
    <w:rsid w:val="00AF4517"/>
    <w:rsid w:val="00B1173D"/>
    <w:rsid w:val="00B12495"/>
    <w:rsid w:val="00B13C35"/>
    <w:rsid w:val="00B22B39"/>
    <w:rsid w:val="00B2349C"/>
    <w:rsid w:val="00B32D05"/>
    <w:rsid w:val="00B3457B"/>
    <w:rsid w:val="00B34D7A"/>
    <w:rsid w:val="00B37CA4"/>
    <w:rsid w:val="00B42DBC"/>
    <w:rsid w:val="00B432BB"/>
    <w:rsid w:val="00B44B19"/>
    <w:rsid w:val="00B45809"/>
    <w:rsid w:val="00B509C5"/>
    <w:rsid w:val="00B50BA7"/>
    <w:rsid w:val="00B518A6"/>
    <w:rsid w:val="00B525A8"/>
    <w:rsid w:val="00B540ED"/>
    <w:rsid w:val="00B555ED"/>
    <w:rsid w:val="00B61879"/>
    <w:rsid w:val="00B64E48"/>
    <w:rsid w:val="00B70EB0"/>
    <w:rsid w:val="00B766FF"/>
    <w:rsid w:val="00B76C3E"/>
    <w:rsid w:val="00B806EB"/>
    <w:rsid w:val="00B8089B"/>
    <w:rsid w:val="00B82756"/>
    <w:rsid w:val="00B836CA"/>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B6223"/>
    <w:rsid w:val="00BB64BE"/>
    <w:rsid w:val="00BB6822"/>
    <w:rsid w:val="00BC0E38"/>
    <w:rsid w:val="00BC385E"/>
    <w:rsid w:val="00BC423A"/>
    <w:rsid w:val="00BC65EF"/>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382C"/>
    <w:rsid w:val="00C16253"/>
    <w:rsid w:val="00C21DB7"/>
    <w:rsid w:val="00C22025"/>
    <w:rsid w:val="00C231D1"/>
    <w:rsid w:val="00C25E14"/>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84E"/>
    <w:rsid w:val="00C6598F"/>
    <w:rsid w:val="00C65E19"/>
    <w:rsid w:val="00C66D60"/>
    <w:rsid w:val="00C67AB5"/>
    <w:rsid w:val="00C71567"/>
    <w:rsid w:val="00C74AEF"/>
    <w:rsid w:val="00C74FB1"/>
    <w:rsid w:val="00C769B1"/>
    <w:rsid w:val="00C8362F"/>
    <w:rsid w:val="00C8406C"/>
    <w:rsid w:val="00C8590C"/>
    <w:rsid w:val="00C87351"/>
    <w:rsid w:val="00C90721"/>
    <w:rsid w:val="00C91931"/>
    <w:rsid w:val="00C922E7"/>
    <w:rsid w:val="00C92943"/>
    <w:rsid w:val="00C953AC"/>
    <w:rsid w:val="00C95533"/>
    <w:rsid w:val="00CA6D37"/>
    <w:rsid w:val="00CA7733"/>
    <w:rsid w:val="00CA7CFC"/>
    <w:rsid w:val="00CB0155"/>
    <w:rsid w:val="00CB178B"/>
    <w:rsid w:val="00CB1B47"/>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7F17"/>
    <w:rsid w:val="00CF1CDA"/>
    <w:rsid w:val="00CF38A0"/>
    <w:rsid w:val="00CF669B"/>
    <w:rsid w:val="00CF7D39"/>
    <w:rsid w:val="00D04735"/>
    <w:rsid w:val="00D061FC"/>
    <w:rsid w:val="00D06D1C"/>
    <w:rsid w:val="00D103A1"/>
    <w:rsid w:val="00D166DB"/>
    <w:rsid w:val="00D16DFB"/>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2547"/>
    <w:rsid w:val="00D74481"/>
    <w:rsid w:val="00D7448E"/>
    <w:rsid w:val="00D747B2"/>
    <w:rsid w:val="00D75696"/>
    <w:rsid w:val="00D75E63"/>
    <w:rsid w:val="00D7728C"/>
    <w:rsid w:val="00D809BE"/>
    <w:rsid w:val="00D81515"/>
    <w:rsid w:val="00D860B7"/>
    <w:rsid w:val="00D9118C"/>
    <w:rsid w:val="00D914FA"/>
    <w:rsid w:val="00D91D85"/>
    <w:rsid w:val="00D96A40"/>
    <w:rsid w:val="00D975F7"/>
    <w:rsid w:val="00DA0788"/>
    <w:rsid w:val="00DA1966"/>
    <w:rsid w:val="00DA4590"/>
    <w:rsid w:val="00DA623D"/>
    <w:rsid w:val="00DB4C53"/>
    <w:rsid w:val="00DC15F5"/>
    <w:rsid w:val="00DC20D4"/>
    <w:rsid w:val="00DC3395"/>
    <w:rsid w:val="00DC3F7B"/>
    <w:rsid w:val="00DC4374"/>
    <w:rsid w:val="00DC4821"/>
    <w:rsid w:val="00DD3474"/>
    <w:rsid w:val="00DD44D1"/>
    <w:rsid w:val="00DD695B"/>
    <w:rsid w:val="00DE3941"/>
    <w:rsid w:val="00DE3D73"/>
    <w:rsid w:val="00DE7EEA"/>
    <w:rsid w:val="00DF57AC"/>
    <w:rsid w:val="00DF5E82"/>
    <w:rsid w:val="00DF7CF5"/>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40FF6"/>
    <w:rsid w:val="00E41CB3"/>
    <w:rsid w:val="00E43CBB"/>
    <w:rsid w:val="00E44693"/>
    <w:rsid w:val="00E500A5"/>
    <w:rsid w:val="00E525D9"/>
    <w:rsid w:val="00E55A62"/>
    <w:rsid w:val="00E56B0F"/>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81591"/>
    <w:rsid w:val="00E81B6C"/>
    <w:rsid w:val="00E828BF"/>
    <w:rsid w:val="00E84BF6"/>
    <w:rsid w:val="00E911EA"/>
    <w:rsid w:val="00E913EE"/>
    <w:rsid w:val="00E932DD"/>
    <w:rsid w:val="00E96831"/>
    <w:rsid w:val="00EA4733"/>
    <w:rsid w:val="00EA5E1C"/>
    <w:rsid w:val="00EB0375"/>
    <w:rsid w:val="00EB1D08"/>
    <w:rsid w:val="00EB1E9F"/>
    <w:rsid w:val="00EB31FC"/>
    <w:rsid w:val="00EB4EC6"/>
    <w:rsid w:val="00EC0AF4"/>
    <w:rsid w:val="00EC21CC"/>
    <w:rsid w:val="00EC3622"/>
    <w:rsid w:val="00EC4006"/>
    <w:rsid w:val="00EC42C6"/>
    <w:rsid w:val="00EC685B"/>
    <w:rsid w:val="00ED3F52"/>
    <w:rsid w:val="00ED4E9B"/>
    <w:rsid w:val="00ED6FEF"/>
    <w:rsid w:val="00ED7711"/>
    <w:rsid w:val="00EE082A"/>
    <w:rsid w:val="00EE0A32"/>
    <w:rsid w:val="00EE1F2F"/>
    <w:rsid w:val="00EE57B7"/>
    <w:rsid w:val="00EE5A6D"/>
    <w:rsid w:val="00EF49FC"/>
    <w:rsid w:val="00EF70C1"/>
    <w:rsid w:val="00F0702B"/>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72E"/>
    <w:rsid w:val="00F50B29"/>
    <w:rsid w:val="00F5107E"/>
    <w:rsid w:val="00F53855"/>
    <w:rsid w:val="00F53C9A"/>
    <w:rsid w:val="00F63250"/>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5D90"/>
    <w:rsid w:val="00F86F4E"/>
    <w:rsid w:val="00F87297"/>
    <w:rsid w:val="00F9046D"/>
    <w:rsid w:val="00F90516"/>
    <w:rsid w:val="00F90556"/>
    <w:rsid w:val="00F90897"/>
    <w:rsid w:val="00F93D9A"/>
    <w:rsid w:val="00F969CD"/>
    <w:rsid w:val="00F974D9"/>
    <w:rsid w:val="00F97DDA"/>
    <w:rsid w:val="00FA046B"/>
    <w:rsid w:val="00FA25F5"/>
    <w:rsid w:val="00FA5315"/>
    <w:rsid w:val="00FC01F7"/>
    <w:rsid w:val="00FC352C"/>
    <w:rsid w:val="00FC78B5"/>
    <w:rsid w:val="00FD18B0"/>
    <w:rsid w:val="00FD5019"/>
    <w:rsid w:val="00FD75FB"/>
    <w:rsid w:val="00FE1A7E"/>
    <w:rsid w:val="00FE4827"/>
    <w:rsid w:val="00FE48BA"/>
    <w:rsid w:val="00FE6484"/>
    <w:rsid w:val="00FF098B"/>
    <w:rsid w:val="00FF10BA"/>
    <w:rsid w:val="00FF1A00"/>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google_drive\SF2023Q4\Rambo2G\SpecificModels\MoIsE\D10ScenariosByVariosRestriction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61041791690489E-2"/>
          <c:y val="4.8747220373071956E-2"/>
          <c:w val="0.92561080228531722"/>
          <c:h val="0.75713043355098231"/>
        </c:manualLayout>
      </c:layout>
      <c:lineChart>
        <c:grouping val="standard"/>
        <c:varyColors val="0"/>
        <c:ser>
          <c:idx val="0"/>
          <c:order val="0"/>
          <c:tx>
            <c:v>Pre war forecast</c:v>
          </c:tx>
          <c:spPr>
            <a:ln w="28575" cap="rnd">
              <a:solidFill>
                <a:schemeClr val="accent1">
                  <a:lumMod val="60000"/>
                  <a:lumOff val="40000"/>
                </a:schemeClr>
              </a:solidFill>
              <a:round/>
            </a:ln>
            <a:effectLst/>
          </c:spPr>
          <c:marker>
            <c:symbol val="none"/>
          </c:marker>
          <c:cat>
            <c:numRef>
              <c:f>Plot_GDP_trend!$A$2:$A$29</c:f>
              <c:numCache>
                <c:formatCode>mm/yyyy</c:formatCode>
                <c:ptCount val="28"/>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pt idx="24">
                  <c:v>45747</c:v>
                </c:pt>
                <c:pt idx="25">
                  <c:v>45838</c:v>
                </c:pt>
                <c:pt idx="26">
                  <c:v>45930</c:v>
                </c:pt>
                <c:pt idx="27">
                  <c:v>46022</c:v>
                </c:pt>
              </c:numCache>
              <c:extLst xmlns:c15="http://schemas.microsoft.com/office/drawing/2012/chart"/>
            </c:numRef>
          </c:cat>
          <c:val>
            <c:numRef>
              <c:f>Plot_GDP_trend!$B$2:$B$29</c:f>
              <c:numCache>
                <c:formatCode>0.00</c:formatCode>
                <c:ptCount val="28"/>
                <c:pt idx="0">
                  <c:v>1.009440237328932</c:v>
                </c:pt>
                <c:pt idx="1">
                  <c:v>0.99755855721587117</c:v>
                </c:pt>
                <c:pt idx="2">
                  <c:v>1.0000902461078198</c:v>
                </c:pt>
                <c:pt idx="3">
                  <c:v>0.99908027835487645</c:v>
                </c:pt>
                <c:pt idx="4">
                  <c:v>0.972422707842862</c:v>
                </c:pt>
                <c:pt idx="5">
                  <c:v>0.8850393302248688</c:v>
                </c:pt>
                <c:pt idx="6">
                  <c:v>0.95545407315604747</c:v>
                </c:pt>
                <c:pt idx="7">
                  <c:v>0.97033958768514661</c:v>
                </c:pt>
                <c:pt idx="8">
                  <c:v>0.96294103858543556</c:v>
                </c:pt>
                <c:pt idx="9">
                  <c:v>0.99066981178030245</c:v>
                </c:pt>
                <c:pt idx="10">
                  <c:v>1.0020965297196871</c:v>
                </c:pt>
                <c:pt idx="11">
                  <c:v>1.0357929244691997</c:v>
                </c:pt>
                <c:pt idx="12">
                  <c:v>1.0195688816040771</c:v>
                </c:pt>
                <c:pt idx="13">
                  <c:v>1.0268801224317561</c:v>
                </c:pt>
                <c:pt idx="14">
                  <c:v>1.0212935973756385</c:v>
                </c:pt>
                <c:pt idx="15">
                  <c:v>1.0230132287205675</c:v>
                </c:pt>
                <c:pt idx="16">
                  <c:v>1.0203723535315394</c:v>
                </c:pt>
                <c:pt idx="17">
                  <c:v>1.0182664600671543</c:v>
                </c:pt>
                <c:pt idx="18" formatCode="0.0000">
                  <c:v>1.0183441650990079</c:v>
                </c:pt>
                <c:pt idx="19" formatCode="0.0000">
                  <c:v>1.010887405773895</c:v>
                </c:pt>
                <c:pt idx="20" formatCode="0.0000">
                  <c:v>1.010050915389799</c:v>
                </c:pt>
                <c:pt idx="21" formatCode="0.0000">
                  <c:v>1.0098470778868642</c:v>
                </c:pt>
                <c:pt idx="22" formatCode="0.0000">
                  <c:v>1.0105751601016435</c:v>
                </c:pt>
                <c:pt idx="23" formatCode="0.0000">
                  <c:v>1.0116512747324355</c:v>
                </c:pt>
                <c:pt idx="24" formatCode="0.0000">
                  <c:v>1.0107249941795133</c:v>
                </c:pt>
                <c:pt idx="25" formatCode="0.0000">
                  <c:v>1.0092082992274225</c:v>
                </c:pt>
                <c:pt idx="26" formatCode="0.0000">
                  <c:v>1.0075600645131046</c:v>
                </c:pt>
                <c:pt idx="27" formatCode="0.0000">
                  <c:v>1.0059144214658002</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0-B44D-44FE-9BC7-05397023FB09}"/>
            </c:ext>
          </c:extLst>
        </c:ser>
        <c:ser>
          <c:idx val="1"/>
          <c:order val="1"/>
          <c:tx>
            <c:v>Actual</c:v>
          </c:tx>
          <c:spPr>
            <a:ln w="28575" cap="rnd">
              <a:solidFill>
                <a:schemeClr val="accent1"/>
              </a:solidFill>
              <a:round/>
            </a:ln>
            <a:effectLst/>
          </c:spPr>
          <c:marker>
            <c:symbol val="none"/>
          </c:marker>
          <c:cat>
            <c:numRef>
              <c:f>Plot_GDP_trend!$A$2:$A$29</c:f>
              <c:numCache>
                <c:formatCode>mm/yyyy</c:formatCode>
                <c:ptCount val="28"/>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pt idx="24">
                  <c:v>45747</c:v>
                </c:pt>
                <c:pt idx="25">
                  <c:v>45838</c:v>
                </c:pt>
                <c:pt idx="26">
                  <c:v>45930</c:v>
                </c:pt>
                <c:pt idx="27">
                  <c:v>46022</c:v>
                </c:pt>
              </c:numCache>
            </c:numRef>
          </c:cat>
          <c:val>
            <c:numRef>
              <c:f>Plot_GDP_trend!$C$2:$C$29</c:f>
              <c:numCache>
                <c:formatCode>General</c:formatCode>
                <c:ptCount val="28"/>
                <c:pt idx="0">
                  <c:v>1.0098354545688719</c:v>
                </c:pt>
                <c:pt idx="1">
                  <c:v>0.99799525068005401</c:v>
                </c:pt>
                <c:pt idx="2">
                  <c:v>1.0005742014032157</c:v>
                </c:pt>
                <c:pt idx="3">
                  <c:v>0.9996099440925118</c:v>
                </c:pt>
                <c:pt idx="4">
                  <c:v>0.97299816792876281</c:v>
                </c:pt>
                <c:pt idx="5">
                  <c:v>0.88496818142676381</c:v>
                </c:pt>
                <c:pt idx="6">
                  <c:v>0.95717392881950181</c:v>
                </c:pt>
                <c:pt idx="7">
                  <c:v>0.97115717798566004</c:v>
                </c:pt>
                <c:pt idx="8">
                  <c:v>0.96362389563645534</c:v>
                </c:pt>
                <c:pt idx="9">
                  <c:v>0.99090690250288338</c:v>
                </c:pt>
                <c:pt idx="10">
                  <c:v>1.0039347183882827</c:v>
                </c:pt>
                <c:pt idx="11">
                  <c:v>1.0369162474894487</c:v>
                </c:pt>
                <c:pt idx="12">
                  <c:v>1.0208051948376047</c:v>
                </c:pt>
                <c:pt idx="13">
                  <c:v>1.0266240517452816</c:v>
                </c:pt>
                <c:pt idx="14">
                  <c:v>1.0234173472440404</c:v>
                </c:pt>
                <c:pt idx="15">
                  <c:v>1.0245910111488243</c:v>
                </c:pt>
                <c:pt idx="16">
                  <c:v>1.0225196474164864</c:v>
                </c:pt>
                <c:pt idx="17">
                  <c:v>1.0209899547815731</c:v>
                </c:pt>
                <c:pt idx="18">
                  <c:v>1.0183441650990079</c:v>
                </c:pt>
                <c:pt idx="19">
                  <c:v>0.96562091802715111</c:v>
                </c:pt>
                <c:pt idx="20">
                  <c:v>#N/A</c:v>
                </c:pt>
                <c:pt idx="21">
                  <c:v>#N/A</c:v>
                </c:pt>
                <c:pt idx="22">
                  <c:v>#N/A</c:v>
                </c:pt>
                <c:pt idx="23">
                  <c:v>#N/A</c:v>
                </c:pt>
                <c:pt idx="24">
                  <c:v>#N/A</c:v>
                </c:pt>
                <c:pt idx="25">
                  <c:v>#N/A</c:v>
                </c:pt>
                <c:pt idx="26">
                  <c:v>#N/A</c:v>
                </c:pt>
                <c:pt idx="27">
                  <c:v>#N/A</c:v>
                </c:pt>
              </c:numCache>
            </c:numRef>
          </c:val>
          <c:smooth val="0"/>
          <c:extLst>
            <c:ext xmlns:c16="http://schemas.microsoft.com/office/drawing/2014/chart" uri="{C3380CC4-5D6E-409C-BE32-E72D297353CC}">
              <c16:uniqueId val="{00000001-B44D-44FE-9BC7-05397023FB09}"/>
            </c:ext>
          </c:extLst>
        </c:ser>
        <c:ser>
          <c:idx val="2"/>
          <c:order val="2"/>
          <c:tx>
            <c:v>Curent forecast</c:v>
          </c:tx>
          <c:spPr>
            <a:ln w="28575" cap="rnd">
              <a:solidFill>
                <a:schemeClr val="accent1"/>
              </a:solidFill>
              <a:prstDash val="sysDash"/>
              <a:round/>
            </a:ln>
            <a:effectLst/>
          </c:spPr>
          <c:marker>
            <c:symbol val="none"/>
          </c:marker>
          <c:cat>
            <c:numRef>
              <c:f>Plot_GDP_trend!$A$2:$A$29</c:f>
              <c:numCache>
                <c:formatCode>mm/yyyy</c:formatCode>
                <c:ptCount val="28"/>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pt idx="24">
                  <c:v>45747</c:v>
                </c:pt>
                <c:pt idx="25">
                  <c:v>45838</c:v>
                </c:pt>
                <c:pt idx="26">
                  <c:v>45930</c:v>
                </c:pt>
                <c:pt idx="27">
                  <c:v>46022</c:v>
                </c:pt>
              </c:numCache>
            </c:numRef>
          </c:cat>
          <c:val>
            <c:numRef>
              <c:f>Plot_GDP_trend!$D$2:$D$29</c:f>
              <c:numCache>
                <c:formatCode>General</c:formatCode>
                <c:ptCount val="28"/>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0.96562091802715111</c:v>
                </c:pt>
                <c:pt idx="20">
                  <c:v>0.98162316189226728</c:v>
                </c:pt>
                <c:pt idx="21">
                  <c:v>0.98737151792173672</c:v>
                </c:pt>
                <c:pt idx="22">
                  <c:v>0.98854215678730883</c:v>
                </c:pt>
                <c:pt idx="23">
                  <c:v>0.98906647593775854</c:v>
                </c:pt>
                <c:pt idx="24">
                  <c:v>0.99642369901968886</c:v>
                </c:pt>
                <c:pt idx="25">
                  <c:v>0.99826924112764759</c:v>
                </c:pt>
                <c:pt idx="26">
                  <c:v>0.99802945195068282</c:v>
                </c:pt>
                <c:pt idx="27">
                  <c:v>0.99680501250434805</c:v>
                </c:pt>
              </c:numCache>
            </c:numRef>
          </c:val>
          <c:smooth val="0"/>
          <c:extLst>
            <c:ext xmlns:c16="http://schemas.microsoft.com/office/drawing/2014/chart" uri="{C3380CC4-5D6E-409C-BE32-E72D297353CC}">
              <c16:uniqueId val="{00000002-B44D-44FE-9BC7-05397023FB09}"/>
            </c:ext>
          </c:extLst>
        </c:ser>
        <c:ser>
          <c:idx val="3"/>
          <c:order val="3"/>
          <c:tx>
            <c:v>Trend</c:v>
          </c:tx>
          <c:spPr>
            <a:ln w="28575" cap="rnd">
              <a:solidFill>
                <a:schemeClr val="tx1"/>
              </a:solidFill>
              <a:round/>
            </a:ln>
            <a:effectLst/>
          </c:spPr>
          <c:marker>
            <c:symbol val="none"/>
          </c:marker>
          <c:cat>
            <c:numRef>
              <c:f>Plot_GDP_trend!$A$2:$A$29</c:f>
              <c:numCache>
                <c:formatCode>mm/yyyy</c:formatCode>
                <c:ptCount val="28"/>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pt idx="24">
                  <c:v>45747</c:v>
                </c:pt>
                <c:pt idx="25">
                  <c:v>45838</c:v>
                </c:pt>
                <c:pt idx="26">
                  <c:v>45930</c:v>
                </c:pt>
                <c:pt idx="27">
                  <c:v>46022</c:v>
                </c:pt>
              </c:numCache>
            </c:numRef>
          </c:cat>
          <c:val>
            <c:numRef>
              <c:f>Plot_GDP_trend!$E$2:$E$29</c:f>
              <c:numCache>
                <c:formatCode>General</c:formatCode>
                <c:ptCount val="2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numCache>
            </c:numRef>
          </c:val>
          <c:smooth val="0"/>
          <c:extLst>
            <c:ext xmlns:c16="http://schemas.microsoft.com/office/drawing/2014/chart" uri="{C3380CC4-5D6E-409C-BE32-E72D297353CC}">
              <c16:uniqueId val="{00000003-B44D-44FE-9BC7-05397023FB09}"/>
            </c:ext>
          </c:extLst>
        </c:ser>
        <c:dLbls>
          <c:showLegendKey val="0"/>
          <c:showVal val="0"/>
          <c:showCatName val="0"/>
          <c:showSerName val="0"/>
          <c:showPercent val="0"/>
          <c:showBubbleSize val="0"/>
        </c:dLbls>
        <c:smooth val="0"/>
        <c:axId val="1289471688"/>
        <c:axId val="1289474312"/>
        <c:extLst/>
      </c:lineChart>
      <c:dateAx>
        <c:axId val="1289471688"/>
        <c:scaling>
          <c:orientation val="minMax"/>
        </c:scaling>
        <c:delete val="0"/>
        <c:axPos val="b"/>
        <c:numFmt formatCode="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David" panose="020E0502060401010101" pitchFamily="34" charset="-79"/>
              </a:defRPr>
            </a:pPr>
            <a:endParaRPr lang="he-IL"/>
          </a:p>
        </c:txPr>
        <c:crossAx val="1289474312"/>
        <c:crosses val="autoZero"/>
        <c:auto val="1"/>
        <c:lblOffset val="100"/>
        <c:baseTimeUnit val="months"/>
        <c:majorUnit val="3"/>
        <c:majorTimeUnit val="months"/>
      </c:dateAx>
      <c:valAx>
        <c:axId val="1289474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David" panose="020E0502060401010101" pitchFamily="34" charset="-79"/>
              </a:defRPr>
            </a:pPr>
            <a:endParaRPr lang="he-IL"/>
          </a:p>
        </c:txPr>
        <c:crossAx val="1289471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7E4215-2546-4930-88E7-FB2A7F4B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3359</Words>
  <Characters>16797</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2024-01-02T06:41:00Z</dcterms:created>
  <dcterms:modified xsi:type="dcterms:W3CDTF">2024-01-02T06:41:00Z</dcterms:modified>
</cp:coreProperties>
</file>