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Caption w:val="כותרת"/>
        <w:tblDescription w:val="כותרת"/>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Pr="00520BB4" w:rsidRDefault="00DD5923" w:rsidP="005546D3">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DD5923" w:rsidRDefault="00DD5923" w:rsidP="005546D3">
            <w:pPr>
              <w:bidi/>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DD5923" w:rsidRDefault="008B7B35" w:rsidP="005546D3">
            <w:pPr>
              <w:bidi/>
              <w:spacing w:line="360" w:lineRule="auto"/>
              <w:jc w:val="center"/>
            </w:pPr>
            <w:r>
              <w:rPr>
                <w:noProof/>
                <w:rtl/>
                <w:lang w:eastAsia="en-US"/>
              </w:rPr>
              <w:drawing>
                <wp:inline distT="0" distB="0" distL="0" distR="0" wp14:anchorId="070AC535" wp14:editId="433C3368">
                  <wp:extent cx="772761" cy="769620"/>
                  <wp:effectExtent l="0" t="0" r="8890" b="0"/>
                  <wp:docPr id="2" name="תמונה 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ver\תפעול לשכת הדובר\כלים\לוגו\boi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2761" cy="76962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3A5869">
            <w:pPr>
              <w:bidi/>
              <w:spacing w:after="240" w:line="360" w:lineRule="auto"/>
              <w:jc w:val="right"/>
              <w:rPr>
                <w:rFonts w:cs="David"/>
                <w:sz w:val="24"/>
                <w:szCs w:val="24"/>
              </w:rPr>
            </w:pPr>
            <w:r>
              <w:rPr>
                <w:rFonts w:cs="David" w:hint="eastAsia"/>
                <w:sz w:val="24"/>
                <w:szCs w:val="24"/>
                <w:rtl/>
              </w:rPr>
              <w:t>‏</w:t>
            </w:r>
            <w:r w:rsidR="00320C91">
              <w:rPr>
                <w:rFonts w:cs="David" w:hint="cs"/>
                <w:sz w:val="24"/>
                <w:szCs w:val="24"/>
                <w:rtl/>
              </w:rPr>
              <w:t xml:space="preserve">ירושלים, </w:t>
            </w:r>
            <w:r w:rsidR="003C55FE">
              <w:rPr>
                <w:rFonts w:cs="David" w:hint="cs"/>
                <w:sz w:val="24"/>
                <w:szCs w:val="24"/>
                <w:rtl/>
              </w:rPr>
              <w:t>ב</w:t>
            </w:r>
            <w:r w:rsidR="00EF3E0F">
              <w:rPr>
                <w:rFonts w:cs="David" w:hint="cs"/>
                <w:sz w:val="24"/>
                <w:szCs w:val="24"/>
                <w:rtl/>
              </w:rPr>
              <w:t>'</w:t>
            </w:r>
            <w:r w:rsidR="00E50082">
              <w:rPr>
                <w:rFonts w:cs="David" w:hint="cs"/>
                <w:sz w:val="24"/>
                <w:szCs w:val="24"/>
                <w:rtl/>
              </w:rPr>
              <w:t xml:space="preserve"> </w:t>
            </w:r>
            <w:r w:rsidR="00EF3E0F">
              <w:rPr>
                <w:rFonts w:cs="David" w:hint="cs"/>
                <w:sz w:val="24"/>
                <w:szCs w:val="24"/>
                <w:rtl/>
              </w:rPr>
              <w:t>ב</w:t>
            </w:r>
            <w:r w:rsidR="003C55FE">
              <w:rPr>
                <w:rFonts w:cs="David" w:hint="cs"/>
                <w:sz w:val="24"/>
                <w:szCs w:val="24"/>
                <w:rtl/>
              </w:rPr>
              <w:t>טבת</w:t>
            </w:r>
            <w:r w:rsidR="00FF641F">
              <w:rPr>
                <w:rFonts w:cs="David" w:hint="cs"/>
                <w:sz w:val="24"/>
                <w:szCs w:val="24"/>
                <w:rtl/>
              </w:rPr>
              <w:t xml:space="preserve"> </w:t>
            </w:r>
            <w:r w:rsidR="00614095">
              <w:rPr>
                <w:rFonts w:cs="David" w:hint="cs"/>
                <w:sz w:val="24"/>
                <w:szCs w:val="24"/>
                <w:rtl/>
              </w:rPr>
              <w:t>ה</w:t>
            </w:r>
            <w:r w:rsidR="004625EB">
              <w:rPr>
                <w:rFonts w:cs="David"/>
                <w:sz w:val="24"/>
                <w:szCs w:val="24"/>
                <w:rtl/>
              </w:rPr>
              <w:t>תשע"</w:t>
            </w:r>
            <w:r w:rsidR="007E7688">
              <w:rPr>
                <w:rFonts w:cs="David" w:hint="cs"/>
                <w:sz w:val="24"/>
                <w:szCs w:val="24"/>
                <w:rtl/>
              </w:rPr>
              <w:t>ו</w:t>
            </w:r>
          </w:p>
          <w:p w:rsidR="00DD5923" w:rsidRPr="00DF107C" w:rsidRDefault="00DD5923" w:rsidP="003A5869">
            <w:pPr>
              <w:spacing w:after="240" w:line="360" w:lineRule="auto"/>
              <w:rPr>
                <w:rFonts w:cs="David"/>
                <w:sz w:val="24"/>
                <w:szCs w:val="24"/>
              </w:rPr>
            </w:pPr>
            <w:r>
              <w:rPr>
                <w:rFonts w:cs="David" w:hint="eastAsia"/>
                <w:sz w:val="24"/>
                <w:szCs w:val="24"/>
                <w:rtl/>
              </w:rPr>
              <w:t>‏‏</w:t>
            </w:r>
            <w:r w:rsidR="003C55FE">
              <w:rPr>
                <w:rFonts w:cs="David" w:hint="cs"/>
                <w:sz w:val="24"/>
                <w:szCs w:val="24"/>
                <w:rtl/>
              </w:rPr>
              <w:t>14 בדצמבר</w:t>
            </w:r>
            <w:r w:rsidR="00804452">
              <w:rPr>
                <w:rFonts w:cs="David" w:hint="cs"/>
                <w:sz w:val="24"/>
                <w:szCs w:val="24"/>
                <w:rtl/>
              </w:rPr>
              <w:t xml:space="preserve"> 2015</w:t>
            </w:r>
          </w:p>
        </w:tc>
      </w:tr>
    </w:tbl>
    <w:p w:rsidR="00FE034E" w:rsidRDefault="00FE034E" w:rsidP="005546D3">
      <w:pPr>
        <w:bidi/>
        <w:spacing w:line="360" w:lineRule="auto"/>
        <w:rPr>
          <w:rtl/>
        </w:rPr>
      </w:pPr>
    </w:p>
    <w:p w:rsidR="00C04A6B" w:rsidRDefault="007E18EE" w:rsidP="005546D3">
      <w:pPr>
        <w:bidi/>
        <w:spacing w:line="360" w:lineRule="auto"/>
        <w:ind w:right="-101"/>
        <w:rPr>
          <w:rFonts w:cs="David"/>
          <w:sz w:val="24"/>
          <w:szCs w:val="24"/>
          <w:rtl/>
        </w:rPr>
      </w:pPr>
      <w:r w:rsidRPr="007E18EE">
        <w:rPr>
          <w:rFonts w:cs="David" w:hint="cs"/>
          <w:sz w:val="24"/>
          <w:szCs w:val="24"/>
          <w:rtl/>
        </w:rPr>
        <w:t>הודעה לעיתונות:</w:t>
      </w:r>
    </w:p>
    <w:p w:rsidR="00487434" w:rsidRPr="009E54C5" w:rsidRDefault="00487434" w:rsidP="009E54C5">
      <w:pPr>
        <w:pStyle w:val="ad"/>
        <w:rPr>
          <w:rtl/>
        </w:rPr>
      </w:pPr>
      <w:r w:rsidRPr="009E54C5">
        <w:rPr>
          <w:rFonts w:hint="cs"/>
          <w:rtl/>
        </w:rPr>
        <w:t>דברי נגידת בנק ישראל בעת הגשת ד</w:t>
      </w:r>
      <w:r w:rsidR="007B735D" w:rsidRPr="009E54C5">
        <w:rPr>
          <w:rFonts w:hint="cs"/>
          <w:rtl/>
        </w:rPr>
        <w:t>וח ועדת שטרום לשר האוצר ולנגידה</w:t>
      </w:r>
    </w:p>
    <w:p w:rsidR="00487434" w:rsidRPr="00487434" w:rsidRDefault="005447F2" w:rsidP="009E54C5">
      <w:pPr>
        <w:bidi/>
        <w:spacing w:after="240" w:line="360" w:lineRule="auto"/>
        <w:ind w:left="360"/>
        <w:rPr>
          <w:rFonts w:cs="David"/>
          <w:sz w:val="24"/>
          <w:szCs w:val="24"/>
          <w:rtl/>
        </w:rPr>
      </w:pPr>
      <w:r>
        <w:rPr>
          <w:rFonts w:cs="David" w:hint="cs"/>
          <w:sz w:val="24"/>
          <w:szCs w:val="24"/>
          <w:rtl/>
        </w:rPr>
        <w:t xml:space="preserve">ברצוני להודות לחברי הוועדה </w:t>
      </w:r>
      <w:r w:rsidR="003A2AF2">
        <w:rPr>
          <w:rFonts w:cs="David" w:hint="cs"/>
          <w:sz w:val="24"/>
          <w:szCs w:val="24"/>
          <w:rtl/>
        </w:rPr>
        <w:t>ולעומד בראשה</w:t>
      </w:r>
      <w:r>
        <w:rPr>
          <w:rFonts w:cs="David" w:hint="cs"/>
          <w:sz w:val="24"/>
          <w:szCs w:val="24"/>
          <w:rtl/>
        </w:rPr>
        <w:t xml:space="preserve"> על עבודתם המעמיקה והמקצועית בחודשים האחרונים. </w:t>
      </w:r>
      <w:r w:rsidR="00487434" w:rsidRPr="00403E78">
        <w:rPr>
          <w:rFonts w:cs="David"/>
          <w:b/>
          <w:bCs/>
          <w:sz w:val="24"/>
          <w:szCs w:val="24"/>
          <w:rtl/>
        </w:rPr>
        <w:t xml:space="preserve">בנק ישראל רואה חשיבות </w:t>
      </w:r>
      <w:r w:rsidR="00487434" w:rsidRPr="00403E78">
        <w:rPr>
          <w:rFonts w:cs="David" w:hint="cs"/>
          <w:b/>
          <w:bCs/>
          <w:sz w:val="24"/>
          <w:szCs w:val="24"/>
          <w:rtl/>
        </w:rPr>
        <w:t xml:space="preserve">רבה </w:t>
      </w:r>
      <w:r w:rsidR="00487434" w:rsidRPr="00403E78">
        <w:rPr>
          <w:rFonts w:cs="David"/>
          <w:b/>
          <w:bCs/>
          <w:sz w:val="24"/>
          <w:szCs w:val="24"/>
          <w:rtl/>
        </w:rPr>
        <w:t xml:space="preserve">בהגברת התחרות במערכת </w:t>
      </w:r>
      <w:r w:rsidR="00487434" w:rsidRPr="00403E78">
        <w:rPr>
          <w:rFonts w:cs="David" w:hint="cs"/>
          <w:b/>
          <w:bCs/>
          <w:sz w:val="24"/>
          <w:szCs w:val="24"/>
          <w:rtl/>
        </w:rPr>
        <w:t>הבנקאית בפרט ובמערכת הפיננסית בכלל, ומקדם שורה של מהלכים בכיוון זה, חלקם בשיתוף עם הרגולטורים האחרים, בנוסף על ההמלצות שנדונות כאן היום</w:t>
      </w:r>
      <w:r w:rsidR="00487434" w:rsidRPr="00487434">
        <w:rPr>
          <w:rFonts w:cs="David" w:hint="cs"/>
          <w:sz w:val="24"/>
          <w:szCs w:val="24"/>
          <w:rtl/>
        </w:rPr>
        <w:t xml:space="preserve">: </w:t>
      </w:r>
    </w:p>
    <w:p w:rsidR="00487434" w:rsidRPr="00487434" w:rsidRDefault="00487434" w:rsidP="009E54C5">
      <w:pPr>
        <w:pStyle w:val="ac"/>
        <w:numPr>
          <w:ilvl w:val="0"/>
          <w:numId w:val="3"/>
        </w:numPr>
        <w:spacing w:after="240" w:line="360" w:lineRule="auto"/>
        <w:rPr>
          <w:rFonts w:eastAsia="Times New Roman" w:cs="David"/>
          <w:sz w:val="24"/>
          <w:szCs w:val="24"/>
          <w:rtl/>
        </w:rPr>
      </w:pPr>
      <w:r w:rsidRPr="00487434">
        <w:rPr>
          <w:rFonts w:eastAsia="Times New Roman" w:cs="David"/>
          <w:sz w:val="24"/>
          <w:szCs w:val="24"/>
          <w:rtl/>
        </w:rPr>
        <w:t xml:space="preserve">הקמת מאגר נתוני </w:t>
      </w:r>
      <w:r w:rsidRPr="00487434">
        <w:rPr>
          <w:rFonts w:eastAsia="Times New Roman" w:cs="David" w:hint="cs"/>
          <w:sz w:val="24"/>
          <w:szCs w:val="24"/>
          <w:rtl/>
        </w:rPr>
        <w:t>ה</w:t>
      </w:r>
      <w:r w:rsidRPr="00487434">
        <w:rPr>
          <w:rFonts w:eastAsia="Times New Roman" w:cs="David"/>
          <w:sz w:val="24"/>
          <w:szCs w:val="24"/>
          <w:rtl/>
        </w:rPr>
        <w:t>אשראי</w:t>
      </w:r>
      <w:r w:rsidRPr="00487434">
        <w:rPr>
          <w:rFonts w:eastAsia="Times New Roman" w:cs="David" w:hint="cs"/>
          <w:sz w:val="24"/>
          <w:szCs w:val="24"/>
          <w:rtl/>
        </w:rPr>
        <w:t>, שיצמצם את פערי האינפורמציה בין הבנקים לבין נותני אשראי חוץ בנקאיים ויעניק כוח מיקוח ללקוח;</w:t>
      </w:r>
      <w:r w:rsidRPr="00487434">
        <w:rPr>
          <w:rFonts w:eastAsia="Times New Roman" w:cs="David"/>
          <w:sz w:val="24"/>
          <w:szCs w:val="24"/>
          <w:rtl/>
        </w:rPr>
        <w:t xml:space="preserve"> </w:t>
      </w:r>
    </w:p>
    <w:p w:rsidR="00487434" w:rsidRPr="00487434" w:rsidRDefault="00487434" w:rsidP="009E54C5">
      <w:pPr>
        <w:pStyle w:val="ac"/>
        <w:numPr>
          <w:ilvl w:val="0"/>
          <w:numId w:val="3"/>
        </w:numPr>
        <w:spacing w:after="240" w:line="360" w:lineRule="auto"/>
        <w:rPr>
          <w:rFonts w:eastAsia="Times New Roman" w:cs="David"/>
          <w:sz w:val="24"/>
          <w:szCs w:val="24"/>
          <w:rtl/>
        </w:rPr>
      </w:pPr>
      <w:r w:rsidRPr="00487434">
        <w:rPr>
          <w:rFonts w:eastAsia="Times New Roman" w:cs="David" w:hint="cs"/>
          <w:sz w:val="24"/>
          <w:szCs w:val="24"/>
          <w:rtl/>
        </w:rPr>
        <w:t xml:space="preserve">קידום שוק האיגוח, שיאפשר להגדיל את מקורות האשראי ולגשר בין ההון המצוי בידי המוסדיים לבין צרכי האשראי של המשק; </w:t>
      </w:r>
    </w:p>
    <w:p w:rsidR="00487434" w:rsidRPr="00487434" w:rsidRDefault="000104D7" w:rsidP="009E54C5">
      <w:pPr>
        <w:pStyle w:val="ac"/>
        <w:numPr>
          <w:ilvl w:val="0"/>
          <w:numId w:val="3"/>
        </w:numPr>
        <w:spacing w:after="240" w:line="360" w:lineRule="auto"/>
        <w:rPr>
          <w:rFonts w:eastAsia="Times New Roman" w:cs="David"/>
          <w:sz w:val="24"/>
          <w:szCs w:val="24"/>
          <w:rtl/>
        </w:rPr>
      </w:pPr>
      <w:r>
        <w:rPr>
          <w:rFonts w:eastAsia="Times New Roman" w:cs="David" w:hint="cs"/>
          <w:sz w:val="24"/>
          <w:szCs w:val="24"/>
          <w:rtl/>
        </w:rPr>
        <w:t xml:space="preserve">יישום מתמשך של רובן המכריע </w:t>
      </w:r>
      <w:r w:rsidR="00487434" w:rsidRPr="00487434">
        <w:rPr>
          <w:rFonts w:eastAsia="Times New Roman" w:cs="David" w:hint="cs"/>
          <w:sz w:val="24"/>
          <w:szCs w:val="24"/>
          <w:rtl/>
        </w:rPr>
        <w:t xml:space="preserve">של המלצות ועדת זקן לקידום התחרות. </w:t>
      </w:r>
    </w:p>
    <w:p w:rsidR="00487434" w:rsidRPr="000104D7" w:rsidRDefault="00487434" w:rsidP="009E54C5">
      <w:pPr>
        <w:bidi/>
        <w:spacing w:after="240" w:line="360" w:lineRule="auto"/>
        <w:ind w:left="360"/>
        <w:rPr>
          <w:rFonts w:cs="David"/>
          <w:sz w:val="24"/>
          <w:szCs w:val="24"/>
          <w:rtl/>
        </w:rPr>
      </w:pPr>
      <w:r w:rsidRPr="000104D7">
        <w:rPr>
          <w:rFonts w:cs="David" w:hint="cs"/>
          <w:b/>
          <w:bCs/>
          <w:sz w:val="24"/>
          <w:szCs w:val="24"/>
          <w:rtl/>
        </w:rPr>
        <w:t xml:space="preserve">בנק ישראל </w:t>
      </w:r>
      <w:r w:rsidRPr="000104D7">
        <w:rPr>
          <w:rFonts w:cs="David"/>
          <w:b/>
          <w:bCs/>
          <w:sz w:val="24"/>
          <w:szCs w:val="24"/>
          <w:rtl/>
        </w:rPr>
        <w:t>תומך בכל מהלך שישרת את הציבור</w:t>
      </w:r>
      <w:r w:rsidRPr="000104D7">
        <w:rPr>
          <w:rFonts w:cs="David" w:hint="cs"/>
          <w:b/>
          <w:bCs/>
          <w:sz w:val="24"/>
          <w:szCs w:val="24"/>
          <w:rtl/>
        </w:rPr>
        <w:t xml:space="preserve">, ושם </w:t>
      </w:r>
      <w:r w:rsidR="005447F2" w:rsidRPr="000104D7">
        <w:rPr>
          <w:rFonts w:cs="David" w:hint="cs"/>
          <w:b/>
          <w:bCs/>
          <w:sz w:val="24"/>
          <w:szCs w:val="24"/>
          <w:rtl/>
        </w:rPr>
        <w:t>עיקרון זה</w:t>
      </w:r>
      <w:r w:rsidRPr="000104D7">
        <w:rPr>
          <w:rFonts w:cs="David" w:hint="cs"/>
          <w:b/>
          <w:bCs/>
          <w:sz w:val="24"/>
          <w:szCs w:val="24"/>
          <w:rtl/>
        </w:rPr>
        <w:t xml:space="preserve"> לנגד עיניו בכל החלטה שמתקבלת על ידיו</w:t>
      </w:r>
      <w:r w:rsidRPr="000104D7">
        <w:rPr>
          <w:rFonts w:cs="David"/>
          <w:b/>
          <w:bCs/>
          <w:sz w:val="24"/>
          <w:szCs w:val="24"/>
          <w:rtl/>
        </w:rPr>
        <w:t>.</w:t>
      </w:r>
      <w:r w:rsidRPr="000104D7">
        <w:rPr>
          <w:rFonts w:cs="David"/>
          <w:sz w:val="24"/>
          <w:szCs w:val="24"/>
          <w:rtl/>
        </w:rPr>
        <w:t xml:space="preserve"> </w:t>
      </w:r>
      <w:r w:rsidR="000104D7">
        <w:rPr>
          <w:rFonts w:cs="David" w:hint="cs"/>
          <w:sz w:val="24"/>
          <w:szCs w:val="24"/>
          <w:rtl/>
        </w:rPr>
        <w:t>לכן</w:t>
      </w:r>
      <w:r w:rsidRPr="000104D7">
        <w:rPr>
          <w:rFonts w:cs="David"/>
          <w:sz w:val="24"/>
          <w:szCs w:val="24"/>
          <w:rtl/>
        </w:rPr>
        <w:t xml:space="preserve">, יש </w:t>
      </w:r>
      <w:r w:rsidR="005447F2" w:rsidRPr="000104D7">
        <w:rPr>
          <w:rFonts w:cs="David" w:hint="cs"/>
          <w:sz w:val="24"/>
          <w:szCs w:val="24"/>
          <w:rtl/>
        </w:rPr>
        <w:t>לבחון</w:t>
      </w:r>
      <w:r w:rsidRPr="000104D7">
        <w:rPr>
          <w:rFonts w:cs="David"/>
          <w:sz w:val="24"/>
          <w:szCs w:val="24"/>
          <w:rtl/>
        </w:rPr>
        <w:t xml:space="preserve"> את הדברים בראיה ארוכת טווח ולהימנע ממהלכים שנזקם יעלה על תועלתם</w:t>
      </w:r>
      <w:r w:rsidR="0020641A" w:rsidRPr="000104D7">
        <w:rPr>
          <w:rFonts w:cs="David" w:hint="cs"/>
          <w:sz w:val="24"/>
          <w:szCs w:val="24"/>
          <w:rtl/>
        </w:rPr>
        <w:t xml:space="preserve"> ושעלולים לסכן את המשק</w:t>
      </w:r>
      <w:r w:rsidRPr="000104D7">
        <w:rPr>
          <w:rFonts w:cs="David" w:hint="cs"/>
          <w:sz w:val="24"/>
          <w:szCs w:val="24"/>
          <w:rtl/>
        </w:rPr>
        <w:t>. בכך נבטיח</w:t>
      </w:r>
      <w:r w:rsidRPr="000104D7">
        <w:rPr>
          <w:rFonts w:cs="David"/>
          <w:sz w:val="24"/>
          <w:szCs w:val="24"/>
          <w:rtl/>
        </w:rPr>
        <w:t xml:space="preserve"> ש</w:t>
      </w:r>
      <w:r w:rsidRPr="000104D7">
        <w:rPr>
          <w:rFonts w:cs="David" w:hint="cs"/>
          <w:sz w:val="24"/>
          <w:szCs w:val="24"/>
          <w:rtl/>
        </w:rPr>
        <w:t>ה</w:t>
      </w:r>
      <w:r w:rsidRPr="000104D7">
        <w:rPr>
          <w:rFonts w:cs="David"/>
          <w:sz w:val="24"/>
          <w:szCs w:val="24"/>
          <w:rtl/>
        </w:rPr>
        <w:t xml:space="preserve">רפורמה תביא את השינויים המיוחלים. </w:t>
      </w:r>
    </w:p>
    <w:p w:rsidR="00487434" w:rsidRPr="00487434" w:rsidRDefault="00487434" w:rsidP="009E54C5">
      <w:pPr>
        <w:bidi/>
        <w:spacing w:after="240" w:line="360" w:lineRule="auto"/>
        <w:ind w:left="360"/>
        <w:rPr>
          <w:rFonts w:cs="David"/>
          <w:sz w:val="24"/>
          <w:szCs w:val="24"/>
          <w:rtl/>
        </w:rPr>
      </w:pPr>
      <w:r w:rsidRPr="00487434">
        <w:rPr>
          <w:rFonts w:cs="David" w:hint="cs"/>
          <w:sz w:val="24"/>
          <w:szCs w:val="24"/>
          <w:rtl/>
        </w:rPr>
        <w:t xml:space="preserve">יש הסכמה רחבה על הצורך לחזק את התחרות בשוק האשראי במקטע משקי הבית והעסקים הקטנים, ולהקל על שחקנים חדשים להתחרות גם בתחום הסליקה ושרותי התשלום. הוועדה מציעה דרכים להגדיל את מספר השחקנים, לייצר תנאים שיגבירו את התחרות בין השחקנים, להגדיל את המקורות שיעמדו לרשותם  ולהקל על ההתחברות למערכות התשלומים והסליקה. </w:t>
      </w:r>
    </w:p>
    <w:p w:rsidR="00487434" w:rsidRDefault="00487434" w:rsidP="009E54C5">
      <w:pPr>
        <w:bidi/>
        <w:spacing w:after="240" w:line="360" w:lineRule="auto"/>
        <w:ind w:left="360"/>
        <w:rPr>
          <w:rFonts w:cs="David"/>
          <w:sz w:val="24"/>
          <w:szCs w:val="24"/>
          <w:rtl/>
        </w:rPr>
      </w:pPr>
      <w:r w:rsidRPr="00487434">
        <w:rPr>
          <w:rFonts w:cs="David" w:hint="cs"/>
          <w:sz w:val="24"/>
          <w:szCs w:val="24"/>
          <w:rtl/>
        </w:rPr>
        <w:t>בעת גיבוש מהלכים אלה, ישנה חשיבות מכרעת בהבטחת ההגנה על ציבור צרכני השירותים הפיננסיים, ועל היציבות של הגופים החדשים, המשליכה כמובן על היציבות של המערכת כולה. אל לנו לשכוח את הלקחים מהמשבר הפיננסי החמור בדורנו, שנגרם כתוצאה ממהלכים לא אחראיים ופיקוח לא נאות. חשוב לזכור, שב-3 השנים האחרונות גדלה יתרת האשראי הצרכני במצטבר בכ-20%, והאשראי לעסקים קטנים בכ-30%.</w:t>
      </w:r>
    </w:p>
    <w:p w:rsidR="00680B85" w:rsidRDefault="00680B85" w:rsidP="009E54C5">
      <w:pPr>
        <w:bidi/>
        <w:spacing w:after="240" w:line="360" w:lineRule="auto"/>
        <w:ind w:left="360"/>
        <w:rPr>
          <w:rFonts w:cs="David"/>
          <w:sz w:val="24"/>
          <w:szCs w:val="24"/>
          <w:rtl/>
        </w:rPr>
      </w:pPr>
      <w:r>
        <w:rPr>
          <w:rFonts w:cs="David" w:hint="cs"/>
          <w:sz w:val="24"/>
          <w:szCs w:val="24"/>
          <w:rtl/>
        </w:rPr>
        <w:t xml:space="preserve">כאמור, </w:t>
      </w:r>
      <w:r w:rsidRPr="0020641A">
        <w:rPr>
          <w:rFonts w:cs="David" w:hint="cs"/>
          <w:sz w:val="24"/>
          <w:szCs w:val="24"/>
          <w:rtl/>
        </w:rPr>
        <w:t>בדוח ישנם צעדים מאוד משמעותיים, שישנו את תמונת התחרות במערכת הפיננסית</w:t>
      </w:r>
      <w:r>
        <w:rPr>
          <w:rFonts w:cs="David" w:hint="cs"/>
          <w:sz w:val="24"/>
          <w:szCs w:val="24"/>
          <w:rtl/>
        </w:rPr>
        <w:t>,</w:t>
      </w:r>
      <w:r w:rsidRPr="0020641A">
        <w:rPr>
          <w:rFonts w:cs="David" w:hint="cs"/>
          <w:sz w:val="24"/>
          <w:szCs w:val="24"/>
          <w:rtl/>
        </w:rPr>
        <w:t xml:space="preserve"> </w:t>
      </w:r>
      <w:r>
        <w:rPr>
          <w:rFonts w:cs="David" w:hint="cs"/>
          <w:sz w:val="24"/>
          <w:szCs w:val="24"/>
          <w:rtl/>
        </w:rPr>
        <w:t>כשל</w:t>
      </w:r>
      <w:r w:rsidRPr="0020641A">
        <w:rPr>
          <w:rFonts w:cs="David" w:hint="cs"/>
          <w:sz w:val="24"/>
          <w:szCs w:val="24"/>
          <w:rtl/>
        </w:rPr>
        <w:t xml:space="preserve">גבי צעדים אלו הושגה הסכמה. עם זאת, ישנם גם לא מעט צעדים במחלוקת, כך שהדיונים עדיין לא מוצו וישנה עוד עבודה רבה לקראת גיבוש המלצות סופיות. אדגיש, שהנושאים שלהם מתנגד בנק ישראל משקפים, לתפיסתו המקצועית של הבנק, צעדים שעלולים </w:t>
      </w:r>
      <w:r>
        <w:rPr>
          <w:rFonts w:cs="David" w:hint="cs"/>
          <w:sz w:val="24"/>
          <w:szCs w:val="24"/>
          <w:rtl/>
        </w:rPr>
        <w:t xml:space="preserve">לפגוע בציבור ולהוות </w:t>
      </w:r>
      <w:r w:rsidRPr="0020641A">
        <w:rPr>
          <w:rFonts w:cs="David" w:hint="cs"/>
          <w:sz w:val="24"/>
          <w:szCs w:val="24"/>
          <w:rtl/>
        </w:rPr>
        <w:t xml:space="preserve">סיכון משמעותי ליציבות המשק. </w:t>
      </w:r>
    </w:p>
    <w:p w:rsidR="00680B85" w:rsidRDefault="00680B85" w:rsidP="00680B85">
      <w:pPr>
        <w:bidi/>
        <w:spacing w:after="240" w:line="360" w:lineRule="auto"/>
        <w:ind w:left="360"/>
        <w:jc w:val="both"/>
        <w:rPr>
          <w:rFonts w:cs="David"/>
          <w:b/>
          <w:bCs/>
          <w:sz w:val="24"/>
          <w:szCs w:val="24"/>
          <w:u w:val="single"/>
          <w:rtl/>
        </w:rPr>
      </w:pPr>
    </w:p>
    <w:p w:rsidR="00487434" w:rsidRPr="009E54C5" w:rsidRDefault="0020641A" w:rsidP="009E54C5">
      <w:pPr>
        <w:pStyle w:val="1"/>
        <w:jc w:val="left"/>
        <w:rPr>
          <w:rtl/>
        </w:rPr>
      </w:pPr>
      <w:r w:rsidRPr="009E54C5">
        <w:rPr>
          <w:rFonts w:hint="cs"/>
          <w:rtl/>
        </w:rPr>
        <w:lastRenderedPageBreak/>
        <w:t>המלצות הוועדה משקפות</w:t>
      </w:r>
      <w:r w:rsidR="00487434" w:rsidRPr="009E54C5">
        <w:rPr>
          <w:rFonts w:hint="cs"/>
          <w:rtl/>
        </w:rPr>
        <w:t xml:space="preserve"> הסכמות שהושגו בנושאים חשובים ומהותיים: </w:t>
      </w:r>
    </w:p>
    <w:p w:rsidR="00487434" w:rsidRPr="00487434" w:rsidRDefault="00487434" w:rsidP="009E54C5">
      <w:pPr>
        <w:bidi/>
        <w:spacing w:after="240" w:line="360" w:lineRule="auto"/>
        <w:ind w:left="360"/>
        <w:rPr>
          <w:rFonts w:cs="David"/>
          <w:sz w:val="24"/>
          <w:szCs w:val="24"/>
          <w:rtl/>
        </w:rPr>
      </w:pPr>
      <w:r w:rsidRPr="00487434">
        <w:rPr>
          <w:rFonts w:cs="David" w:hint="cs"/>
          <w:b/>
          <w:bCs/>
          <w:sz w:val="24"/>
          <w:szCs w:val="24"/>
          <w:rtl/>
        </w:rPr>
        <w:t>הפרדת שתי חברות כרטיסי</w:t>
      </w:r>
      <w:r w:rsidRPr="00487434">
        <w:rPr>
          <w:rFonts w:cs="David" w:hint="cs"/>
          <w:sz w:val="24"/>
          <w:szCs w:val="24"/>
          <w:rtl/>
        </w:rPr>
        <w:t xml:space="preserve"> </w:t>
      </w:r>
      <w:r w:rsidRPr="00487434">
        <w:rPr>
          <w:rFonts w:cs="David" w:hint="cs"/>
          <w:b/>
          <w:bCs/>
          <w:sz w:val="24"/>
          <w:szCs w:val="24"/>
          <w:rtl/>
        </w:rPr>
        <w:t>האשראי</w:t>
      </w:r>
      <w:r w:rsidRPr="00487434">
        <w:rPr>
          <w:rFonts w:cs="David" w:hint="cs"/>
          <w:sz w:val="24"/>
          <w:szCs w:val="24"/>
          <w:rtl/>
        </w:rPr>
        <w:t xml:space="preserve"> מהבנקים הגדולים, תוך מתן הגנת ינוקא מידתית לחברות המופרדות. </w:t>
      </w:r>
    </w:p>
    <w:p w:rsidR="00487434" w:rsidRPr="00487434" w:rsidRDefault="00487434" w:rsidP="009E54C5">
      <w:pPr>
        <w:bidi/>
        <w:spacing w:after="240" w:line="360" w:lineRule="auto"/>
        <w:ind w:left="360"/>
        <w:rPr>
          <w:rFonts w:cs="David"/>
          <w:b/>
          <w:bCs/>
          <w:sz w:val="24"/>
          <w:szCs w:val="24"/>
          <w:rtl/>
        </w:rPr>
      </w:pPr>
      <w:r w:rsidRPr="00487434">
        <w:rPr>
          <w:rFonts w:cs="David" w:hint="cs"/>
          <w:b/>
          <w:bCs/>
          <w:sz w:val="24"/>
          <w:szCs w:val="24"/>
          <w:rtl/>
        </w:rPr>
        <w:t>מדרגה פיקוחית מקלה על גופים שאינם מגייסי פ</w:t>
      </w:r>
      <w:r w:rsidR="005447F2">
        <w:rPr>
          <w:rFonts w:cs="David" w:hint="cs"/>
          <w:b/>
          <w:bCs/>
          <w:sz w:val="24"/>
          <w:szCs w:val="24"/>
          <w:rtl/>
        </w:rPr>
        <w:t>י</w:t>
      </w:r>
      <w:r w:rsidRPr="00487434">
        <w:rPr>
          <w:rFonts w:cs="David" w:hint="cs"/>
          <w:b/>
          <w:bCs/>
          <w:sz w:val="24"/>
          <w:szCs w:val="24"/>
          <w:rtl/>
        </w:rPr>
        <w:t>קדונות</w:t>
      </w:r>
      <w:r w:rsidRPr="00487434">
        <w:rPr>
          <w:rFonts w:cs="David" w:hint="cs"/>
          <w:sz w:val="24"/>
          <w:szCs w:val="24"/>
          <w:rtl/>
        </w:rPr>
        <w:t xml:space="preserve">, שתקל על גופים חדשים להתחרות בבנקים; </w:t>
      </w:r>
    </w:p>
    <w:p w:rsidR="005447F2" w:rsidRDefault="00487434" w:rsidP="009E54C5">
      <w:pPr>
        <w:bidi/>
        <w:spacing w:after="240" w:line="360" w:lineRule="auto"/>
        <w:ind w:left="360"/>
        <w:rPr>
          <w:rFonts w:cs="David"/>
          <w:b/>
          <w:bCs/>
          <w:sz w:val="24"/>
          <w:szCs w:val="24"/>
          <w:rtl/>
        </w:rPr>
      </w:pPr>
      <w:r w:rsidRPr="00487434">
        <w:rPr>
          <w:rFonts w:cs="David" w:hint="cs"/>
          <w:b/>
          <w:bCs/>
          <w:sz w:val="24"/>
          <w:szCs w:val="24"/>
          <w:rtl/>
        </w:rPr>
        <w:t>בניית כלים טכנולוגיים לצרכן</w:t>
      </w:r>
      <w:r w:rsidRPr="00487434">
        <w:rPr>
          <w:rFonts w:cs="David" w:hint="cs"/>
          <w:sz w:val="24"/>
          <w:szCs w:val="24"/>
          <w:rtl/>
        </w:rPr>
        <w:t xml:space="preserve"> (שירותי מידע וייזום פעולות) שיאפשרו השוואת מחירים פשוטה.</w:t>
      </w:r>
    </w:p>
    <w:p w:rsidR="00487434" w:rsidRPr="00487434" w:rsidRDefault="00487434" w:rsidP="009E54C5">
      <w:pPr>
        <w:bidi/>
        <w:spacing w:after="240" w:line="360" w:lineRule="auto"/>
        <w:ind w:left="360"/>
        <w:rPr>
          <w:rFonts w:cs="David"/>
          <w:sz w:val="24"/>
          <w:szCs w:val="24"/>
          <w:rtl/>
        </w:rPr>
      </w:pPr>
      <w:r w:rsidRPr="00487434">
        <w:rPr>
          <w:rFonts w:cs="David" w:hint="cs"/>
          <w:b/>
          <w:bCs/>
          <w:sz w:val="24"/>
          <w:szCs w:val="24"/>
          <w:rtl/>
        </w:rPr>
        <w:t>ביטוח פיקדונות</w:t>
      </w:r>
      <w:r w:rsidR="005447F2">
        <w:rPr>
          <w:rFonts w:cs="David" w:hint="cs"/>
          <w:sz w:val="24"/>
          <w:szCs w:val="24"/>
          <w:rtl/>
        </w:rPr>
        <w:t xml:space="preserve"> הינו</w:t>
      </w:r>
      <w:r w:rsidRPr="00487434">
        <w:rPr>
          <w:rFonts w:cs="David" w:hint="cs"/>
          <w:sz w:val="24"/>
          <w:szCs w:val="24"/>
          <w:rtl/>
        </w:rPr>
        <w:t xml:space="preserve"> מהלך שיסייע לבנקים הקטנים להתחרות על לקוחות נוספים, ויחזק את יכולתנו להתמודד עם המשבר הבא.</w:t>
      </w:r>
    </w:p>
    <w:p w:rsidR="00487434" w:rsidRPr="00487434" w:rsidRDefault="00487434" w:rsidP="009E54C5">
      <w:pPr>
        <w:bidi/>
        <w:spacing w:after="240" w:line="360" w:lineRule="auto"/>
        <w:ind w:left="360"/>
        <w:rPr>
          <w:rFonts w:cs="David"/>
          <w:sz w:val="24"/>
          <w:szCs w:val="24"/>
          <w:rtl/>
        </w:rPr>
      </w:pPr>
      <w:r w:rsidRPr="00487434">
        <w:rPr>
          <w:rFonts w:cs="David" w:hint="cs"/>
          <w:sz w:val="24"/>
          <w:szCs w:val="24"/>
          <w:rtl/>
        </w:rPr>
        <w:t xml:space="preserve">תושלם האסדרה שתחול על </w:t>
      </w:r>
      <w:r w:rsidRPr="00487434">
        <w:rPr>
          <w:rFonts w:cs="David" w:hint="cs"/>
          <w:b/>
          <w:bCs/>
          <w:sz w:val="24"/>
          <w:szCs w:val="24"/>
          <w:rtl/>
        </w:rPr>
        <w:t>חברות מימון חוץ בנקאיות</w:t>
      </w:r>
      <w:r w:rsidRPr="00487434">
        <w:rPr>
          <w:rFonts w:cs="David" w:hint="cs"/>
          <w:sz w:val="24"/>
          <w:szCs w:val="24"/>
          <w:rtl/>
        </w:rPr>
        <w:t xml:space="preserve"> (לרבות </w:t>
      </w:r>
      <w:r w:rsidRPr="00487434">
        <w:rPr>
          <w:rFonts w:cs="David"/>
          <w:sz w:val="24"/>
          <w:szCs w:val="24"/>
        </w:rPr>
        <w:t>P</w:t>
      </w:r>
      <w:r w:rsidRPr="00487434">
        <w:rPr>
          <w:rFonts w:cs="David" w:hint="cs"/>
          <w:sz w:val="24"/>
          <w:szCs w:val="24"/>
          <w:rtl/>
        </w:rPr>
        <w:t>2</w:t>
      </w:r>
      <w:r w:rsidRPr="00487434">
        <w:rPr>
          <w:rFonts w:cs="David"/>
          <w:sz w:val="24"/>
          <w:szCs w:val="24"/>
        </w:rPr>
        <w:t>P</w:t>
      </w:r>
      <w:r w:rsidRPr="00487434">
        <w:rPr>
          <w:rFonts w:cs="David" w:hint="cs"/>
          <w:sz w:val="24"/>
          <w:szCs w:val="24"/>
          <w:rtl/>
        </w:rPr>
        <w:t>). חברות מפוקחות יוכלו להיות מקושרות למערכות התשלומים.</w:t>
      </w:r>
    </w:p>
    <w:p w:rsidR="00487434" w:rsidRPr="00487434" w:rsidRDefault="00487434" w:rsidP="009E54C5">
      <w:pPr>
        <w:bidi/>
        <w:spacing w:after="240" w:line="360" w:lineRule="auto"/>
        <w:ind w:left="360"/>
        <w:rPr>
          <w:rFonts w:cs="David"/>
          <w:sz w:val="24"/>
          <w:szCs w:val="24"/>
          <w:rtl/>
        </w:rPr>
      </w:pPr>
      <w:proofErr w:type="spellStart"/>
      <w:r w:rsidRPr="00487434">
        <w:rPr>
          <w:rFonts w:cs="David" w:hint="cs"/>
          <w:b/>
          <w:bCs/>
          <w:sz w:val="24"/>
          <w:szCs w:val="24"/>
          <w:rtl/>
        </w:rPr>
        <w:t>אסדרת</w:t>
      </w:r>
      <w:proofErr w:type="spellEnd"/>
      <w:r w:rsidRPr="00487434">
        <w:rPr>
          <w:rFonts w:cs="David" w:hint="cs"/>
          <w:b/>
          <w:bCs/>
          <w:sz w:val="24"/>
          <w:szCs w:val="24"/>
          <w:rtl/>
        </w:rPr>
        <w:t xml:space="preserve"> שירותי תשלום</w:t>
      </w:r>
      <w:r w:rsidRPr="00487434">
        <w:rPr>
          <w:rFonts w:cs="David" w:hint="cs"/>
          <w:sz w:val="24"/>
          <w:szCs w:val="24"/>
          <w:rtl/>
        </w:rPr>
        <w:t>, בהתאם לעקרונות הנהוגים בעולם תוך התאמה לשוק המקומי, וקביעת תנאי הגישה למערכות התשלומים המבוקרות.</w:t>
      </w:r>
    </w:p>
    <w:p w:rsidR="00487434" w:rsidRPr="00487434" w:rsidRDefault="005447F2" w:rsidP="009E54C5">
      <w:pPr>
        <w:bidi/>
        <w:spacing w:after="240" w:line="360" w:lineRule="auto"/>
        <w:ind w:left="360"/>
        <w:rPr>
          <w:rFonts w:cs="David"/>
          <w:sz w:val="24"/>
          <w:szCs w:val="24"/>
          <w:rtl/>
        </w:rPr>
      </w:pPr>
      <w:r>
        <w:rPr>
          <w:rFonts w:cs="David" w:hint="cs"/>
          <w:b/>
          <w:bCs/>
          <w:sz w:val="24"/>
          <w:szCs w:val="24"/>
          <w:rtl/>
        </w:rPr>
        <w:t>הקמת ועדה</w:t>
      </w:r>
      <w:r w:rsidR="00487434" w:rsidRPr="00487434">
        <w:rPr>
          <w:rFonts w:cs="David" w:hint="cs"/>
          <w:sz w:val="24"/>
          <w:szCs w:val="24"/>
          <w:rtl/>
        </w:rPr>
        <w:t xml:space="preserve"> שתעקוב אחר יישום ההמלצות, ותמליץ, ככל שנדרש, על צעדים נוספים.</w:t>
      </w:r>
    </w:p>
    <w:p w:rsidR="00680B85" w:rsidRDefault="00680B85" w:rsidP="009E54C5">
      <w:pPr>
        <w:bidi/>
        <w:spacing w:after="240" w:line="360" w:lineRule="auto"/>
        <w:ind w:left="360"/>
        <w:rPr>
          <w:rFonts w:cs="David"/>
          <w:b/>
          <w:bCs/>
          <w:sz w:val="24"/>
          <w:szCs w:val="24"/>
          <w:rtl/>
        </w:rPr>
      </w:pPr>
      <w:bookmarkStart w:id="0" w:name="_GoBack"/>
      <w:bookmarkEnd w:id="0"/>
    </w:p>
    <w:p w:rsidR="00403E78" w:rsidRPr="000104D7" w:rsidRDefault="00487434" w:rsidP="009E54C5">
      <w:pPr>
        <w:bidi/>
        <w:spacing w:after="240" w:line="360" w:lineRule="auto"/>
        <w:ind w:left="360"/>
        <w:rPr>
          <w:rFonts w:cs="David"/>
          <w:b/>
          <w:bCs/>
          <w:sz w:val="24"/>
          <w:szCs w:val="24"/>
          <w:rtl/>
        </w:rPr>
      </w:pPr>
      <w:r w:rsidRPr="000104D7">
        <w:rPr>
          <w:rFonts w:cs="David" w:hint="cs"/>
          <w:b/>
          <w:bCs/>
          <w:sz w:val="24"/>
          <w:szCs w:val="24"/>
          <w:rtl/>
        </w:rPr>
        <w:t xml:space="preserve">קידום הצעדים שלגביהם הושגה הסכמה יביא לשינוי מהותי במידת התחרות במערכת הפיננסית, מבלי לסכן את היציבות ומבלי לפגוע בצרכנים. </w:t>
      </w:r>
      <w:r w:rsidR="000104D7" w:rsidRPr="000104D7">
        <w:rPr>
          <w:rFonts w:cs="David" w:hint="cs"/>
          <w:b/>
          <w:bCs/>
          <w:sz w:val="24"/>
          <w:szCs w:val="24"/>
          <w:rtl/>
        </w:rPr>
        <w:t xml:space="preserve">חשוב שרפורמות במערכת הפיננסית יעשו בהסכמה, שכן העדר הסכמה תסכל את היכולת ליישם את ההמלצות בפועל. </w:t>
      </w:r>
      <w:r w:rsidRPr="000104D7">
        <w:rPr>
          <w:rFonts w:cs="David" w:hint="cs"/>
          <w:b/>
          <w:bCs/>
          <w:sz w:val="24"/>
          <w:szCs w:val="24"/>
          <w:rtl/>
        </w:rPr>
        <w:t>עלינו ליישם צעדים אלו באחריות, ומתוך ראייה א</w:t>
      </w:r>
      <w:r w:rsidR="0020641A" w:rsidRPr="000104D7">
        <w:rPr>
          <w:rFonts w:cs="David" w:hint="cs"/>
          <w:b/>
          <w:bCs/>
          <w:sz w:val="24"/>
          <w:szCs w:val="24"/>
          <w:rtl/>
        </w:rPr>
        <w:t>רוכת טווח של טובת הצרכנים והמשק.</w:t>
      </w:r>
    </w:p>
    <w:sectPr w:rsidR="00403E78" w:rsidRPr="000104D7" w:rsidSect="002444D6">
      <w:footerReference w:type="default" r:id="rId12"/>
      <w:pgSz w:w="11906" w:h="16838"/>
      <w:pgMar w:top="1191" w:right="1559" w:bottom="794" w:left="1701" w:header="709"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BB1" w:rsidRDefault="009C5BB1" w:rsidP="00C04A6B">
      <w:r>
        <w:separator/>
      </w:r>
    </w:p>
  </w:endnote>
  <w:endnote w:type="continuationSeparator" w:id="0">
    <w:p w:rsidR="009C5BB1" w:rsidRDefault="009C5BB1"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lang w:val="he-IL"/>
      </w:rPr>
      <w:id w:val="-1817257504"/>
      <w:docPartObj>
        <w:docPartGallery w:val="Page Numbers (Bottom of Page)"/>
        <w:docPartUnique/>
      </w:docPartObj>
    </w:sdtPr>
    <w:sdtEndPr>
      <w:rPr>
        <w:cs/>
        <w:lang w:val="en-US"/>
      </w:rPr>
    </w:sdtEndPr>
    <w:sdtContent>
      <w:sdt>
        <w:sdtPr>
          <w:rPr>
            <w:rFonts w:cs="David"/>
            <w:sz w:val="18"/>
            <w:szCs w:val="18"/>
            <w:rtl/>
            <w:lang w:val="he-IL"/>
          </w:rPr>
          <w:id w:val="860082579"/>
          <w:docPartObj>
            <w:docPartGallery w:val="Page Numbers (Top of Page)"/>
            <w:docPartUnique/>
          </w:docPartObj>
        </w:sdtPr>
        <w:sdtEndPr>
          <w:rPr>
            <w:lang w:val="en-US"/>
          </w:rPr>
        </w:sdtEndPr>
        <w:sdtContent>
          <w:p w:rsidR="00A15F57" w:rsidRPr="009E54C5" w:rsidRDefault="00301815" w:rsidP="007B735D">
            <w:pPr>
              <w:bidi/>
              <w:spacing w:before="240" w:after="240" w:line="360" w:lineRule="auto"/>
              <w:ind w:left="360"/>
              <w:rPr>
                <w:rFonts w:cs="David"/>
                <w:sz w:val="18"/>
                <w:szCs w:val="18"/>
              </w:rPr>
            </w:pPr>
            <w:r w:rsidRPr="009E54C5">
              <w:rPr>
                <w:rFonts w:cs="David" w:hint="cs"/>
                <w:sz w:val="18"/>
                <w:szCs w:val="18"/>
                <w:rtl/>
                <w:lang w:val="he-IL"/>
              </w:rPr>
              <w:t xml:space="preserve">בנק ישראל - </w:t>
            </w:r>
            <w:r w:rsidR="007B735D" w:rsidRPr="009E54C5">
              <w:rPr>
                <w:rFonts w:cs="David" w:hint="cs"/>
                <w:sz w:val="18"/>
                <w:szCs w:val="18"/>
                <w:rtl/>
                <w:lang w:val="he-IL"/>
              </w:rPr>
              <w:t>דברי נגידת בנק ישראל בעת הגשת דוח ועדת שטרום לשר האוצר ולנגידה (14.12.2015)</w:t>
            </w:r>
            <w:r w:rsidRPr="009E54C5">
              <w:rPr>
                <w:rFonts w:cs="David"/>
                <w:sz w:val="18"/>
                <w:szCs w:val="18"/>
                <w:rtl/>
                <w:lang w:val="he-IL"/>
              </w:rPr>
              <w:tab/>
            </w:r>
            <w:r w:rsidRPr="009E54C5">
              <w:rPr>
                <w:rFonts w:cs="David"/>
                <w:sz w:val="18"/>
                <w:szCs w:val="18"/>
                <w:rtl/>
                <w:cs/>
                <w:lang w:val="he-IL"/>
              </w:rPr>
              <w:t xml:space="preserve">עמוד </w:t>
            </w:r>
            <w:r w:rsidRPr="009E54C5">
              <w:rPr>
                <w:rFonts w:cs="David"/>
                <w:b/>
                <w:bCs/>
                <w:sz w:val="18"/>
                <w:szCs w:val="18"/>
              </w:rPr>
              <w:fldChar w:fldCharType="begin"/>
            </w:r>
            <w:r w:rsidRPr="009E54C5">
              <w:rPr>
                <w:rFonts w:cs="David"/>
                <w:b/>
                <w:bCs/>
                <w:sz w:val="18"/>
                <w:szCs w:val="18"/>
                <w:rtl/>
                <w:cs/>
              </w:rPr>
              <w:instrText>PAGE</w:instrText>
            </w:r>
            <w:r w:rsidRPr="009E54C5">
              <w:rPr>
                <w:rFonts w:cs="David"/>
                <w:b/>
                <w:bCs/>
                <w:sz w:val="18"/>
                <w:szCs w:val="18"/>
              </w:rPr>
              <w:fldChar w:fldCharType="separate"/>
            </w:r>
            <w:r w:rsidR="009E54C5">
              <w:rPr>
                <w:rFonts w:cs="David"/>
                <w:b/>
                <w:bCs/>
                <w:noProof/>
                <w:sz w:val="18"/>
                <w:szCs w:val="18"/>
                <w:rtl/>
              </w:rPr>
              <w:t>1</w:t>
            </w:r>
            <w:r w:rsidRPr="009E54C5">
              <w:rPr>
                <w:rFonts w:cs="David"/>
                <w:b/>
                <w:bCs/>
                <w:sz w:val="18"/>
                <w:szCs w:val="18"/>
              </w:rPr>
              <w:fldChar w:fldCharType="end"/>
            </w:r>
            <w:r w:rsidRPr="009E54C5">
              <w:rPr>
                <w:rFonts w:cs="David"/>
                <w:sz w:val="18"/>
                <w:szCs w:val="18"/>
                <w:rtl/>
                <w:cs/>
                <w:lang w:val="he-IL"/>
              </w:rPr>
              <w:t xml:space="preserve"> מתוך </w:t>
            </w:r>
            <w:r w:rsidRPr="009E54C5">
              <w:rPr>
                <w:rFonts w:cs="David"/>
                <w:b/>
                <w:bCs/>
                <w:sz w:val="18"/>
                <w:szCs w:val="18"/>
              </w:rPr>
              <w:fldChar w:fldCharType="begin"/>
            </w:r>
            <w:r w:rsidRPr="009E54C5">
              <w:rPr>
                <w:rFonts w:cs="David"/>
                <w:b/>
                <w:bCs/>
                <w:sz w:val="18"/>
                <w:szCs w:val="18"/>
                <w:rtl/>
                <w:cs/>
              </w:rPr>
              <w:instrText>NUMPAGES</w:instrText>
            </w:r>
            <w:r w:rsidRPr="009E54C5">
              <w:rPr>
                <w:rFonts w:cs="David"/>
                <w:b/>
                <w:bCs/>
                <w:sz w:val="18"/>
                <w:szCs w:val="18"/>
              </w:rPr>
              <w:fldChar w:fldCharType="separate"/>
            </w:r>
            <w:r w:rsidR="009E54C5">
              <w:rPr>
                <w:rFonts w:cs="David"/>
                <w:b/>
                <w:bCs/>
                <w:noProof/>
                <w:sz w:val="18"/>
                <w:szCs w:val="18"/>
                <w:rtl/>
              </w:rPr>
              <w:t>2</w:t>
            </w:r>
            <w:r w:rsidRPr="009E54C5">
              <w:rPr>
                <w:rFonts w:cs="David"/>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BB1" w:rsidRDefault="009C5BB1" w:rsidP="00C04A6B">
      <w:r>
        <w:separator/>
      </w:r>
    </w:p>
  </w:footnote>
  <w:footnote w:type="continuationSeparator" w:id="0">
    <w:p w:rsidR="009C5BB1" w:rsidRDefault="009C5BB1" w:rsidP="00C0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4DC"/>
    <w:multiLevelType w:val="hybridMultilevel"/>
    <w:tmpl w:val="FEFCC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CDA41D3"/>
    <w:multiLevelType w:val="hybridMultilevel"/>
    <w:tmpl w:val="381258E0"/>
    <w:lvl w:ilvl="0" w:tplc="04A0DC9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7AE22F4"/>
    <w:multiLevelType w:val="hybridMultilevel"/>
    <w:tmpl w:val="4DF87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04D7"/>
    <w:rsid w:val="00016D86"/>
    <w:rsid w:val="000419E3"/>
    <w:rsid w:val="00064A79"/>
    <w:rsid w:val="00081BCE"/>
    <w:rsid w:val="000A3EB8"/>
    <w:rsid w:val="000B5C29"/>
    <w:rsid w:val="000E247F"/>
    <w:rsid w:val="000E5C08"/>
    <w:rsid w:val="00100FEE"/>
    <w:rsid w:val="00104256"/>
    <w:rsid w:val="00115A82"/>
    <w:rsid w:val="001518EF"/>
    <w:rsid w:val="001766D1"/>
    <w:rsid w:val="00177686"/>
    <w:rsid w:val="00180E8A"/>
    <w:rsid w:val="001A6A29"/>
    <w:rsid w:val="001B4567"/>
    <w:rsid w:val="001B5E0C"/>
    <w:rsid w:val="001C0337"/>
    <w:rsid w:val="001C421D"/>
    <w:rsid w:val="001D0950"/>
    <w:rsid w:val="001D7646"/>
    <w:rsid w:val="001E5A00"/>
    <w:rsid w:val="0020641A"/>
    <w:rsid w:val="00207231"/>
    <w:rsid w:val="00211DAF"/>
    <w:rsid w:val="00225A9F"/>
    <w:rsid w:val="00227C7C"/>
    <w:rsid w:val="002409CC"/>
    <w:rsid w:val="00242BDF"/>
    <w:rsid w:val="002438E2"/>
    <w:rsid w:val="002444D6"/>
    <w:rsid w:val="002630B7"/>
    <w:rsid w:val="00292581"/>
    <w:rsid w:val="00294C9F"/>
    <w:rsid w:val="002A6BF5"/>
    <w:rsid w:val="002B3FB0"/>
    <w:rsid w:val="002C05F8"/>
    <w:rsid w:val="002D510A"/>
    <w:rsid w:val="00301815"/>
    <w:rsid w:val="00311199"/>
    <w:rsid w:val="0031161D"/>
    <w:rsid w:val="00320C91"/>
    <w:rsid w:val="00334CFD"/>
    <w:rsid w:val="00351731"/>
    <w:rsid w:val="003520D8"/>
    <w:rsid w:val="003537B9"/>
    <w:rsid w:val="003565BE"/>
    <w:rsid w:val="003810D6"/>
    <w:rsid w:val="003901E0"/>
    <w:rsid w:val="003A2AF2"/>
    <w:rsid w:val="003A4EDC"/>
    <w:rsid w:val="003A5869"/>
    <w:rsid w:val="003B0F7C"/>
    <w:rsid w:val="003B5DE7"/>
    <w:rsid w:val="003C55FE"/>
    <w:rsid w:val="003D651A"/>
    <w:rsid w:val="00400BAF"/>
    <w:rsid w:val="00403E78"/>
    <w:rsid w:val="0041690A"/>
    <w:rsid w:val="00417FB6"/>
    <w:rsid w:val="00420F93"/>
    <w:rsid w:val="00421F80"/>
    <w:rsid w:val="00441E07"/>
    <w:rsid w:val="0044713E"/>
    <w:rsid w:val="004625EB"/>
    <w:rsid w:val="00475933"/>
    <w:rsid w:val="0047627F"/>
    <w:rsid w:val="0048530F"/>
    <w:rsid w:val="00487434"/>
    <w:rsid w:val="00491D46"/>
    <w:rsid w:val="004A5826"/>
    <w:rsid w:val="004B11CB"/>
    <w:rsid w:val="004B5D8D"/>
    <w:rsid w:val="004E23AC"/>
    <w:rsid w:val="004F06E0"/>
    <w:rsid w:val="004F69BF"/>
    <w:rsid w:val="00500487"/>
    <w:rsid w:val="00502068"/>
    <w:rsid w:val="00515549"/>
    <w:rsid w:val="00520BB4"/>
    <w:rsid w:val="005447F2"/>
    <w:rsid w:val="005546D3"/>
    <w:rsid w:val="005658E8"/>
    <w:rsid w:val="005D1482"/>
    <w:rsid w:val="005D6AF1"/>
    <w:rsid w:val="005E684E"/>
    <w:rsid w:val="00614095"/>
    <w:rsid w:val="0064287F"/>
    <w:rsid w:val="00651CB7"/>
    <w:rsid w:val="00661ADC"/>
    <w:rsid w:val="00677E6F"/>
    <w:rsid w:val="00680B85"/>
    <w:rsid w:val="006A5068"/>
    <w:rsid w:val="006C01FB"/>
    <w:rsid w:val="006C2627"/>
    <w:rsid w:val="006C2B75"/>
    <w:rsid w:val="00702DCE"/>
    <w:rsid w:val="00706E3E"/>
    <w:rsid w:val="0071399D"/>
    <w:rsid w:val="0075516F"/>
    <w:rsid w:val="00762D5A"/>
    <w:rsid w:val="00791D7B"/>
    <w:rsid w:val="007B735D"/>
    <w:rsid w:val="007E18EE"/>
    <w:rsid w:val="007E7688"/>
    <w:rsid w:val="007F013B"/>
    <w:rsid w:val="007F33F0"/>
    <w:rsid w:val="00804452"/>
    <w:rsid w:val="00826810"/>
    <w:rsid w:val="00832644"/>
    <w:rsid w:val="00837763"/>
    <w:rsid w:val="0084131A"/>
    <w:rsid w:val="00847D27"/>
    <w:rsid w:val="00852D44"/>
    <w:rsid w:val="0086330B"/>
    <w:rsid w:val="00872445"/>
    <w:rsid w:val="00881EF7"/>
    <w:rsid w:val="008928BC"/>
    <w:rsid w:val="008B1A7A"/>
    <w:rsid w:val="008B55E9"/>
    <w:rsid w:val="008B5665"/>
    <w:rsid w:val="008B7B35"/>
    <w:rsid w:val="008D1016"/>
    <w:rsid w:val="008E7595"/>
    <w:rsid w:val="00923E37"/>
    <w:rsid w:val="0094201C"/>
    <w:rsid w:val="00961EFC"/>
    <w:rsid w:val="00972F89"/>
    <w:rsid w:val="009818C2"/>
    <w:rsid w:val="009953C6"/>
    <w:rsid w:val="009B263F"/>
    <w:rsid w:val="009B71E4"/>
    <w:rsid w:val="009C16BD"/>
    <w:rsid w:val="009C3204"/>
    <w:rsid w:val="009C483A"/>
    <w:rsid w:val="009C5BB1"/>
    <w:rsid w:val="009E54C5"/>
    <w:rsid w:val="00A13688"/>
    <w:rsid w:val="00A15F57"/>
    <w:rsid w:val="00A57161"/>
    <w:rsid w:val="00A6707D"/>
    <w:rsid w:val="00AA283B"/>
    <w:rsid w:val="00AA51B0"/>
    <w:rsid w:val="00AA7ED7"/>
    <w:rsid w:val="00AB409F"/>
    <w:rsid w:val="00AB74CB"/>
    <w:rsid w:val="00AC2075"/>
    <w:rsid w:val="00AD759C"/>
    <w:rsid w:val="00AE591E"/>
    <w:rsid w:val="00B058F3"/>
    <w:rsid w:val="00B171C9"/>
    <w:rsid w:val="00B2503D"/>
    <w:rsid w:val="00B359F9"/>
    <w:rsid w:val="00B45A8A"/>
    <w:rsid w:val="00B5653F"/>
    <w:rsid w:val="00B62B80"/>
    <w:rsid w:val="00B705C0"/>
    <w:rsid w:val="00B77C1D"/>
    <w:rsid w:val="00B77F0C"/>
    <w:rsid w:val="00B84BD7"/>
    <w:rsid w:val="00B87699"/>
    <w:rsid w:val="00BC41DB"/>
    <w:rsid w:val="00BC5A6D"/>
    <w:rsid w:val="00BD1510"/>
    <w:rsid w:val="00BD5207"/>
    <w:rsid w:val="00BE235C"/>
    <w:rsid w:val="00BE49A2"/>
    <w:rsid w:val="00C04A6B"/>
    <w:rsid w:val="00C22C24"/>
    <w:rsid w:val="00C25BC9"/>
    <w:rsid w:val="00C25C1C"/>
    <w:rsid w:val="00C45C9C"/>
    <w:rsid w:val="00C62484"/>
    <w:rsid w:val="00C656C3"/>
    <w:rsid w:val="00C84B20"/>
    <w:rsid w:val="00CB080D"/>
    <w:rsid w:val="00CB1B2B"/>
    <w:rsid w:val="00CB5842"/>
    <w:rsid w:val="00D00AF3"/>
    <w:rsid w:val="00D15A8B"/>
    <w:rsid w:val="00D16E72"/>
    <w:rsid w:val="00D3721C"/>
    <w:rsid w:val="00D40CBA"/>
    <w:rsid w:val="00D81EC3"/>
    <w:rsid w:val="00D87DC1"/>
    <w:rsid w:val="00D969AD"/>
    <w:rsid w:val="00DA16B6"/>
    <w:rsid w:val="00DD5923"/>
    <w:rsid w:val="00DE121E"/>
    <w:rsid w:val="00E05BDC"/>
    <w:rsid w:val="00E361B9"/>
    <w:rsid w:val="00E43FFA"/>
    <w:rsid w:val="00E50082"/>
    <w:rsid w:val="00E72A42"/>
    <w:rsid w:val="00E85E11"/>
    <w:rsid w:val="00E93536"/>
    <w:rsid w:val="00EA052D"/>
    <w:rsid w:val="00ED153D"/>
    <w:rsid w:val="00ED5B1D"/>
    <w:rsid w:val="00EF3E0F"/>
    <w:rsid w:val="00EF5DC9"/>
    <w:rsid w:val="00F06CE8"/>
    <w:rsid w:val="00F13573"/>
    <w:rsid w:val="00F21AC9"/>
    <w:rsid w:val="00F27621"/>
    <w:rsid w:val="00F36470"/>
    <w:rsid w:val="00F47CFB"/>
    <w:rsid w:val="00F75061"/>
    <w:rsid w:val="00F96916"/>
    <w:rsid w:val="00FA0AA7"/>
    <w:rsid w:val="00FA2BB4"/>
    <w:rsid w:val="00FD4DC2"/>
    <w:rsid w:val="00FE0338"/>
    <w:rsid w:val="00FE034E"/>
    <w:rsid w:val="00FF321A"/>
    <w:rsid w:val="00FF641F"/>
    <w:rsid w:val="00FF6A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1">
    <w:name w:val="heading 1"/>
    <w:basedOn w:val="a"/>
    <w:next w:val="a"/>
    <w:link w:val="10"/>
    <w:uiPriority w:val="9"/>
    <w:qFormat/>
    <w:rsid w:val="009E54C5"/>
    <w:pPr>
      <w:bidi/>
      <w:spacing w:after="240" w:line="360" w:lineRule="auto"/>
      <w:ind w:left="360"/>
      <w:jc w:val="both"/>
      <w:outlineLvl w:val="0"/>
    </w:pPr>
    <w:rPr>
      <w:rFonts w:cs="David"/>
      <w:b/>
      <w:bCs/>
      <w:sz w:val="24"/>
      <w:szCs w:val="24"/>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character" w:customStyle="1" w:styleId="10">
    <w:name w:val="כותרת 1 תו"/>
    <w:basedOn w:val="a0"/>
    <w:link w:val="1"/>
    <w:uiPriority w:val="9"/>
    <w:rsid w:val="009E54C5"/>
    <w:rPr>
      <w:rFonts w:ascii="Times New Roman" w:eastAsia="Times New Roman" w:hAnsi="Times New Roman" w:cs="David"/>
      <w:b/>
      <w:bCs/>
      <w:sz w:val="24"/>
      <w:szCs w:val="24"/>
      <w:lang w:eastAsia="he-IL"/>
    </w:rPr>
  </w:style>
  <w:style w:type="paragraph" w:styleId="aa">
    <w:name w:val="annotation text"/>
    <w:basedOn w:val="a"/>
    <w:link w:val="ab"/>
    <w:uiPriority w:val="99"/>
    <w:semiHidden/>
    <w:unhideWhenUsed/>
    <w:rsid w:val="003C55FE"/>
    <w:pPr>
      <w:bidi/>
      <w:spacing w:after="200"/>
    </w:pPr>
    <w:rPr>
      <w:rFonts w:asciiTheme="minorHAnsi" w:eastAsiaTheme="minorHAnsi" w:hAnsiTheme="minorHAnsi" w:cstheme="minorBidi"/>
      <w:lang w:eastAsia="en-US"/>
    </w:rPr>
  </w:style>
  <w:style w:type="character" w:customStyle="1" w:styleId="ab">
    <w:name w:val="טקסט הערה תו"/>
    <w:basedOn w:val="a0"/>
    <w:link w:val="aa"/>
    <w:uiPriority w:val="99"/>
    <w:semiHidden/>
    <w:rsid w:val="003C55FE"/>
    <w:rPr>
      <w:sz w:val="20"/>
      <w:szCs w:val="20"/>
    </w:rPr>
  </w:style>
  <w:style w:type="paragraph" w:styleId="ac">
    <w:name w:val="List Paragraph"/>
    <w:basedOn w:val="a"/>
    <w:uiPriority w:val="34"/>
    <w:qFormat/>
    <w:rsid w:val="003C55FE"/>
    <w:pPr>
      <w:bidi/>
      <w:spacing w:after="200" w:line="276" w:lineRule="auto"/>
      <w:ind w:left="720"/>
      <w:contextualSpacing/>
    </w:pPr>
    <w:rPr>
      <w:rFonts w:asciiTheme="minorHAnsi" w:eastAsiaTheme="minorHAnsi" w:hAnsiTheme="minorHAnsi" w:cstheme="minorBidi"/>
      <w:sz w:val="22"/>
      <w:szCs w:val="22"/>
      <w:lang w:eastAsia="en-US"/>
    </w:rPr>
  </w:style>
  <w:style w:type="paragraph" w:styleId="ad">
    <w:name w:val="Title"/>
    <w:basedOn w:val="a"/>
    <w:next w:val="a"/>
    <w:link w:val="ae"/>
    <w:uiPriority w:val="10"/>
    <w:qFormat/>
    <w:rsid w:val="009E54C5"/>
    <w:pPr>
      <w:bidi/>
      <w:spacing w:before="240" w:after="240" w:line="360" w:lineRule="auto"/>
      <w:ind w:left="360"/>
      <w:jc w:val="center"/>
    </w:pPr>
    <w:rPr>
      <w:rFonts w:cs="David"/>
      <w:b/>
      <w:bCs/>
      <w:sz w:val="30"/>
      <w:szCs w:val="30"/>
    </w:rPr>
  </w:style>
  <w:style w:type="character" w:customStyle="1" w:styleId="ae">
    <w:name w:val="כותרת טקסט תו"/>
    <w:basedOn w:val="a0"/>
    <w:link w:val="ad"/>
    <w:uiPriority w:val="10"/>
    <w:rsid w:val="009E54C5"/>
    <w:rPr>
      <w:rFonts w:ascii="Times New Roman" w:eastAsia="Times New Roman" w:hAnsi="Times New Roman" w:cs="David"/>
      <w:b/>
      <w:bCs/>
      <w:sz w:val="30"/>
      <w:szCs w:val="3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1">
    <w:name w:val="heading 1"/>
    <w:basedOn w:val="a"/>
    <w:next w:val="a"/>
    <w:link w:val="10"/>
    <w:uiPriority w:val="9"/>
    <w:qFormat/>
    <w:rsid w:val="009E54C5"/>
    <w:pPr>
      <w:bidi/>
      <w:spacing w:after="240" w:line="360" w:lineRule="auto"/>
      <w:ind w:left="360"/>
      <w:jc w:val="both"/>
      <w:outlineLvl w:val="0"/>
    </w:pPr>
    <w:rPr>
      <w:rFonts w:cs="David"/>
      <w:b/>
      <w:bCs/>
      <w:sz w:val="24"/>
      <w:szCs w:val="24"/>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character" w:customStyle="1" w:styleId="10">
    <w:name w:val="כותרת 1 תו"/>
    <w:basedOn w:val="a0"/>
    <w:link w:val="1"/>
    <w:uiPriority w:val="9"/>
    <w:rsid w:val="009E54C5"/>
    <w:rPr>
      <w:rFonts w:ascii="Times New Roman" w:eastAsia="Times New Roman" w:hAnsi="Times New Roman" w:cs="David"/>
      <w:b/>
      <w:bCs/>
      <w:sz w:val="24"/>
      <w:szCs w:val="24"/>
      <w:lang w:eastAsia="he-IL"/>
    </w:rPr>
  </w:style>
  <w:style w:type="paragraph" w:styleId="aa">
    <w:name w:val="annotation text"/>
    <w:basedOn w:val="a"/>
    <w:link w:val="ab"/>
    <w:uiPriority w:val="99"/>
    <w:semiHidden/>
    <w:unhideWhenUsed/>
    <w:rsid w:val="003C55FE"/>
    <w:pPr>
      <w:bidi/>
      <w:spacing w:after="200"/>
    </w:pPr>
    <w:rPr>
      <w:rFonts w:asciiTheme="minorHAnsi" w:eastAsiaTheme="minorHAnsi" w:hAnsiTheme="minorHAnsi" w:cstheme="minorBidi"/>
      <w:lang w:eastAsia="en-US"/>
    </w:rPr>
  </w:style>
  <w:style w:type="character" w:customStyle="1" w:styleId="ab">
    <w:name w:val="טקסט הערה תו"/>
    <w:basedOn w:val="a0"/>
    <w:link w:val="aa"/>
    <w:uiPriority w:val="99"/>
    <w:semiHidden/>
    <w:rsid w:val="003C55FE"/>
    <w:rPr>
      <w:sz w:val="20"/>
      <w:szCs w:val="20"/>
    </w:rPr>
  </w:style>
  <w:style w:type="paragraph" w:styleId="ac">
    <w:name w:val="List Paragraph"/>
    <w:basedOn w:val="a"/>
    <w:uiPriority w:val="34"/>
    <w:qFormat/>
    <w:rsid w:val="003C55FE"/>
    <w:pPr>
      <w:bidi/>
      <w:spacing w:after="200" w:line="276" w:lineRule="auto"/>
      <w:ind w:left="720"/>
      <w:contextualSpacing/>
    </w:pPr>
    <w:rPr>
      <w:rFonts w:asciiTheme="minorHAnsi" w:eastAsiaTheme="minorHAnsi" w:hAnsiTheme="minorHAnsi" w:cstheme="minorBidi"/>
      <w:sz w:val="22"/>
      <w:szCs w:val="22"/>
      <w:lang w:eastAsia="en-US"/>
    </w:rPr>
  </w:style>
  <w:style w:type="paragraph" w:styleId="ad">
    <w:name w:val="Title"/>
    <w:basedOn w:val="a"/>
    <w:next w:val="a"/>
    <w:link w:val="ae"/>
    <w:uiPriority w:val="10"/>
    <w:qFormat/>
    <w:rsid w:val="009E54C5"/>
    <w:pPr>
      <w:bidi/>
      <w:spacing w:before="240" w:after="240" w:line="360" w:lineRule="auto"/>
      <w:ind w:left="360"/>
      <w:jc w:val="center"/>
    </w:pPr>
    <w:rPr>
      <w:rFonts w:cs="David"/>
      <w:b/>
      <w:bCs/>
      <w:sz w:val="30"/>
      <w:szCs w:val="30"/>
    </w:rPr>
  </w:style>
  <w:style w:type="character" w:customStyle="1" w:styleId="ae">
    <w:name w:val="כותרת טקסט תו"/>
    <w:basedOn w:val="a0"/>
    <w:link w:val="ad"/>
    <w:uiPriority w:val="10"/>
    <w:rsid w:val="009E54C5"/>
    <w:rPr>
      <w:rFonts w:ascii="Times New Roman" w:eastAsia="Times New Roman" w:hAnsi="Times New Roman" w:cs="David"/>
      <w:b/>
      <w:bCs/>
      <w:sz w:val="30"/>
      <w:szCs w:val="3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DEAFDF3-4665-4946-AAE5-4111B5CB2AEA}"/>
</file>

<file path=customXml/itemProps2.xml><?xml version="1.0" encoding="utf-8"?>
<ds:datastoreItem xmlns:ds="http://schemas.openxmlformats.org/officeDocument/2006/customXml" ds:itemID="{0A90CE76-4287-4E0B-98DC-367FEC787B79}"/>
</file>

<file path=customXml/itemProps3.xml><?xml version="1.0" encoding="utf-8"?>
<ds:datastoreItem xmlns:ds="http://schemas.openxmlformats.org/officeDocument/2006/customXml" ds:itemID="{85A8F4E4-6063-453E-BCE4-44C664D0E0E4}"/>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2510</Characters>
  <Application>Microsoft Office Word</Application>
  <DocSecurity>0</DocSecurity>
  <Lines>20</Lines>
  <Paragraphs>6</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2016-08-16T11:53:00Z</dcterms:created>
  <dcterms:modified xsi:type="dcterms:W3CDTF">2016-08-16T11:53:00Z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