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27442" w:rsidTr="0029736D">
        <w:tc>
          <w:tcPr>
            <w:tcW w:w="3343" w:type="dxa"/>
            <w:tcBorders>
              <w:top w:val="nil"/>
              <w:left w:val="nil"/>
              <w:bottom w:val="nil"/>
              <w:right w:val="nil"/>
            </w:tcBorders>
            <w:vAlign w:val="center"/>
          </w:tcPr>
          <w:p w:rsidR="009005BA" w:rsidRPr="009005BA" w:rsidRDefault="009005BA" w:rsidP="0029736D">
            <w:pPr>
              <w:rPr>
                <w:rFonts w:ascii="Assistant" w:hAnsi="Assistant" w:cs="Assistant"/>
                <w:b/>
                <w:bCs/>
                <w:sz w:val="24"/>
                <w:szCs w:val="24"/>
                <w:rtl/>
              </w:rPr>
            </w:pPr>
            <w:r w:rsidRPr="009005BA">
              <w:rPr>
                <w:rFonts w:ascii="Assistant" w:hAnsi="Assistant" w:cs="Assistant"/>
                <w:b/>
                <w:bCs/>
                <w:sz w:val="24"/>
                <w:szCs w:val="24"/>
                <w:rtl/>
              </w:rPr>
              <w:t>בנק ישראל</w:t>
            </w:r>
          </w:p>
          <w:p w:rsidR="009005BA" w:rsidRPr="00031A9D" w:rsidRDefault="009005BA" w:rsidP="0029736D">
            <w:pPr>
              <w:rPr>
                <w:rFonts w:ascii="Assistant" w:hAnsi="Assistant" w:cs="Assistant"/>
                <w:b/>
                <w:bCs/>
                <w:sz w:val="28"/>
                <w:szCs w:val="28"/>
              </w:rPr>
            </w:pPr>
            <w:r w:rsidRPr="00031A9D">
              <w:rPr>
                <w:rFonts w:ascii="Assistant" w:hAnsi="Assistant" w:cs="Assistant"/>
                <w:rtl/>
              </w:rPr>
              <w:t>דוברות והסברה כלכלית</w:t>
            </w:r>
          </w:p>
        </w:tc>
        <w:tc>
          <w:tcPr>
            <w:tcW w:w="2596" w:type="dxa"/>
            <w:tcBorders>
              <w:top w:val="nil"/>
              <w:left w:val="nil"/>
              <w:bottom w:val="nil"/>
              <w:right w:val="nil"/>
            </w:tcBorders>
            <w:shd w:val="clear" w:color="auto" w:fill="FFFFFF"/>
          </w:tcPr>
          <w:p w:rsidR="009005BA" w:rsidRPr="00027442" w:rsidRDefault="009005BA" w:rsidP="0029736D">
            <w:pPr>
              <w:jc w:val="center"/>
              <w:rPr>
                <w:rFonts w:ascii="Assistant" w:hAnsi="Assistant" w:cs="Assistant"/>
              </w:rPr>
            </w:pPr>
            <w:r>
              <w:rPr>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27442" w:rsidRDefault="009005BA" w:rsidP="009005BA">
            <w:pPr>
              <w:jc w:val="right"/>
              <w:rPr>
                <w:rFonts w:ascii="Assistant" w:hAnsi="Assistant" w:cs="Assistant"/>
                <w:rtl/>
              </w:rPr>
            </w:pPr>
            <w:r w:rsidRPr="00CA4983">
              <w:rPr>
                <w:rFonts w:ascii="Assistant" w:hAnsi="Assistant" w:cs="Assistant"/>
                <w:rtl/>
              </w:rPr>
              <w:t xml:space="preserve">‏ירושלים, </w:t>
            </w:r>
            <w:r w:rsidRPr="00CA4983">
              <w:rPr>
                <w:rFonts w:ascii="Assistant" w:hAnsi="Assistant" w:cs="Assistant"/>
                <w:rtl/>
              </w:rPr>
              <w:fldChar w:fldCharType="begin"/>
            </w:r>
            <w:r w:rsidRPr="00CA4983">
              <w:rPr>
                <w:rFonts w:ascii="Assistant" w:hAnsi="Assistant" w:cs="Assistant"/>
                <w:rtl/>
              </w:rPr>
              <w:instrText xml:space="preserve"> </w:instrText>
            </w:r>
            <w:r w:rsidRPr="00CA4983">
              <w:rPr>
                <w:rFonts w:ascii="Assistant" w:hAnsi="Assistant" w:cs="Assistant"/>
              </w:rPr>
              <w:instrText>DATE</w:instrText>
            </w:r>
            <w:r w:rsidRPr="00CA4983">
              <w:rPr>
                <w:rFonts w:ascii="Assistant" w:hAnsi="Assistant" w:cs="Assistant"/>
                <w:rtl/>
              </w:rPr>
              <w:instrText xml:space="preserve"> \@ "</w:instrText>
            </w:r>
            <w:r w:rsidRPr="00CA4983">
              <w:rPr>
                <w:rFonts w:ascii="Assistant" w:hAnsi="Assistant" w:cs="Assistant"/>
              </w:rPr>
              <w:instrText>d MMMM, yyyy" \h</w:instrText>
            </w:r>
            <w:r w:rsidRPr="00CA4983">
              <w:rPr>
                <w:rFonts w:ascii="Assistant" w:hAnsi="Assistant" w:cs="Assistant"/>
                <w:rtl/>
              </w:rPr>
              <w:instrText xml:space="preserve"> </w:instrText>
            </w:r>
            <w:r w:rsidRPr="00CA4983">
              <w:rPr>
                <w:rFonts w:ascii="Assistant" w:hAnsi="Assistant" w:cs="Assistant"/>
                <w:rtl/>
              </w:rPr>
              <w:fldChar w:fldCharType="separate"/>
            </w:r>
            <w:r w:rsidR="009007C6">
              <w:rPr>
                <w:rFonts w:ascii="Assistant" w:hAnsi="Assistant" w:cs="Assistant"/>
                <w:noProof/>
                <w:rtl/>
              </w:rPr>
              <w:t>‏כ"ז תמוז, תשפ"ה</w:t>
            </w:r>
            <w:r w:rsidRPr="00CA4983">
              <w:rPr>
                <w:rFonts w:ascii="Assistant" w:hAnsi="Assistant" w:cs="Assistant"/>
                <w:rtl/>
              </w:rPr>
              <w:fldChar w:fldCharType="end"/>
            </w:r>
          </w:p>
          <w:p w:rsidR="009005BA" w:rsidRPr="00027442" w:rsidRDefault="009005BA" w:rsidP="009005BA">
            <w:pPr>
              <w:jc w:val="right"/>
              <w:rPr>
                <w:rFonts w:ascii="Assistant" w:hAnsi="Assistant" w:cs="Assistant"/>
                <w:highlight w:val="green"/>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sidR="009007C6">
              <w:rPr>
                <w:rFonts w:ascii="Assistant" w:hAnsi="Assistant" w:cs="Assistant"/>
                <w:noProof/>
                <w:rtl/>
              </w:rPr>
              <w:t>‏23 יולי, 2025</w:t>
            </w:r>
            <w:r w:rsidRPr="00027442">
              <w:rPr>
                <w:rFonts w:ascii="Assistant" w:hAnsi="Assistant" w:cs="Assistant"/>
                <w:rtl/>
              </w:rPr>
              <w:fldChar w:fldCharType="end"/>
            </w:r>
          </w:p>
        </w:tc>
      </w:tr>
    </w:tbl>
    <w:p w:rsidR="009005BA" w:rsidRDefault="009005BA" w:rsidP="007B0741">
      <w:pPr>
        <w:tabs>
          <w:tab w:val="left" w:pos="2315"/>
        </w:tabs>
        <w:rPr>
          <w:rFonts w:ascii="Calibri" w:hAnsi="Calibri" w:cs="Calibri"/>
          <w:sz w:val="24"/>
          <w:szCs w:val="24"/>
          <w:rtl/>
        </w:rPr>
      </w:pPr>
    </w:p>
    <w:p w:rsidR="00CB7BBB" w:rsidRDefault="008E761A" w:rsidP="00A116A2">
      <w:pPr>
        <w:tabs>
          <w:tab w:val="left" w:pos="2315"/>
        </w:tabs>
        <w:rPr>
          <w:rFonts w:ascii="Calibri" w:hAnsi="Calibri" w:cs="Calibri"/>
          <w:b/>
          <w:bCs/>
          <w:sz w:val="28"/>
          <w:szCs w:val="28"/>
          <w:rtl/>
        </w:rPr>
      </w:pPr>
      <w:r w:rsidRPr="009005BA">
        <w:rPr>
          <w:rFonts w:ascii="Calibri" w:hAnsi="Calibri" w:cs="Calibri"/>
          <w:sz w:val="24"/>
          <w:szCs w:val="24"/>
          <w:rtl/>
        </w:rPr>
        <w:t>הודעה לעיתונות:</w:t>
      </w:r>
      <w:r w:rsidR="00A116A2">
        <w:rPr>
          <w:rFonts w:ascii="Calibri" w:hAnsi="Calibri" w:cs="Calibri" w:hint="cs"/>
          <w:b/>
          <w:bCs/>
          <w:sz w:val="28"/>
          <w:szCs w:val="28"/>
          <w:rtl/>
        </w:rPr>
        <w:t xml:space="preserve"> </w:t>
      </w:r>
    </w:p>
    <w:p w:rsidR="009005BA" w:rsidRDefault="00542E3A" w:rsidP="009007C6">
      <w:pPr>
        <w:spacing w:line="360" w:lineRule="auto"/>
        <w:jc w:val="right"/>
        <w:rPr>
          <w:rFonts w:ascii="Calibri" w:hAnsi="Calibri" w:cs="Calibri"/>
          <w:b/>
          <w:bCs/>
          <w:color w:val="000000"/>
          <w:sz w:val="24"/>
          <w:szCs w:val="24"/>
          <w:shd w:val="clear" w:color="auto" w:fill="FFFFFF"/>
          <w:rtl/>
        </w:rPr>
      </w:pPr>
      <w:r w:rsidRPr="00542E3A">
        <w:rPr>
          <w:rFonts w:ascii="Calibri" w:eastAsia="Calibri" w:hAnsi="Calibri" w:cs="Calibri"/>
          <w:b/>
          <w:bCs/>
          <w:sz w:val="28"/>
          <w:szCs w:val="28"/>
          <w:rtl/>
        </w:rPr>
        <w:t>הדי</w:t>
      </w:r>
      <w:bookmarkStart w:id="0" w:name="_GoBack"/>
      <w:bookmarkEnd w:id="0"/>
      <w:r w:rsidRPr="00542E3A">
        <w:rPr>
          <w:rFonts w:ascii="Calibri" w:eastAsia="Calibri" w:hAnsi="Calibri" w:cs="Calibri"/>
          <w:b/>
          <w:bCs/>
          <w:sz w:val="28"/>
          <w:szCs w:val="28"/>
          <w:rtl/>
        </w:rPr>
        <w:t>ווח התקופתי אודות מחירי השירותים הבנקאיים הנפוצים למשקי הבית, לשנת</w:t>
      </w:r>
      <w:r>
        <w:rPr>
          <w:rFonts w:ascii="Calibri" w:eastAsia="Calibri" w:hAnsi="Calibri" w:cs="Calibri" w:hint="cs"/>
          <w:b/>
          <w:bCs/>
          <w:sz w:val="28"/>
          <w:szCs w:val="28"/>
          <w:rtl/>
        </w:rPr>
        <w:t xml:space="preserve"> 2024</w:t>
      </w:r>
    </w:p>
    <w:p w:rsidR="00542E3A" w:rsidRPr="00542E3A" w:rsidRDefault="00542E3A" w:rsidP="005D1DE2">
      <w:p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t xml:space="preserve">הפיקוח על הבנקים מגיש היום לוועדת הכלכלה של הכנסת את הדיווח התקופתי לשנת 2024, אודות מחירי השירותים הבנקאיים הנפוצים למשקי הבית. הדוח מבוסס על דיווחי התאגידים הבנקאיים וחברות כרטיסי האשראי על עמלות שנגבו במהלך </w:t>
      </w:r>
      <w:r w:rsidR="005D1DE2">
        <w:rPr>
          <w:rFonts w:ascii="Calibri" w:hAnsi="Calibri" w:cs="Calibri" w:hint="cs"/>
          <w:color w:val="000000"/>
          <w:sz w:val="24"/>
          <w:szCs w:val="24"/>
          <w:shd w:val="clear" w:color="auto" w:fill="FFFFFF"/>
          <w:rtl/>
        </w:rPr>
        <w:t>שנת</w:t>
      </w:r>
      <w:r w:rsidRPr="00542E3A">
        <w:rPr>
          <w:rFonts w:ascii="Calibri" w:hAnsi="Calibri" w:cs="Calibri"/>
          <w:color w:val="000000"/>
          <w:sz w:val="24"/>
          <w:szCs w:val="24"/>
          <w:shd w:val="clear" w:color="auto" w:fill="FFFFFF"/>
          <w:rtl/>
        </w:rPr>
        <w:t xml:space="preserve"> 2024. תקופה זו.</w:t>
      </w:r>
    </w:p>
    <w:p w:rsidR="005D1DE2" w:rsidRPr="005D1DE2" w:rsidRDefault="00DC6480" w:rsidP="00DB1AEE">
      <w:pPr>
        <w:spacing w:line="360" w:lineRule="auto"/>
        <w:jc w:val="both"/>
        <w:rPr>
          <w:rFonts w:ascii="Calibri" w:hAnsi="Calibri" w:cs="Calibri"/>
          <w:color w:val="000000"/>
          <w:sz w:val="24"/>
          <w:szCs w:val="24"/>
          <w:shd w:val="clear" w:color="auto" w:fill="FFFFFF"/>
          <w:rtl/>
        </w:rPr>
      </w:pPr>
      <w:r w:rsidRPr="009005BA">
        <w:rPr>
          <w:rFonts w:ascii="Calibri" w:hAnsi="Calibri" w:cs="Calibri"/>
          <w:b/>
          <w:bCs/>
          <w:color w:val="000000"/>
          <w:sz w:val="24"/>
          <w:szCs w:val="24"/>
          <w:shd w:val="clear" w:color="auto" w:fill="FFFFFF"/>
          <w:rtl/>
        </w:rPr>
        <w:t xml:space="preserve">המפקח על הבנקים, מר דניאל חחיאשוילי: </w:t>
      </w:r>
      <w:r w:rsidRPr="009005BA">
        <w:rPr>
          <w:rFonts w:ascii="Calibri" w:hAnsi="Calibri" w:cs="Calibri"/>
          <w:color w:val="000000"/>
          <w:sz w:val="24"/>
          <w:szCs w:val="24"/>
          <w:shd w:val="clear" w:color="auto" w:fill="FFFFFF"/>
          <w:rtl/>
        </w:rPr>
        <w:t>"</w:t>
      </w:r>
      <w:r w:rsidR="00E2634A">
        <w:rPr>
          <w:rFonts w:ascii="Calibri" w:hAnsi="Calibri" w:cs="Calibri" w:hint="cs"/>
          <w:color w:val="000000"/>
          <w:sz w:val="24"/>
          <w:szCs w:val="24"/>
          <w:shd w:val="clear" w:color="auto" w:fill="FFFFFF"/>
          <w:rtl/>
        </w:rPr>
        <w:t xml:space="preserve">בשנים האחרונות הפיקוח על הבנקים פעל להגברת הבהירות והשקיפות במחירי השירותים הבנקאיים. בשנה זו, </w:t>
      </w:r>
      <w:r w:rsidR="005D1DE2" w:rsidRPr="005D1DE2">
        <w:rPr>
          <w:rFonts w:ascii="Calibri" w:hAnsi="Calibri" w:cs="Calibri"/>
          <w:color w:val="000000"/>
          <w:sz w:val="24"/>
          <w:szCs w:val="24"/>
          <w:shd w:val="clear" w:color="auto" w:fill="FFFFFF"/>
          <w:rtl/>
        </w:rPr>
        <w:t>הדוח משקף את השפעות מלחמת "חרבות ברזל</w:t>
      </w:r>
      <w:r w:rsidR="00214AEE" w:rsidRPr="005D1DE2">
        <w:rPr>
          <w:rFonts w:ascii="Calibri" w:hAnsi="Calibri" w:cs="Calibri"/>
          <w:color w:val="000000"/>
          <w:sz w:val="24"/>
          <w:szCs w:val="24"/>
          <w:shd w:val="clear" w:color="auto" w:fill="FFFFFF"/>
          <w:rtl/>
        </w:rPr>
        <w:t>"</w:t>
      </w:r>
      <w:r w:rsidR="00214AEE">
        <w:rPr>
          <w:rFonts w:ascii="Calibri" w:hAnsi="Calibri" w:cs="Calibri" w:hint="cs"/>
          <w:color w:val="000000"/>
          <w:sz w:val="24"/>
          <w:szCs w:val="24"/>
          <w:shd w:val="clear" w:color="auto" w:fill="FFFFFF"/>
          <w:rtl/>
        </w:rPr>
        <w:t>.</w:t>
      </w:r>
      <w:r w:rsidR="00E2634A">
        <w:rPr>
          <w:rFonts w:ascii="Calibri" w:hAnsi="Calibri" w:cs="Calibri" w:hint="cs"/>
          <w:color w:val="000000"/>
          <w:sz w:val="24"/>
          <w:szCs w:val="24"/>
          <w:shd w:val="clear" w:color="auto" w:fill="FFFFFF"/>
          <w:rtl/>
        </w:rPr>
        <w:t xml:space="preserve"> </w:t>
      </w:r>
      <w:r w:rsidR="005D1DE2" w:rsidRPr="005D1DE2">
        <w:rPr>
          <w:rFonts w:ascii="Calibri" w:hAnsi="Calibri" w:cs="Calibri"/>
          <w:color w:val="000000"/>
          <w:sz w:val="24"/>
          <w:szCs w:val="24"/>
          <w:shd w:val="clear" w:color="auto" w:fill="FFFFFF"/>
          <w:rtl/>
        </w:rPr>
        <w:t xml:space="preserve">מתווה בנק ישראל לסיוע ללקוחות המערכת הבנקאית </w:t>
      </w:r>
      <w:r w:rsidR="00214AEE" w:rsidRPr="00214AEE">
        <w:rPr>
          <w:rFonts w:ascii="Calibri" w:hAnsi="Calibri" w:cs="Calibri"/>
          <w:color w:val="000000"/>
          <w:sz w:val="24"/>
          <w:szCs w:val="24"/>
          <w:shd w:val="clear" w:color="auto" w:fill="FFFFFF"/>
          <w:rtl/>
        </w:rPr>
        <w:t>בהתמודדות עם השלכות המלחמה</w:t>
      </w:r>
      <w:r w:rsidR="005D1DE2" w:rsidRPr="005D1DE2">
        <w:rPr>
          <w:rFonts w:ascii="Calibri" w:hAnsi="Calibri" w:cs="Calibri"/>
          <w:color w:val="000000"/>
          <w:sz w:val="24"/>
          <w:szCs w:val="24"/>
          <w:shd w:val="clear" w:color="auto" w:fill="FFFFFF"/>
          <w:rtl/>
        </w:rPr>
        <w:t>, שגובש כשבוע לאחר שפרצה והוארך עד למרץ 2025</w:t>
      </w:r>
      <w:r w:rsidR="00DB1AEE">
        <w:rPr>
          <w:rStyle w:val="af2"/>
          <w:rFonts w:ascii="Calibri" w:hAnsi="Calibri" w:cs="Calibri"/>
          <w:color w:val="000000"/>
          <w:sz w:val="24"/>
          <w:szCs w:val="24"/>
          <w:shd w:val="clear" w:color="auto" w:fill="FFFFFF"/>
          <w:rtl/>
        </w:rPr>
        <w:footnoteReference w:id="1"/>
      </w:r>
      <w:r w:rsidR="00E2634A">
        <w:rPr>
          <w:rFonts w:ascii="Calibri" w:hAnsi="Calibri" w:cs="Calibri" w:hint="cs"/>
          <w:color w:val="000000"/>
          <w:sz w:val="24"/>
          <w:szCs w:val="24"/>
          <w:shd w:val="clear" w:color="auto" w:fill="FFFFFF"/>
          <w:rtl/>
        </w:rPr>
        <w:t>, הביא לירידה מסוימת בעלות של ניהול חשבון עו"ש</w:t>
      </w:r>
      <w:r w:rsidR="005D1DE2" w:rsidRPr="005D1DE2">
        <w:rPr>
          <w:rFonts w:ascii="Calibri" w:hAnsi="Calibri" w:cs="Calibri"/>
          <w:color w:val="000000"/>
          <w:sz w:val="24"/>
          <w:szCs w:val="24"/>
          <w:shd w:val="clear" w:color="auto" w:fill="FFFFFF"/>
          <w:rtl/>
        </w:rPr>
        <w:t xml:space="preserve">. המתווה כלל מגוון צעדי סיוע לציבור, וביניהם גם צעדים בתחום העמלות. </w:t>
      </w:r>
      <w:r w:rsidR="00214AEE">
        <w:rPr>
          <w:rFonts w:ascii="Calibri" w:hAnsi="Calibri" w:cs="Calibri" w:hint="cs"/>
          <w:color w:val="000000"/>
          <w:sz w:val="24"/>
          <w:szCs w:val="24"/>
          <w:shd w:val="clear" w:color="auto" w:fill="FFFFFF"/>
          <w:rtl/>
        </w:rPr>
        <w:t>בנוסף</w:t>
      </w:r>
      <w:r w:rsidR="005D1DE2" w:rsidRPr="005D1DE2">
        <w:rPr>
          <w:rFonts w:ascii="Calibri" w:hAnsi="Calibri" w:cs="Calibri"/>
          <w:color w:val="000000"/>
          <w:sz w:val="24"/>
          <w:szCs w:val="24"/>
          <w:shd w:val="clear" w:color="auto" w:fill="FFFFFF"/>
          <w:rtl/>
        </w:rPr>
        <w:t xml:space="preserve"> החל מ</w:t>
      </w:r>
      <w:r w:rsidR="00214AEE">
        <w:rPr>
          <w:rFonts w:ascii="Calibri" w:hAnsi="Calibri" w:cs="Calibri" w:hint="cs"/>
          <w:color w:val="000000"/>
          <w:sz w:val="24"/>
          <w:szCs w:val="24"/>
          <w:shd w:val="clear" w:color="auto" w:fill="FFFFFF"/>
          <w:rtl/>
        </w:rPr>
        <w:t xml:space="preserve">חודש </w:t>
      </w:r>
      <w:r w:rsidR="005D1DE2" w:rsidRPr="005D1DE2">
        <w:rPr>
          <w:rFonts w:ascii="Calibri" w:hAnsi="Calibri" w:cs="Calibri"/>
          <w:color w:val="000000"/>
          <w:sz w:val="24"/>
          <w:szCs w:val="24"/>
          <w:shd w:val="clear" w:color="auto" w:fill="FFFFFF"/>
          <w:rtl/>
        </w:rPr>
        <w:t>אפריל 2025 חל מתווה הקלות כספיות בסך 3 מיליארד ש"ח ללקוחות המערכת הבנקאית. כמו כן, עם פריצת מבצע "עם כלביא", גובש מתווה  סיוע נוסף, שאומץ על ידי הבנקים במטרה לתמוך בלקוחות המתמודדים עם השלכות המבצע. השפעות מתווים אלו יבואו לידי ביטוי בדוח הבא.</w:t>
      </w:r>
    </w:p>
    <w:p w:rsidR="00EE34E1" w:rsidRPr="00EE34E1" w:rsidRDefault="00CC18ED" w:rsidP="00DB1AEE">
      <w:pPr>
        <w:spacing w:line="360" w:lineRule="auto"/>
        <w:jc w:val="both"/>
        <w:rPr>
          <w:rFonts w:ascii="Calibri" w:hAnsi="Calibri" w:cs="Calibri"/>
          <w:color w:val="000000"/>
          <w:sz w:val="24"/>
          <w:szCs w:val="24"/>
          <w:shd w:val="clear" w:color="auto" w:fill="FFFFFF"/>
          <w:rtl/>
        </w:rPr>
      </w:pPr>
      <w:r>
        <w:rPr>
          <w:rFonts w:ascii="Calibri" w:hAnsi="Calibri" w:cs="Calibri" w:hint="cs"/>
          <w:color w:val="000000"/>
          <w:sz w:val="24"/>
          <w:szCs w:val="24"/>
          <w:shd w:val="clear" w:color="auto" w:fill="FFFFFF"/>
          <w:rtl/>
        </w:rPr>
        <w:t>בנוסף, בימים אלו</w:t>
      </w:r>
      <w:r w:rsidR="00EE34E1" w:rsidRPr="00CC18ED">
        <w:rPr>
          <w:rFonts w:ascii="Calibri" w:hAnsi="Calibri" w:cs="Calibri" w:hint="cs"/>
          <w:color w:val="000000"/>
          <w:sz w:val="24"/>
          <w:szCs w:val="24"/>
          <w:shd w:val="clear" w:color="auto" w:fill="FFFFFF"/>
          <w:rtl/>
        </w:rPr>
        <w:t xml:space="preserve"> פרסמנו להתייעצות עם הציבור טיוטת רפורמה בתחום העמלות הנגבות ממשקי בית ועסקים קטנים על שירותי ניהול חשבון (לרבות חשבון עו"ש) וכרטיס חיוב מיידי</w:t>
      </w:r>
      <w:r w:rsidR="00EE34E1" w:rsidRPr="00CC18ED">
        <w:rPr>
          <w:rFonts w:ascii="Calibri" w:hAnsi="Calibri" w:cs="Calibri"/>
          <w:color w:val="000000"/>
          <w:sz w:val="24"/>
          <w:szCs w:val="24"/>
          <w:shd w:val="clear" w:color="auto" w:fill="FFFFFF"/>
          <w:vertAlign w:val="superscript"/>
          <w:rtl/>
        </w:rPr>
        <w:footnoteReference w:id="2"/>
      </w:r>
      <w:r w:rsidR="00EE34E1" w:rsidRPr="00CC18ED">
        <w:rPr>
          <w:rFonts w:ascii="Calibri" w:hAnsi="Calibri" w:cs="Calibri" w:hint="cs"/>
          <w:color w:val="000000"/>
          <w:sz w:val="24"/>
          <w:szCs w:val="24"/>
          <w:shd w:val="clear" w:color="auto" w:fill="FFFFFF"/>
          <w:rtl/>
        </w:rPr>
        <w:t xml:space="preserve">. </w:t>
      </w:r>
      <w:r w:rsidR="00EE34E1" w:rsidRPr="00CC18ED">
        <w:rPr>
          <w:rFonts w:ascii="Calibri" w:hAnsi="Calibri" w:cs="Calibri"/>
          <w:color w:val="000000"/>
          <w:sz w:val="24"/>
          <w:szCs w:val="24"/>
          <w:shd w:val="clear" w:color="auto" w:fill="FFFFFF"/>
          <w:rtl/>
        </w:rPr>
        <w:t>מטר</w:t>
      </w:r>
      <w:r w:rsidR="00EE34E1" w:rsidRPr="00CC18ED">
        <w:rPr>
          <w:rFonts w:ascii="Calibri" w:hAnsi="Calibri" w:cs="Calibri" w:hint="cs"/>
          <w:color w:val="000000"/>
          <w:sz w:val="24"/>
          <w:szCs w:val="24"/>
          <w:shd w:val="clear" w:color="auto" w:fill="FFFFFF"/>
          <w:rtl/>
        </w:rPr>
        <w:t xml:space="preserve">ת </w:t>
      </w:r>
      <w:r w:rsidR="00EE34E1" w:rsidRPr="00CC18ED">
        <w:rPr>
          <w:rFonts w:ascii="Calibri" w:hAnsi="Calibri" w:cs="Calibri"/>
          <w:color w:val="000000"/>
          <w:sz w:val="24"/>
          <w:szCs w:val="24"/>
          <w:shd w:val="clear" w:color="auto" w:fill="FFFFFF"/>
          <w:rtl/>
        </w:rPr>
        <w:t>ה</w:t>
      </w:r>
      <w:r w:rsidR="00EE34E1" w:rsidRPr="00CC18ED">
        <w:rPr>
          <w:rFonts w:ascii="Calibri" w:hAnsi="Calibri" w:cs="Calibri" w:hint="cs"/>
          <w:color w:val="000000"/>
          <w:sz w:val="24"/>
          <w:szCs w:val="24"/>
          <w:shd w:val="clear" w:color="auto" w:fill="FFFFFF"/>
          <w:rtl/>
        </w:rPr>
        <w:t>רפורמה היא</w:t>
      </w:r>
      <w:r w:rsidR="00EE34E1" w:rsidRPr="00CC18ED">
        <w:rPr>
          <w:rFonts w:ascii="Calibri" w:hAnsi="Calibri" w:cs="Calibri"/>
          <w:color w:val="000000"/>
          <w:sz w:val="24"/>
          <w:szCs w:val="24"/>
          <w:shd w:val="clear" w:color="auto" w:fill="FFFFFF"/>
          <w:rtl/>
        </w:rPr>
        <w:t xml:space="preserve"> להקל על לקוחות המערכת הבנקאית, בהבנת השירותים הבנקאיים הבסיסיים ולפשט את מנגנון החיוב הקיים עבור פעולות עו"ש שוטפות, מקדם הפיקוח על הבנקים עדכון לשיטת החיוב בגין ביצוע פעולות תשלום שוטפות וקובע שירות חדש של "ניהול חשבון תשלום" במחיר</w:t>
      </w:r>
      <w:r w:rsidR="00FE1C1F">
        <w:rPr>
          <w:rFonts w:ascii="Calibri" w:hAnsi="Calibri" w:cs="Calibri" w:hint="cs"/>
          <w:color w:val="000000"/>
          <w:sz w:val="24"/>
          <w:szCs w:val="24"/>
          <w:shd w:val="clear" w:color="auto" w:fill="FFFFFF"/>
          <w:rtl/>
        </w:rPr>
        <w:t xml:space="preserve"> קבוע</w:t>
      </w:r>
      <w:r w:rsidR="00EE34E1" w:rsidRPr="00CC18ED">
        <w:rPr>
          <w:rFonts w:ascii="Calibri" w:hAnsi="Calibri" w:cs="Calibri" w:hint="cs"/>
          <w:color w:val="000000"/>
          <w:sz w:val="24"/>
          <w:szCs w:val="24"/>
          <w:shd w:val="clear" w:color="auto" w:fill="FFFFFF"/>
          <w:rtl/>
        </w:rPr>
        <w:t>.</w:t>
      </w:r>
      <w:r w:rsidR="00EE34E1" w:rsidRPr="00CC18ED">
        <w:rPr>
          <w:rFonts w:ascii="Calibri" w:hAnsi="Calibri" w:cs="Calibri"/>
          <w:color w:val="000000"/>
          <w:sz w:val="24"/>
          <w:szCs w:val="24"/>
          <w:shd w:val="clear" w:color="auto" w:fill="FFFFFF"/>
          <w:rtl/>
        </w:rPr>
        <w:t xml:space="preserve"> מחיר זה צפוי להביא להוזלת עלויות אשר תהיה משמעותית יותר ככל שהלקוח מבצע יותר פעולות בחשבונו. כמו כן, מקדם הפיקוח קביעת מחיר מקסימלי שניתן לגבות בגין עמלת דמי כרטיס חיוב מיידי (דביט).</w:t>
      </w:r>
      <w:r w:rsidR="00491926" w:rsidRPr="00CC18ED">
        <w:rPr>
          <w:rFonts w:ascii="Calibri" w:hAnsi="Calibri" w:cs="Calibri" w:hint="cs"/>
          <w:color w:val="000000"/>
          <w:sz w:val="24"/>
          <w:szCs w:val="24"/>
          <w:shd w:val="clear" w:color="auto" w:fill="FFFFFF"/>
          <w:rtl/>
        </w:rPr>
        <w:t>"</w:t>
      </w:r>
    </w:p>
    <w:p w:rsidR="00243AED" w:rsidRDefault="00243AED">
      <w:pPr>
        <w:bidi w:val="0"/>
        <w:rPr>
          <w:rFonts w:ascii="Calibri" w:hAnsi="Calibri" w:cs="Calibri"/>
          <w:color w:val="000000"/>
          <w:sz w:val="24"/>
          <w:szCs w:val="24"/>
          <w:shd w:val="clear" w:color="auto" w:fill="FFFFFF"/>
          <w:rtl/>
        </w:rPr>
      </w:pPr>
      <w:r>
        <w:rPr>
          <w:rFonts w:ascii="Calibri" w:hAnsi="Calibri" w:cs="Calibri"/>
          <w:color w:val="000000"/>
          <w:sz w:val="24"/>
          <w:szCs w:val="24"/>
          <w:shd w:val="clear" w:color="auto" w:fill="FFFFFF"/>
          <w:rtl/>
        </w:rPr>
        <w:br w:type="page"/>
      </w:r>
    </w:p>
    <w:p w:rsidR="00542E3A" w:rsidRPr="00542E3A" w:rsidRDefault="00542E3A" w:rsidP="00542E3A">
      <w:p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lastRenderedPageBreak/>
        <w:t>להלן עיקרי הדוח:</w:t>
      </w:r>
    </w:p>
    <w:p w:rsidR="00542E3A" w:rsidRPr="00542E3A" w:rsidRDefault="00542E3A" w:rsidP="00542E3A">
      <w:pPr>
        <w:numPr>
          <w:ilvl w:val="0"/>
          <w:numId w:val="17"/>
        </w:numPr>
        <w:spacing w:line="360" w:lineRule="auto"/>
        <w:jc w:val="both"/>
        <w:rPr>
          <w:rFonts w:ascii="Calibri" w:hAnsi="Calibri" w:cs="Calibri"/>
          <w:color w:val="000000"/>
          <w:sz w:val="24"/>
          <w:szCs w:val="24"/>
          <w:shd w:val="clear" w:color="auto" w:fill="FFFFFF"/>
        </w:rPr>
      </w:pPr>
      <w:r w:rsidRPr="00542E3A">
        <w:rPr>
          <w:rFonts w:ascii="Calibri" w:hAnsi="Calibri" w:cs="Calibri" w:hint="cs"/>
          <w:color w:val="000000"/>
          <w:sz w:val="24"/>
          <w:szCs w:val="24"/>
          <w:shd w:val="clear" w:color="auto" w:fill="FFFFFF"/>
          <w:rtl/>
        </w:rPr>
        <w:t>בשנת 2024 חלה ירידה קלה</w:t>
      </w:r>
      <w:r w:rsidRPr="00542E3A">
        <w:rPr>
          <w:rFonts w:ascii="Calibri" w:hAnsi="Calibri" w:cs="Calibri"/>
          <w:color w:val="000000"/>
          <w:sz w:val="24"/>
          <w:szCs w:val="24"/>
          <w:shd w:val="clear" w:color="auto" w:fill="FFFFFF"/>
          <w:rtl/>
        </w:rPr>
        <w:t xml:space="preserve"> ביחס </w:t>
      </w:r>
      <w:r w:rsidRPr="00542E3A">
        <w:rPr>
          <w:rFonts w:ascii="Calibri" w:hAnsi="Calibri" w:cs="Calibri" w:hint="cs"/>
          <w:color w:val="000000"/>
          <w:sz w:val="24"/>
          <w:szCs w:val="24"/>
          <w:shd w:val="clear" w:color="auto" w:fill="FFFFFF"/>
          <w:rtl/>
        </w:rPr>
        <w:t xml:space="preserve">הכולל בין </w:t>
      </w:r>
      <w:r w:rsidRPr="00542E3A">
        <w:rPr>
          <w:rFonts w:ascii="Calibri" w:hAnsi="Calibri" w:cs="Calibri"/>
          <w:color w:val="000000"/>
          <w:sz w:val="24"/>
          <w:szCs w:val="24"/>
          <w:shd w:val="clear" w:color="auto" w:fill="FFFFFF"/>
          <w:rtl/>
        </w:rPr>
        <w:t>סך ההכנסות מעמלות ל</w:t>
      </w:r>
      <w:r w:rsidRPr="00542E3A">
        <w:rPr>
          <w:rFonts w:ascii="Calibri" w:hAnsi="Calibri" w:cs="Calibri" w:hint="cs"/>
          <w:color w:val="000000"/>
          <w:sz w:val="24"/>
          <w:szCs w:val="24"/>
          <w:shd w:val="clear" w:color="auto" w:fill="FFFFFF"/>
          <w:rtl/>
        </w:rPr>
        <w:t xml:space="preserve">סך </w:t>
      </w:r>
      <w:r w:rsidRPr="00542E3A">
        <w:rPr>
          <w:rFonts w:ascii="Calibri" w:hAnsi="Calibri" w:cs="Calibri"/>
          <w:color w:val="000000"/>
          <w:sz w:val="24"/>
          <w:szCs w:val="24"/>
          <w:shd w:val="clear" w:color="auto" w:fill="FFFFFF"/>
          <w:rtl/>
        </w:rPr>
        <w:t>נכסי המערכת הבנקאית</w:t>
      </w:r>
      <w:r w:rsidRPr="00542E3A">
        <w:rPr>
          <w:rFonts w:ascii="Calibri" w:hAnsi="Calibri" w:cs="Calibri" w:hint="cs"/>
          <w:color w:val="000000"/>
          <w:sz w:val="24"/>
          <w:szCs w:val="24"/>
          <w:shd w:val="clear" w:color="auto" w:fill="FFFFFF"/>
          <w:rtl/>
        </w:rPr>
        <w:t xml:space="preserve">. ירידה זו </w:t>
      </w:r>
      <w:r w:rsidRPr="00542E3A">
        <w:rPr>
          <w:rFonts w:ascii="Calibri" w:hAnsi="Calibri" w:cs="Calibri"/>
          <w:color w:val="000000"/>
          <w:sz w:val="24"/>
          <w:szCs w:val="24"/>
          <w:shd w:val="clear" w:color="auto" w:fill="FFFFFF"/>
          <w:rtl/>
        </w:rPr>
        <w:t xml:space="preserve">מושפעת </w:t>
      </w:r>
      <w:r w:rsidRPr="00542E3A">
        <w:rPr>
          <w:rFonts w:ascii="Calibri" w:hAnsi="Calibri" w:cs="Calibri" w:hint="cs"/>
          <w:color w:val="000000"/>
          <w:sz w:val="24"/>
          <w:szCs w:val="24"/>
          <w:shd w:val="clear" w:color="auto" w:fill="FFFFFF"/>
          <w:rtl/>
        </w:rPr>
        <w:t>בעיקר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 xml:space="preserve">מגידול נמוך יותר בהכנסות מעמלות בהשוואה לגידול שחל בסך נכסי המערכת. </w:t>
      </w:r>
      <w:r w:rsidRPr="00542E3A">
        <w:rPr>
          <w:rFonts w:ascii="Calibri" w:hAnsi="Calibri" w:cs="Calibri"/>
          <w:color w:val="000000"/>
          <w:sz w:val="24"/>
          <w:szCs w:val="24"/>
          <w:shd w:val="clear" w:color="auto" w:fill="FFFFFF"/>
          <w:rtl/>
        </w:rPr>
        <w:t>הגידול בהכנסות</w:t>
      </w:r>
      <w:r w:rsidRPr="00542E3A">
        <w:rPr>
          <w:rFonts w:ascii="Calibri" w:hAnsi="Calibri" w:cs="Calibri" w:hint="cs"/>
          <w:color w:val="000000"/>
          <w:sz w:val="24"/>
          <w:szCs w:val="24"/>
          <w:shd w:val="clear" w:color="auto" w:fill="FFFFFF"/>
          <w:rtl/>
        </w:rPr>
        <w:t xml:space="preserve"> נבע מעליה מהכנסות מעסקים גדולים בתחום ניירות ערך עקב גידול בפעילות.</w:t>
      </w:r>
      <w:r w:rsidRPr="00542E3A">
        <w:rPr>
          <w:rFonts w:ascii="Calibri" w:hAnsi="Calibri" w:cs="Calibri"/>
          <w:color w:val="000000"/>
          <w:sz w:val="24"/>
          <w:szCs w:val="24"/>
          <w:shd w:val="clear" w:color="auto" w:fill="FFFFFF"/>
          <w:rtl/>
        </w:rPr>
        <w:t xml:space="preserve"> ההכנסות מיחידים ו</w:t>
      </w:r>
      <w:r w:rsidRPr="00542E3A">
        <w:rPr>
          <w:rFonts w:ascii="Calibri" w:hAnsi="Calibri" w:cs="Calibri" w:hint="cs"/>
          <w:color w:val="000000"/>
          <w:sz w:val="24"/>
          <w:szCs w:val="24"/>
          <w:shd w:val="clear" w:color="auto" w:fill="FFFFFF"/>
          <w:rtl/>
        </w:rPr>
        <w:t>מ</w:t>
      </w:r>
      <w:r w:rsidRPr="00542E3A">
        <w:rPr>
          <w:rFonts w:ascii="Calibri" w:hAnsi="Calibri" w:cs="Calibri"/>
          <w:color w:val="000000"/>
          <w:sz w:val="24"/>
          <w:szCs w:val="24"/>
          <w:shd w:val="clear" w:color="auto" w:fill="FFFFFF"/>
          <w:rtl/>
        </w:rPr>
        <w:t xml:space="preserve">עסקים קטנים ירדו בעקבות מתווה סיוע ללקוחות בעקבות מלחמת "חרבות ברזל". </w:t>
      </w:r>
      <w:r w:rsidRPr="00542E3A">
        <w:rPr>
          <w:rFonts w:ascii="Calibri" w:hAnsi="Calibri" w:cs="Calibri" w:hint="cs"/>
          <w:color w:val="000000"/>
          <w:sz w:val="24"/>
          <w:szCs w:val="24"/>
          <w:shd w:val="clear" w:color="auto" w:fill="FFFFFF"/>
          <w:rtl/>
        </w:rPr>
        <w:t>באופן כללי, יחס הכנסות מעמלות לסך נכסי המערכת הבנקאית נמצא במגמת ירידה מצטברת, ש</w:t>
      </w:r>
      <w:r w:rsidRPr="00542E3A">
        <w:rPr>
          <w:rFonts w:ascii="Calibri" w:hAnsi="Calibri" w:cs="Calibri"/>
          <w:color w:val="000000"/>
          <w:sz w:val="24"/>
          <w:szCs w:val="24"/>
          <w:shd w:val="clear" w:color="auto" w:fill="FFFFFF"/>
          <w:rtl/>
        </w:rPr>
        <w:t>החלה לאחר רפורמ</w:t>
      </w:r>
      <w:r w:rsidRPr="00542E3A">
        <w:rPr>
          <w:rFonts w:ascii="Calibri" w:hAnsi="Calibri" w:cs="Calibri" w:hint="cs"/>
          <w:color w:val="000000"/>
          <w:sz w:val="24"/>
          <w:szCs w:val="24"/>
          <w:shd w:val="clear" w:color="auto" w:fill="FFFFFF"/>
          <w:rtl/>
        </w:rPr>
        <w:t xml:space="preserve">ת </w:t>
      </w:r>
      <w:r w:rsidRPr="00542E3A">
        <w:rPr>
          <w:rFonts w:ascii="Calibri" w:hAnsi="Calibri" w:cs="Calibri"/>
          <w:color w:val="000000"/>
          <w:sz w:val="24"/>
          <w:szCs w:val="24"/>
          <w:shd w:val="clear" w:color="auto" w:fill="FFFFFF"/>
          <w:rtl/>
        </w:rPr>
        <w:t>ה</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בשנת 2008, ו</w:t>
      </w:r>
      <w:r w:rsidRPr="00542E3A">
        <w:rPr>
          <w:rFonts w:ascii="Calibri" w:hAnsi="Calibri" w:cs="Calibri" w:hint="cs"/>
          <w:color w:val="000000"/>
          <w:sz w:val="24"/>
          <w:szCs w:val="24"/>
          <w:shd w:val="clear" w:color="auto" w:fill="FFFFFF"/>
          <w:rtl/>
        </w:rPr>
        <w:t>מאז ו</w:t>
      </w:r>
      <w:r w:rsidRPr="00542E3A">
        <w:rPr>
          <w:rFonts w:ascii="Calibri" w:hAnsi="Calibri" w:cs="Calibri"/>
          <w:color w:val="000000"/>
          <w:sz w:val="24"/>
          <w:szCs w:val="24"/>
          <w:shd w:val="clear" w:color="auto" w:fill="FFFFFF"/>
          <w:rtl/>
        </w:rPr>
        <w:t>עד היום נרשמה ירידה בשיעור מצטבר של כ-</w:t>
      </w:r>
      <w:r w:rsidRPr="00542E3A">
        <w:rPr>
          <w:rFonts w:ascii="Calibri" w:hAnsi="Calibri" w:cs="Calibri" w:hint="cs"/>
          <w:color w:val="000000"/>
          <w:sz w:val="24"/>
          <w:szCs w:val="24"/>
          <w:shd w:val="clear" w:color="auto" w:fill="FFFFFF"/>
          <w:rtl/>
        </w:rPr>
        <w:t>50</w:t>
      </w:r>
      <w:r w:rsidRPr="00542E3A">
        <w:rPr>
          <w:rFonts w:ascii="Calibri" w:hAnsi="Calibri" w:cs="Calibri"/>
          <w:color w:val="000000"/>
          <w:sz w:val="24"/>
          <w:szCs w:val="24"/>
          <w:shd w:val="clear" w:color="auto" w:fill="FFFFFF"/>
          <w:rtl/>
        </w:rPr>
        <w:t xml:space="preserve">%. ירידה זו מיוחסת, בין היתר, למכלול פעולות הפיקוח </w:t>
      </w:r>
      <w:r w:rsidRPr="00542E3A">
        <w:rPr>
          <w:rFonts w:ascii="Calibri" w:hAnsi="Calibri" w:cs="Calibri" w:hint="cs"/>
          <w:color w:val="000000"/>
          <w:sz w:val="24"/>
          <w:szCs w:val="24"/>
          <w:shd w:val="clear" w:color="auto" w:fill="FFFFFF"/>
          <w:rtl/>
        </w:rPr>
        <w:t>בתחום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w:t>
      </w:r>
      <w:r w:rsidRPr="00542E3A">
        <w:rPr>
          <w:rFonts w:ascii="Calibri" w:hAnsi="Calibri" w:cs="Calibri"/>
          <w:color w:val="000000"/>
          <w:sz w:val="24"/>
          <w:szCs w:val="24"/>
          <w:shd w:val="clear" w:color="auto" w:fill="FFFFFF"/>
          <w:rtl/>
        </w:rPr>
        <w:t>עמלות בשנים האחרונות.</w:t>
      </w:r>
      <w:r w:rsidRPr="00542E3A" w:rsidDel="002C4CD8">
        <w:rPr>
          <w:rFonts w:ascii="Calibri" w:hAnsi="Calibri" w:cs="Calibri"/>
          <w:color w:val="000000"/>
          <w:sz w:val="24"/>
          <w:szCs w:val="24"/>
          <w:shd w:val="clear" w:color="auto" w:fill="FFFFFF"/>
          <w:rtl/>
        </w:rPr>
        <w:t xml:space="preserve"> </w:t>
      </w:r>
    </w:p>
    <w:p w:rsidR="00542E3A" w:rsidRPr="00542E3A" w:rsidRDefault="00542E3A" w:rsidP="00EE34E1">
      <w:pPr>
        <w:numPr>
          <w:ilvl w:val="0"/>
          <w:numId w:val="17"/>
        </w:numPr>
        <w:spacing w:line="360" w:lineRule="auto"/>
        <w:jc w:val="both"/>
        <w:rPr>
          <w:rFonts w:ascii="Calibri" w:hAnsi="Calibri" w:cs="Calibri"/>
          <w:color w:val="000000"/>
          <w:sz w:val="24"/>
          <w:szCs w:val="24"/>
          <w:shd w:val="clear" w:color="auto" w:fill="FFFFFF"/>
          <w:rtl/>
        </w:rPr>
      </w:pPr>
      <w:r w:rsidRPr="00542E3A">
        <w:rPr>
          <w:rFonts w:ascii="Calibri" w:hAnsi="Calibri" w:cs="Calibri"/>
          <w:color w:val="000000"/>
          <w:sz w:val="24"/>
          <w:szCs w:val="24"/>
          <w:shd w:val="clear" w:color="auto" w:fill="FFFFFF"/>
          <w:rtl/>
        </w:rPr>
        <w:t>העלות הממוצעת של ניהול</w:t>
      </w:r>
      <w:r w:rsidRPr="00542E3A">
        <w:rPr>
          <w:rFonts w:ascii="Calibri" w:hAnsi="Calibri" w:cs="Calibri" w:hint="cs"/>
          <w:color w:val="000000"/>
          <w:sz w:val="24"/>
          <w:szCs w:val="24"/>
          <w:shd w:val="clear" w:color="auto" w:fill="FFFFFF"/>
          <w:rtl/>
        </w:rPr>
        <w:t xml:space="preserve"> חשבון</w:t>
      </w:r>
      <w:r w:rsidRPr="00542E3A">
        <w:rPr>
          <w:rFonts w:ascii="Calibri" w:hAnsi="Calibri" w:cs="Calibri"/>
          <w:color w:val="000000"/>
          <w:sz w:val="24"/>
          <w:szCs w:val="24"/>
          <w:shd w:val="clear" w:color="auto" w:fill="FFFFFF"/>
          <w:rtl/>
        </w:rPr>
        <w:t xml:space="preserve"> </w:t>
      </w:r>
      <w:proofErr w:type="spellStart"/>
      <w:r w:rsidRPr="00542E3A">
        <w:rPr>
          <w:rFonts w:ascii="Calibri" w:hAnsi="Calibri" w:cs="Calibri"/>
          <w:color w:val="000000"/>
          <w:sz w:val="24"/>
          <w:szCs w:val="24"/>
          <w:shd w:val="clear" w:color="auto" w:fill="FFFFFF"/>
          <w:rtl/>
        </w:rPr>
        <w:t>העו"ש</w:t>
      </w:r>
      <w:proofErr w:type="spellEnd"/>
      <w:r w:rsidRPr="00542E3A">
        <w:rPr>
          <w:rFonts w:ascii="Calibri" w:hAnsi="Calibri" w:cs="Calibri"/>
          <w:color w:val="000000"/>
          <w:sz w:val="24"/>
          <w:szCs w:val="24"/>
          <w:shd w:val="clear" w:color="auto" w:fill="FFFFFF"/>
          <w:rtl/>
        </w:rPr>
        <w:t xml:space="preserve"> והחזקת כרטיסי חיוב </w:t>
      </w:r>
      <w:r w:rsidRPr="00542E3A">
        <w:rPr>
          <w:rFonts w:ascii="Calibri" w:hAnsi="Calibri" w:cs="Calibri" w:hint="cs"/>
          <w:color w:val="000000"/>
          <w:sz w:val="24"/>
          <w:szCs w:val="24"/>
          <w:shd w:val="clear" w:color="auto" w:fill="FFFFFF"/>
          <w:rtl/>
        </w:rPr>
        <w:t>ב</w:t>
      </w:r>
      <w:r w:rsidRPr="00542E3A">
        <w:rPr>
          <w:rFonts w:ascii="Calibri" w:hAnsi="Calibri" w:cs="Calibri"/>
          <w:color w:val="000000"/>
          <w:sz w:val="24"/>
          <w:szCs w:val="24"/>
          <w:shd w:val="clear" w:color="auto" w:fill="FFFFFF"/>
          <w:rtl/>
        </w:rPr>
        <w:t>חשבון</w:t>
      </w:r>
      <w:r w:rsidRPr="00542E3A">
        <w:rPr>
          <w:rFonts w:ascii="Calibri" w:hAnsi="Calibri" w:cs="Calibri" w:hint="cs"/>
          <w:color w:val="000000"/>
          <w:sz w:val="24"/>
          <w:szCs w:val="24"/>
          <w:shd w:val="clear" w:color="auto" w:fill="FFFFFF"/>
          <w:rtl/>
        </w:rPr>
        <w:t xml:space="preserve"> משק בית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 xml:space="preserve">עמדה </w:t>
      </w:r>
      <w:r w:rsidRPr="00542E3A">
        <w:rPr>
          <w:rFonts w:ascii="Calibri" w:hAnsi="Calibri" w:cs="Calibri"/>
          <w:color w:val="000000"/>
          <w:sz w:val="24"/>
          <w:szCs w:val="24"/>
          <w:shd w:val="clear" w:color="auto" w:fill="FFFFFF"/>
          <w:rtl/>
        </w:rPr>
        <w:t>ב</w:t>
      </w:r>
      <w:r w:rsidRPr="00542E3A">
        <w:rPr>
          <w:rFonts w:ascii="Calibri" w:hAnsi="Calibri" w:cs="Calibri" w:hint="cs"/>
          <w:color w:val="000000"/>
          <w:sz w:val="24"/>
          <w:szCs w:val="24"/>
          <w:shd w:val="clear" w:color="auto" w:fill="FFFFFF"/>
          <w:rtl/>
        </w:rPr>
        <w:t xml:space="preserve">שנת 2024 על </w:t>
      </w:r>
      <w:r w:rsidR="0032222C">
        <w:rPr>
          <w:rFonts w:ascii="Calibri" w:hAnsi="Calibri" w:cs="Calibri" w:hint="cs"/>
          <w:color w:val="000000"/>
          <w:sz w:val="24"/>
          <w:szCs w:val="24"/>
          <w:shd w:val="clear" w:color="auto" w:fill="FFFFFF"/>
          <w:rtl/>
        </w:rPr>
        <w:t>25</w:t>
      </w:r>
      <w:r w:rsidRPr="00542E3A">
        <w:rPr>
          <w:rFonts w:ascii="Calibri" w:hAnsi="Calibri" w:cs="Calibri" w:hint="cs"/>
          <w:color w:val="000000"/>
          <w:sz w:val="24"/>
          <w:szCs w:val="24"/>
          <w:shd w:val="clear" w:color="auto" w:fill="FFFFFF"/>
          <w:rtl/>
        </w:rPr>
        <w:t xml:space="preserve"> ₪ בחודש - ירידה של </w:t>
      </w:r>
      <w:r w:rsidR="0032222C">
        <w:rPr>
          <w:rFonts w:ascii="Calibri" w:hAnsi="Calibri" w:cs="Calibri" w:hint="cs"/>
          <w:color w:val="000000"/>
          <w:sz w:val="24"/>
          <w:szCs w:val="24"/>
          <w:shd w:val="clear" w:color="auto" w:fill="FFFFFF"/>
          <w:rtl/>
        </w:rPr>
        <w:t>2.6</w:t>
      </w:r>
      <w:r w:rsidRPr="00542E3A">
        <w:rPr>
          <w:rFonts w:ascii="Calibri" w:hAnsi="Calibri" w:cs="Calibri" w:hint="cs"/>
          <w:color w:val="000000"/>
          <w:sz w:val="24"/>
          <w:szCs w:val="24"/>
          <w:shd w:val="clear" w:color="auto" w:fill="FFFFFF"/>
          <w:rtl/>
        </w:rPr>
        <w:t xml:space="preserve"> ₪ בממוצע בחודש בהשוואה לשנת 2023. עיקר הירידה נבע ממתווה</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הסיוע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ללקוחות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הבנקים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בהתמודדות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עם</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השלכות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מלחמת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חרבות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ברזל</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שבו</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הוגדר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פטור</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ממרבית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ללקוחות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המעגל</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הראשון</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לרבות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עו</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ש</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מידע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וכרטיס</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חיוב</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ולמעט</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עמלות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ביצוע</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עסקאות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ומשיכות</w:t>
      </w:r>
      <w:r w:rsidRPr="00542E3A">
        <w:rPr>
          <w:rFonts w:ascii="Calibri" w:hAnsi="Calibri" w:cs="Calibri"/>
          <w:color w:val="000000"/>
          <w:sz w:val="24"/>
          <w:szCs w:val="24"/>
          <w:shd w:val="clear" w:color="auto" w:fill="FFFFFF"/>
          <w:rtl/>
        </w:rPr>
        <w:t xml:space="preserve"> </w:t>
      </w:r>
      <w:r w:rsidRPr="00542E3A">
        <w:rPr>
          <w:rFonts w:ascii="Calibri" w:hAnsi="Calibri" w:cs="Calibri" w:hint="cs"/>
          <w:color w:val="000000"/>
          <w:sz w:val="24"/>
          <w:szCs w:val="24"/>
          <w:shd w:val="clear" w:color="auto" w:fill="FFFFFF"/>
          <w:rtl/>
        </w:rPr>
        <w:t>במט</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ח</w:t>
      </w:r>
      <w:r w:rsidRPr="00542E3A">
        <w:rPr>
          <w:rFonts w:ascii="Calibri" w:hAnsi="Calibri" w:cs="Calibri"/>
          <w:color w:val="000000"/>
          <w:sz w:val="24"/>
          <w:szCs w:val="24"/>
          <w:shd w:val="clear" w:color="auto" w:fill="FFFFFF"/>
          <w:rtl/>
        </w:rPr>
        <w:t>)</w:t>
      </w:r>
      <w:r w:rsidRPr="00542E3A">
        <w:rPr>
          <w:rFonts w:ascii="Calibri" w:hAnsi="Calibri" w:cs="Calibri" w:hint="cs"/>
          <w:color w:val="000000"/>
          <w:sz w:val="24"/>
          <w:szCs w:val="24"/>
          <w:shd w:val="clear" w:color="auto" w:fill="FFFFFF"/>
          <w:rtl/>
        </w:rPr>
        <w:t xml:space="preserve">. </w:t>
      </w:r>
    </w:p>
    <w:p w:rsidR="00542E3A" w:rsidRPr="009005BA" w:rsidRDefault="00542E3A" w:rsidP="00F1475C">
      <w:pPr>
        <w:spacing w:line="360" w:lineRule="auto"/>
        <w:jc w:val="both"/>
        <w:rPr>
          <w:rFonts w:ascii="Calibri" w:hAnsi="Calibri" w:cs="Calibri"/>
          <w:color w:val="000000"/>
          <w:sz w:val="24"/>
          <w:szCs w:val="24"/>
          <w:shd w:val="clear" w:color="auto" w:fill="FFFFFF"/>
          <w:rtl/>
        </w:rPr>
      </w:pPr>
    </w:p>
    <w:sectPr w:rsidR="00542E3A" w:rsidRPr="009005B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46" w:rsidRDefault="00881A46" w:rsidP="008755E3">
      <w:pPr>
        <w:spacing w:after="0" w:line="240" w:lineRule="auto"/>
      </w:pPr>
      <w:r>
        <w:separator/>
      </w:r>
    </w:p>
  </w:endnote>
  <w:endnote w:type="continuationSeparator" w:id="0">
    <w:p w:rsidR="00881A46" w:rsidRDefault="00881A46"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39B9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46" w:rsidRDefault="00881A46" w:rsidP="008755E3">
      <w:pPr>
        <w:spacing w:after="0" w:line="240" w:lineRule="auto"/>
      </w:pPr>
      <w:r>
        <w:separator/>
      </w:r>
    </w:p>
  </w:footnote>
  <w:footnote w:type="continuationSeparator" w:id="0">
    <w:p w:rsidR="00881A46" w:rsidRDefault="00881A46" w:rsidP="008755E3">
      <w:pPr>
        <w:spacing w:after="0" w:line="240" w:lineRule="auto"/>
      </w:pPr>
      <w:r>
        <w:continuationSeparator/>
      </w:r>
    </w:p>
  </w:footnote>
  <w:footnote w:id="1">
    <w:p w:rsidR="00DB1AEE" w:rsidRDefault="00DB1AEE" w:rsidP="00DB1AEE">
      <w:pPr>
        <w:pStyle w:val="af0"/>
        <w:rPr>
          <w:rtl/>
        </w:rPr>
      </w:pPr>
      <w:r>
        <w:rPr>
          <w:rStyle w:val="af2"/>
        </w:rPr>
        <w:footnoteRef/>
      </w:r>
      <w:r>
        <w:rPr>
          <w:rtl/>
        </w:rPr>
        <w:t xml:space="preserve"> </w:t>
      </w:r>
      <w:hyperlink r:id="rId1" w:history="1">
        <w:r w:rsidRPr="00F12246">
          <w:rPr>
            <w:rStyle w:val="Hyperlink"/>
          </w:rPr>
          <w:t>https://www.boi.org.il/publications/pressreleases/22-9-24</w:t>
        </w:r>
        <w:r w:rsidRPr="00F12246">
          <w:rPr>
            <w:rStyle w:val="Hyperlink"/>
            <w:rFonts w:cs="Arial"/>
            <w:rtl/>
          </w:rPr>
          <w:t>/</w:t>
        </w:r>
      </w:hyperlink>
    </w:p>
  </w:footnote>
  <w:footnote w:id="2">
    <w:p w:rsidR="00CC18ED" w:rsidRDefault="00EE34E1" w:rsidP="00CC18ED">
      <w:pPr>
        <w:pStyle w:val="af0"/>
      </w:pPr>
      <w:r>
        <w:rPr>
          <w:rStyle w:val="af2"/>
        </w:rPr>
        <w:footnoteRef/>
      </w:r>
      <w:r>
        <w:rPr>
          <w:rtl/>
        </w:rPr>
        <w:t xml:space="preserve"> </w:t>
      </w:r>
      <w:hyperlink r:id="rId2" w:history="1">
        <w:r w:rsidR="00CC18ED" w:rsidRPr="004220F3">
          <w:rPr>
            <w:rStyle w:val="Hyperlink"/>
          </w:rPr>
          <w:t>https://www.boi.org.il/publications/pressreleases/15-07-2025</w:t>
        </w:r>
        <w:r w:rsidR="00CC18ED" w:rsidRPr="004220F3">
          <w:rPr>
            <w:rStyle w:val="Hyperlink"/>
            <w:rFonts w:cs="Arial"/>
            <w:rtl/>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5"/>
  </w:num>
  <w:num w:numId="9">
    <w:abstractNumId w:val="16"/>
  </w:num>
  <w:num w:numId="10">
    <w:abstractNumId w:val="12"/>
  </w:num>
  <w:num w:numId="11">
    <w:abstractNumId w:val="9"/>
  </w:num>
  <w:num w:numId="12">
    <w:abstractNumId w:val="13"/>
  </w:num>
  <w:num w:numId="13">
    <w:abstractNumId w:val="8"/>
  </w:num>
  <w:num w:numId="14">
    <w:abstractNumId w:val="2"/>
  </w:num>
  <w:num w:numId="15">
    <w:abstractNumId w:val="14"/>
  </w:num>
  <w:num w:numId="16">
    <w:abstractNumId w:val="0"/>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AEE"/>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3AED"/>
    <w:rsid w:val="00244686"/>
    <w:rsid w:val="002454AE"/>
    <w:rsid w:val="00245CA7"/>
    <w:rsid w:val="00245D31"/>
    <w:rsid w:val="00251589"/>
    <w:rsid w:val="00253EEE"/>
    <w:rsid w:val="00254496"/>
    <w:rsid w:val="00256327"/>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22C"/>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5439A"/>
    <w:rsid w:val="0036092C"/>
    <w:rsid w:val="00360A85"/>
    <w:rsid w:val="003612BC"/>
    <w:rsid w:val="0036176A"/>
    <w:rsid w:val="00363AF8"/>
    <w:rsid w:val="003645BD"/>
    <w:rsid w:val="00364F24"/>
    <w:rsid w:val="003650AF"/>
    <w:rsid w:val="00365995"/>
    <w:rsid w:val="00367272"/>
    <w:rsid w:val="0036733B"/>
    <w:rsid w:val="0036771D"/>
    <w:rsid w:val="00371131"/>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1926"/>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70"/>
    <w:rsid w:val="00532693"/>
    <w:rsid w:val="005326A1"/>
    <w:rsid w:val="00535ED0"/>
    <w:rsid w:val="005367FF"/>
    <w:rsid w:val="00536843"/>
    <w:rsid w:val="0053743C"/>
    <w:rsid w:val="00542A34"/>
    <w:rsid w:val="00542E3A"/>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1DE2"/>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214"/>
    <w:rsid w:val="00881A07"/>
    <w:rsid w:val="00881A46"/>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7C6"/>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0E30"/>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4983"/>
    <w:rsid w:val="00CA5F10"/>
    <w:rsid w:val="00CA7AF2"/>
    <w:rsid w:val="00CB1495"/>
    <w:rsid w:val="00CB1ECB"/>
    <w:rsid w:val="00CB479F"/>
    <w:rsid w:val="00CB5618"/>
    <w:rsid w:val="00CB5C75"/>
    <w:rsid w:val="00CB65B6"/>
    <w:rsid w:val="00CB6D81"/>
    <w:rsid w:val="00CB7BBB"/>
    <w:rsid w:val="00CC18ED"/>
    <w:rsid w:val="00CC51A2"/>
    <w:rsid w:val="00CC6E3B"/>
    <w:rsid w:val="00CC78A4"/>
    <w:rsid w:val="00CC7989"/>
    <w:rsid w:val="00CD1822"/>
    <w:rsid w:val="00CD1DFB"/>
    <w:rsid w:val="00CD2312"/>
    <w:rsid w:val="00CD3AFE"/>
    <w:rsid w:val="00CD4B9F"/>
    <w:rsid w:val="00CD4BE4"/>
    <w:rsid w:val="00CD5226"/>
    <w:rsid w:val="00CD5B2C"/>
    <w:rsid w:val="00CD5D4F"/>
    <w:rsid w:val="00CD6374"/>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948"/>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398"/>
    <w:rsid w:val="00DA0961"/>
    <w:rsid w:val="00DA1198"/>
    <w:rsid w:val="00DA2078"/>
    <w:rsid w:val="00DA4804"/>
    <w:rsid w:val="00DA540C"/>
    <w:rsid w:val="00DA5C6D"/>
    <w:rsid w:val="00DB0EE4"/>
    <w:rsid w:val="00DB1AEE"/>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989"/>
    <w:rsid w:val="00E15FB6"/>
    <w:rsid w:val="00E17F21"/>
    <w:rsid w:val="00E2102D"/>
    <w:rsid w:val="00E21733"/>
    <w:rsid w:val="00E21B62"/>
    <w:rsid w:val="00E21BBA"/>
    <w:rsid w:val="00E2634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2D8A"/>
    <w:rsid w:val="00EB3AA0"/>
    <w:rsid w:val="00EB43F7"/>
    <w:rsid w:val="00EB7F0D"/>
    <w:rsid w:val="00EC2054"/>
    <w:rsid w:val="00EC561F"/>
    <w:rsid w:val="00EC57DC"/>
    <w:rsid w:val="00EC628A"/>
    <w:rsid w:val="00ED01C3"/>
    <w:rsid w:val="00ED3320"/>
    <w:rsid w:val="00ED3873"/>
    <w:rsid w:val="00ED72B4"/>
    <w:rsid w:val="00EE28BA"/>
    <w:rsid w:val="00EE34E1"/>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2E50"/>
    <w:rsid w:val="00FC2F10"/>
    <w:rsid w:val="00FC75C5"/>
    <w:rsid w:val="00FD1E91"/>
    <w:rsid w:val="00FD2074"/>
    <w:rsid w:val="00FD52AB"/>
    <w:rsid w:val="00FD5926"/>
    <w:rsid w:val="00FD6A78"/>
    <w:rsid w:val="00FE1C1F"/>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pPr>
      <w:spacing w:after="0" w:line="240" w:lineRule="auto"/>
    </w:pPr>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publications/pressreleases/15-07-2025/" TargetMode="External"/><Relationship Id="rId1" Type="http://schemas.openxmlformats.org/officeDocument/2006/relationships/hyperlink" Target="https://www.boi.org.il/publications/pressreleases/22-9-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A7B8-3F34-4074-AC14-DA1697E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2236</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2025-07-23T07:30:00Z</dcterms:created>
  <dcterms:modified xsi:type="dcterms:W3CDTF">2025-07-23T07:30:00Z</dcterms:modified>
</cp:coreProperties>
</file>