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02C" w:rsidRDefault="00C0702C">
      <w:pPr>
        <w:bidi/>
      </w:pPr>
    </w:p>
    <w:p w:rsidR="00A8350C" w:rsidRDefault="00A8350C" w:rsidP="00A8350C">
      <w:pPr>
        <w:bidi/>
        <w:rPr>
          <w:rFonts w:hint="default"/>
        </w:rPr>
      </w:pPr>
    </w:p>
    <w:tbl>
      <w:tblPr>
        <w:bidiVisual/>
        <w:tblW w:w="8520" w:type="dxa"/>
        <w:jc w:val="center"/>
        <w:tblLayout w:type="fixed"/>
        <w:tblLook w:val="0000" w:firstRow="0" w:lastRow="0" w:firstColumn="0" w:lastColumn="0" w:noHBand="0" w:noVBand="0"/>
        <w:tblCaption w:val="כותרת עליונה"/>
        <w:tblDescription w:val="כותרת עליונה"/>
      </w:tblPr>
      <w:tblGrid>
        <w:gridCol w:w="2840"/>
        <w:gridCol w:w="2596"/>
        <w:gridCol w:w="3084"/>
      </w:tblGrid>
      <w:tr w:rsidR="00317000" w:rsidRPr="00DB1CBC" w:rsidTr="00C0702C">
        <w:trPr>
          <w:tblHeader/>
          <w:jc w:val="center"/>
        </w:trPr>
        <w:tc>
          <w:tcPr>
            <w:tcW w:w="2840" w:type="dxa"/>
            <w:tcBorders>
              <w:top w:val="nil"/>
              <w:left w:val="nil"/>
              <w:bottom w:val="nil"/>
              <w:right w:val="nil"/>
            </w:tcBorders>
            <w:vAlign w:val="center"/>
          </w:tcPr>
          <w:p w:rsidR="00317000" w:rsidRPr="00520BB4" w:rsidRDefault="00317000" w:rsidP="00A71B81">
            <w:pPr>
              <w:bidi/>
              <w:spacing w:line="360" w:lineRule="auto"/>
              <w:jc w:val="center"/>
              <w:rPr>
                <w:rFonts w:cs="David" w:hint="default"/>
                <w:b/>
                <w:bCs/>
                <w:sz w:val="28"/>
                <w:szCs w:val="28"/>
              </w:rPr>
            </w:pPr>
            <w:r w:rsidRPr="00520BB4">
              <w:rPr>
                <w:rFonts w:cs="David"/>
                <w:b/>
                <w:bCs/>
                <w:sz w:val="28"/>
                <w:szCs w:val="28"/>
                <w:rtl/>
              </w:rPr>
              <w:t>בנק ישראל</w:t>
            </w:r>
          </w:p>
          <w:p w:rsidR="00317000" w:rsidRDefault="00317000" w:rsidP="00A71B81">
            <w:pPr>
              <w:bidi/>
              <w:spacing w:line="360" w:lineRule="auto"/>
              <w:ind w:right="-101"/>
              <w:jc w:val="center"/>
              <w:rPr>
                <w:rFonts w:hint="default"/>
              </w:rPr>
            </w:pPr>
            <w:r w:rsidRPr="00520BB4">
              <w:rPr>
                <w:rFonts w:cs="David"/>
                <w:rtl/>
              </w:rPr>
              <w:t>דוברות והסברה כלכלית</w:t>
            </w:r>
          </w:p>
        </w:tc>
        <w:tc>
          <w:tcPr>
            <w:tcW w:w="2596" w:type="dxa"/>
            <w:tcBorders>
              <w:top w:val="nil"/>
              <w:left w:val="nil"/>
              <w:bottom w:val="nil"/>
              <w:right w:val="nil"/>
            </w:tcBorders>
          </w:tcPr>
          <w:p w:rsidR="00317000" w:rsidRDefault="0095765F" w:rsidP="00A71B81">
            <w:pPr>
              <w:bidi/>
              <w:jc w:val="center"/>
              <w:rPr>
                <w:rFonts w:hint="default"/>
              </w:rPr>
            </w:pPr>
            <w:r>
              <w:rPr>
                <w:rFonts w:hint="default"/>
                <w:noProof/>
                <w:lang w:eastAsia="en-US"/>
              </w:rPr>
              <w:drawing>
                <wp:inline distT="0" distB="0" distL="0" distR="0" wp14:anchorId="792F57FD" wp14:editId="284F9094">
                  <wp:extent cx="914400" cy="9144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3084" w:type="dxa"/>
            <w:tcBorders>
              <w:top w:val="nil"/>
              <w:left w:val="nil"/>
              <w:bottom w:val="nil"/>
              <w:right w:val="nil"/>
            </w:tcBorders>
            <w:vAlign w:val="center"/>
          </w:tcPr>
          <w:p w:rsidR="00317000" w:rsidRDefault="00317000" w:rsidP="002B40BD">
            <w:pPr>
              <w:bidi/>
              <w:spacing w:line="480" w:lineRule="auto"/>
              <w:jc w:val="right"/>
              <w:rPr>
                <w:rFonts w:cs="David" w:hint="default"/>
              </w:rPr>
            </w:pPr>
            <w:r>
              <w:rPr>
                <w:rFonts w:cs="David" w:hint="eastAsia"/>
                <w:rtl/>
              </w:rPr>
              <w:t>‏</w:t>
            </w:r>
            <w:r w:rsidR="002342DD" w:rsidRPr="00BD36C8">
              <w:rPr>
                <w:rFonts w:cs="David"/>
                <w:rtl/>
              </w:rPr>
              <w:t xml:space="preserve">ירושלים, </w:t>
            </w:r>
            <w:proofErr w:type="spellStart"/>
            <w:r w:rsidR="002B40BD">
              <w:rPr>
                <w:rFonts w:cs="David"/>
                <w:rtl/>
              </w:rPr>
              <w:t>יב</w:t>
            </w:r>
            <w:proofErr w:type="spellEnd"/>
            <w:r w:rsidR="002B40BD" w:rsidRPr="00BD36C8">
              <w:rPr>
                <w:rFonts w:cs="David"/>
                <w:rtl/>
              </w:rPr>
              <w:t xml:space="preserve">' </w:t>
            </w:r>
            <w:r w:rsidR="00BD36C8" w:rsidRPr="00BD36C8">
              <w:rPr>
                <w:rFonts w:cs="David"/>
                <w:rtl/>
              </w:rPr>
              <w:t>באב</w:t>
            </w:r>
            <w:r w:rsidR="002342DD">
              <w:rPr>
                <w:rFonts w:cs="David"/>
                <w:rtl/>
              </w:rPr>
              <w:t xml:space="preserve">, </w:t>
            </w:r>
            <w:proofErr w:type="spellStart"/>
            <w:r w:rsidR="002342DD">
              <w:rPr>
                <w:rFonts w:cs="David"/>
                <w:rtl/>
              </w:rPr>
              <w:t>התש</w:t>
            </w:r>
            <w:r w:rsidR="00DA2018">
              <w:rPr>
                <w:rFonts w:cs="David"/>
                <w:rtl/>
              </w:rPr>
              <w:t>"פ</w:t>
            </w:r>
            <w:proofErr w:type="spellEnd"/>
          </w:p>
          <w:p w:rsidR="00317000" w:rsidRPr="00DF107C" w:rsidRDefault="00317000" w:rsidP="002B40BD">
            <w:pPr>
              <w:bidi/>
              <w:spacing w:line="480" w:lineRule="auto"/>
              <w:jc w:val="right"/>
              <w:rPr>
                <w:rFonts w:cs="David" w:hint="default"/>
              </w:rPr>
            </w:pPr>
            <w:r>
              <w:rPr>
                <w:rFonts w:cs="David" w:hint="eastAsia"/>
                <w:rtl/>
              </w:rPr>
              <w:t>‏‏</w:t>
            </w:r>
            <w:r w:rsidR="002B40BD">
              <w:rPr>
                <w:rFonts w:cs="David"/>
                <w:rtl/>
              </w:rPr>
              <w:t xml:space="preserve">2 אוגוסט </w:t>
            </w:r>
            <w:r w:rsidR="00842253">
              <w:rPr>
                <w:rFonts w:cs="David"/>
                <w:rtl/>
              </w:rPr>
              <w:t>20</w:t>
            </w:r>
            <w:r w:rsidR="0011195C">
              <w:rPr>
                <w:rFonts w:cs="David"/>
                <w:rtl/>
              </w:rPr>
              <w:t>20</w:t>
            </w:r>
          </w:p>
        </w:tc>
      </w:tr>
    </w:tbl>
    <w:p w:rsidR="00E84169" w:rsidRPr="00A06866" w:rsidRDefault="00E84169" w:rsidP="005D09FC">
      <w:pPr>
        <w:bidi/>
        <w:spacing w:before="240" w:line="360" w:lineRule="auto"/>
        <w:ind w:right="-102"/>
        <w:rPr>
          <w:rFonts w:cs="David" w:hint="default"/>
          <w:rtl/>
        </w:rPr>
      </w:pPr>
    </w:p>
    <w:p w:rsidR="00317000" w:rsidRDefault="00317000" w:rsidP="00E84169">
      <w:pPr>
        <w:bidi/>
        <w:spacing w:before="240" w:line="360" w:lineRule="auto"/>
        <w:ind w:right="-102"/>
        <w:rPr>
          <w:rFonts w:cs="David" w:hint="default"/>
          <w:rtl/>
        </w:rPr>
      </w:pPr>
      <w:r w:rsidRPr="007E18EE">
        <w:rPr>
          <w:rFonts w:cs="David"/>
          <w:rtl/>
        </w:rPr>
        <w:t>הודעה לעיתונות:</w:t>
      </w:r>
    </w:p>
    <w:p w:rsidR="00E84169" w:rsidRPr="004E3C72" w:rsidRDefault="00251F57" w:rsidP="006F7F1E">
      <w:pPr>
        <w:pStyle w:val="1"/>
        <w:bidi/>
        <w:spacing w:line="360" w:lineRule="auto"/>
        <w:jc w:val="center"/>
        <w:rPr>
          <w:rFonts w:hint="default"/>
          <w:rtl/>
        </w:rPr>
      </w:pPr>
      <w:r>
        <w:rPr>
          <w:rtl/>
        </w:rPr>
        <w:t>ה</w:t>
      </w:r>
      <w:r w:rsidR="00CA44BB">
        <w:rPr>
          <w:rtl/>
        </w:rPr>
        <w:t xml:space="preserve">מדד </w:t>
      </w:r>
      <w:r w:rsidR="00CA44BB" w:rsidRPr="00251F57">
        <w:rPr>
          <w:rtl/>
        </w:rPr>
        <w:t xml:space="preserve">המשולב לחודש </w:t>
      </w:r>
      <w:r w:rsidR="00A00434" w:rsidRPr="00251F57">
        <w:rPr>
          <w:rtl/>
        </w:rPr>
        <w:t>יוני</w:t>
      </w:r>
      <w:r w:rsidR="005F05F0">
        <w:rPr>
          <w:rtl/>
        </w:rPr>
        <w:t xml:space="preserve"> </w:t>
      </w:r>
      <w:r w:rsidR="002823A8">
        <w:rPr>
          <w:rtl/>
        </w:rPr>
        <w:t>נשאר ללא שינוי</w:t>
      </w:r>
      <w:r w:rsidR="001642C1">
        <w:rPr>
          <w:rtl/>
        </w:rPr>
        <w:t>, לאחר מספר חודשים של ירידות משמעותיות</w:t>
      </w:r>
      <w:r>
        <w:rPr>
          <w:rtl/>
        </w:rPr>
        <w:t xml:space="preserve"> </w:t>
      </w:r>
      <w:r w:rsidR="001642C1">
        <w:rPr>
          <w:rtl/>
        </w:rPr>
        <w:t xml:space="preserve">בעקבות </w:t>
      </w:r>
      <w:r w:rsidR="005F05F0">
        <w:rPr>
          <w:rtl/>
        </w:rPr>
        <w:t xml:space="preserve">הגל </w:t>
      </w:r>
      <w:r>
        <w:rPr>
          <w:rtl/>
        </w:rPr>
        <w:t>הראשון של נגיף הקורונה</w:t>
      </w:r>
    </w:p>
    <w:p w:rsidR="003E5BD0" w:rsidRPr="004E3C72" w:rsidRDefault="003E5BD0" w:rsidP="00E84169">
      <w:pPr>
        <w:rPr>
          <w:rFonts w:asciiTheme="majorHAnsi" w:eastAsiaTheme="majorEastAsia" w:hAnsiTheme="majorHAnsi" w:cs="David" w:hint="default"/>
          <w:b/>
          <w:bCs/>
          <w:sz w:val="28"/>
          <w:szCs w:val="28"/>
          <w:rtl/>
        </w:rPr>
      </w:pPr>
    </w:p>
    <w:p w:rsidR="00DE4153" w:rsidRPr="004E3C72" w:rsidRDefault="00DE4153" w:rsidP="00DE4153">
      <w:pPr>
        <w:bidi/>
        <w:rPr>
          <w:rFonts w:hint="default"/>
          <w:sz w:val="12"/>
          <w:szCs w:val="12"/>
          <w:rtl/>
        </w:rPr>
      </w:pPr>
      <w:bookmarkStart w:id="0" w:name="_GoBack"/>
    </w:p>
    <w:p w:rsidR="003B6FCB" w:rsidRPr="00906F82" w:rsidRDefault="002B6329" w:rsidP="00A71939">
      <w:pPr>
        <w:bidi/>
        <w:spacing w:line="360" w:lineRule="auto"/>
        <w:ind w:right="-57"/>
        <w:jc w:val="both"/>
        <w:rPr>
          <w:rFonts w:ascii="David" w:hAnsi="David" w:cs="David" w:hint="default"/>
          <w:rtl/>
        </w:rPr>
      </w:pPr>
      <w:r w:rsidRPr="004E3C72">
        <w:rPr>
          <w:rFonts w:cs="David"/>
          <w:rtl/>
        </w:rPr>
        <w:t>המדד המשולב</w:t>
      </w:r>
      <w:r w:rsidR="0071005F" w:rsidRPr="004E3C72">
        <w:rPr>
          <w:rFonts w:cs="David"/>
          <w:rtl/>
        </w:rPr>
        <w:t xml:space="preserve"> </w:t>
      </w:r>
      <w:r w:rsidRPr="004E3C72">
        <w:rPr>
          <w:rFonts w:cs="David"/>
          <w:rtl/>
        </w:rPr>
        <w:t xml:space="preserve">למצב </w:t>
      </w:r>
      <w:r w:rsidRPr="00251F57">
        <w:rPr>
          <w:rFonts w:cs="David"/>
          <w:rtl/>
        </w:rPr>
        <w:t xml:space="preserve">המשק </w:t>
      </w:r>
      <w:r w:rsidR="001278E5" w:rsidRPr="00251F57">
        <w:rPr>
          <w:rFonts w:cs="David"/>
          <w:rtl/>
        </w:rPr>
        <w:t>ל</w:t>
      </w:r>
      <w:r w:rsidRPr="00251F57">
        <w:rPr>
          <w:rFonts w:cs="David"/>
          <w:rtl/>
        </w:rPr>
        <w:t>חודש</w:t>
      </w:r>
      <w:r w:rsidR="001370F1" w:rsidRPr="00251F57">
        <w:rPr>
          <w:rFonts w:cs="David"/>
          <w:rtl/>
        </w:rPr>
        <w:t xml:space="preserve"> </w:t>
      </w:r>
      <w:r w:rsidR="00A00434" w:rsidRPr="00251F57">
        <w:rPr>
          <w:rFonts w:cs="David"/>
          <w:rtl/>
        </w:rPr>
        <w:t xml:space="preserve">יוני </w:t>
      </w:r>
      <w:r w:rsidR="003F1D8F" w:rsidRPr="00251F57">
        <w:rPr>
          <w:rFonts w:cs="David"/>
          <w:rtl/>
        </w:rPr>
        <w:t>2020</w:t>
      </w:r>
      <w:r w:rsidR="003F1D8F">
        <w:rPr>
          <w:rFonts w:cs="David"/>
          <w:rtl/>
        </w:rPr>
        <w:t xml:space="preserve"> </w:t>
      </w:r>
      <w:r w:rsidR="002823A8">
        <w:rPr>
          <w:rFonts w:cs="David"/>
          <w:rtl/>
        </w:rPr>
        <w:t>נותר בק</w:t>
      </w:r>
      <w:r w:rsidR="00274FB0">
        <w:rPr>
          <w:rFonts w:cs="David"/>
          <w:rtl/>
        </w:rPr>
        <w:t>י</w:t>
      </w:r>
      <w:r w:rsidR="002823A8">
        <w:rPr>
          <w:rFonts w:cs="David"/>
          <w:rtl/>
        </w:rPr>
        <w:t>רוב ללא שינוי</w:t>
      </w:r>
      <w:r w:rsidR="00CA4ED0">
        <w:rPr>
          <w:rFonts w:cs="David"/>
          <w:rtl/>
        </w:rPr>
        <w:t xml:space="preserve"> ו</w:t>
      </w:r>
      <w:r w:rsidR="00E56507">
        <w:rPr>
          <w:rFonts w:cs="David"/>
          <w:rtl/>
        </w:rPr>
        <w:t>מצביע על התייצבות של</w:t>
      </w:r>
      <w:r w:rsidR="00CA4ED0">
        <w:rPr>
          <w:rFonts w:cs="David"/>
          <w:rtl/>
        </w:rPr>
        <w:t xml:space="preserve"> המשק </w:t>
      </w:r>
      <w:r w:rsidR="00092FED">
        <w:rPr>
          <w:rFonts w:cs="David"/>
          <w:rtl/>
        </w:rPr>
        <w:t xml:space="preserve">ביוני, </w:t>
      </w:r>
      <w:r w:rsidR="002823A8">
        <w:rPr>
          <w:rFonts w:cs="David"/>
          <w:rtl/>
        </w:rPr>
        <w:t xml:space="preserve">בניגוד לחודשים </w:t>
      </w:r>
      <w:r w:rsidR="00274FB0">
        <w:rPr>
          <w:rFonts w:cs="David"/>
          <w:rtl/>
        </w:rPr>
        <w:t>האחרונים</w:t>
      </w:r>
      <w:r w:rsidR="002823A8">
        <w:rPr>
          <w:rFonts w:cs="David"/>
          <w:rtl/>
        </w:rPr>
        <w:t xml:space="preserve"> בהם נרשמה ירידה. המדד התייצב</w:t>
      </w:r>
      <w:r w:rsidR="00274FB0">
        <w:rPr>
          <w:rFonts w:cs="David" w:hint="default"/>
        </w:rPr>
        <w:t xml:space="preserve"> </w:t>
      </w:r>
      <w:r w:rsidR="002823A8">
        <w:rPr>
          <w:rFonts w:cs="David"/>
          <w:rtl/>
        </w:rPr>
        <w:t>ב</w:t>
      </w:r>
      <w:r w:rsidR="00092FED">
        <w:rPr>
          <w:rFonts w:cs="David"/>
          <w:rtl/>
        </w:rPr>
        <w:t>רמה נמוכה</w:t>
      </w:r>
      <w:r w:rsidR="002823A8">
        <w:rPr>
          <w:rFonts w:cs="David"/>
          <w:rtl/>
        </w:rPr>
        <w:t>,</w:t>
      </w:r>
      <w:r w:rsidR="00092FED">
        <w:rPr>
          <w:rFonts w:cs="David"/>
          <w:rtl/>
        </w:rPr>
        <w:t xml:space="preserve"> הנובעת מ</w:t>
      </w:r>
      <w:r w:rsidR="008D2CD7">
        <w:rPr>
          <w:rFonts w:cs="David"/>
          <w:rtl/>
        </w:rPr>
        <w:t xml:space="preserve">הירידות החדות </w:t>
      </w:r>
      <w:r w:rsidR="005F05F0">
        <w:rPr>
          <w:rFonts w:cs="David"/>
          <w:rtl/>
        </w:rPr>
        <w:t xml:space="preserve">במהלך </w:t>
      </w:r>
      <w:r w:rsidR="003B6FCB">
        <w:rPr>
          <w:rFonts w:cs="David"/>
          <w:rtl/>
        </w:rPr>
        <w:t>ה</w:t>
      </w:r>
      <w:r w:rsidR="008D2CD7">
        <w:rPr>
          <w:rFonts w:cs="David"/>
          <w:rtl/>
        </w:rPr>
        <w:t>גל הראשון של נגיף הקורונה</w:t>
      </w:r>
      <w:r w:rsidR="001E55EF">
        <w:rPr>
          <w:rFonts w:cs="David"/>
          <w:rtl/>
        </w:rPr>
        <w:t xml:space="preserve"> בחודשים מרץ-מאי</w:t>
      </w:r>
      <w:r w:rsidR="00E56507">
        <w:rPr>
          <w:rFonts w:cs="David"/>
          <w:rtl/>
        </w:rPr>
        <w:t xml:space="preserve"> (לוח 1)</w:t>
      </w:r>
      <w:r w:rsidR="003F1D8F">
        <w:rPr>
          <w:rFonts w:cs="David"/>
          <w:rtl/>
        </w:rPr>
        <w:t>.</w:t>
      </w:r>
      <w:r w:rsidR="00047043">
        <w:rPr>
          <w:rFonts w:cs="David"/>
          <w:rtl/>
        </w:rPr>
        <w:t xml:space="preserve"> </w:t>
      </w:r>
      <w:r w:rsidR="00A71939">
        <w:rPr>
          <w:rFonts w:ascii="David" w:hAnsi="David" w:cs="David"/>
          <w:rtl/>
        </w:rPr>
        <w:t>לנוכח ייחודו של המשבר, אין להסיק מעוצמת השינויים במדד לגבי העוצמה המדויקת של השינויים בפעילות, ובפרט לא לגבי העוצמה היחסית בין החודשים השונים. זאת מכיוון שנתוני הקצה עבור חלק מהאינדיקאטורים מתפרסמים בפיגור, ומשפיעים עם פרסומם על מגמת המדד.</w:t>
      </w:r>
      <w:r w:rsidR="00A71939">
        <w:rPr>
          <w:rFonts w:ascii="David" w:hAnsi="David" w:cs="David" w:hint="default"/>
        </w:rPr>
        <w:t xml:space="preserve"> </w:t>
      </w:r>
      <w:r w:rsidR="00045601">
        <w:rPr>
          <w:rFonts w:cs="David"/>
          <w:rtl/>
        </w:rPr>
        <w:t xml:space="preserve">עם </w:t>
      </w:r>
      <w:r w:rsidR="00473F08">
        <w:rPr>
          <w:rFonts w:cs="David"/>
          <w:rtl/>
        </w:rPr>
        <w:t xml:space="preserve">ביטול מרבית הסגרים והמגבלות </w:t>
      </w:r>
      <w:r w:rsidR="005B45A9">
        <w:rPr>
          <w:rFonts w:cs="David"/>
          <w:rtl/>
        </w:rPr>
        <w:t xml:space="preserve">במחצית </w:t>
      </w:r>
      <w:r w:rsidR="00AD2A6A">
        <w:rPr>
          <w:rFonts w:cs="David"/>
          <w:rtl/>
        </w:rPr>
        <w:t>השניי</w:t>
      </w:r>
      <w:r w:rsidR="00AD2A6A">
        <w:rPr>
          <w:rFonts w:cs="David" w:hint="eastAsia"/>
          <w:rtl/>
        </w:rPr>
        <w:t>ה</w:t>
      </w:r>
      <w:r w:rsidR="005B45A9">
        <w:rPr>
          <w:rFonts w:cs="David"/>
          <w:rtl/>
        </w:rPr>
        <w:t xml:space="preserve"> של </w:t>
      </w:r>
      <w:r w:rsidR="00473F08">
        <w:rPr>
          <w:rFonts w:cs="David"/>
          <w:rtl/>
        </w:rPr>
        <w:t>אפריל</w:t>
      </w:r>
      <w:r w:rsidR="00045601">
        <w:rPr>
          <w:rFonts w:cs="David"/>
          <w:rtl/>
        </w:rPr>
        <w:t xml:space="preserve"> </w:t>
      </w:r>
      <w:r w:rsidR="00473F08">
        <w:rPr>
          <w:rFonts w:cs="David"/>
          <w:rtl/>
        </w:rPr>
        <w:t xml:space="preserve">ובמהלך מאי, </w:t>
      </w:r>
      <w:r w:rsidR="00BA3917">
        <w:rPr>
          <w:rFonts w:cs="David"/>
          <w:rtl/>
        </w:rPr>
        <w:t xml:space="preserve">החל תהליך של </w:t>
      </w:r>
      <w:r w:rsidR="00DD7A99">
        <w:rPr>
          <w:rFonts w:cs="David"/>
          <w:rtl/>
        </w:rPr>
        <w:t>עלייה ב</w:t>
      </w:r>
      <w:r w:rsidR="001D4673">
        <w:rPr>
          <w:rFonts w:cs="David"/>
          <w:rtl/>
        </w:rPr>
        <w:t xml:space="preserve">פעילות </w:t>
      </w:r>
      <w:r w:rsidR="00DD7A99">
        <w:rPr>
          <w:rFonts w:cs="David"/>
          <w:rtl/>
        </w:rPr>
        <w:t>במרבית ענפי המשק</w:t>
      </w:r>
      <w:r w:rsidR="00045601">
        <w:rPr>
          <w:rFonts w:cs="David"/>
          <w:rtl/>
        </w:rPr>
        <w:t xml:space="preserve"> ו</w:t>
      </w:r>
      <w:r w:rsidR="00C11929">
        <w:rPr>
          <w:rFonts w:cs="David"/>
          <w:rtl/>
        </w:rPr>
        <w:t xml:space="preserve">תחילת </w:t>
      </w:r>
      <w:r w:rsidR="00045601">
        <w:rPr>
          <w:rFonts w:cs="David"/>
          <w:rtl/>
        </w:rPr>
        <w:t>חזרה לפעילות כלכלית סדירה</w:t>
      </w:r>
      <w:r w:rsidR="001D4673">
        <w:rPr>
          <w:rFonts w:cs="David"/>
          <w:rtl/>
        </w:rPr>
        <w:t>.</w:t>
      </w:r>
      <w:r w:rsidR="00045601">
        <w:rPr>
          <w:rFonts w:cs="David"/>
          <w:rtl/>
        </w:rPr>
        <w:t xml:space="preserve"> </w:t>
      </w:r>
      <w:r w:rsidR="005B45A9">
        <w:rPr>
          <w:rFonts w:cs="David"/>
          <w:rtl/>
        </w:rPr>
        <w:t xml:space="preserve">שינוי </w:t>
      </w:r>
      <w:r w:rsidR="001E4D5E">
        <w:rPr>
          <w:rFonts w:cs="David"/>
          <w:rtl/>
        </w:rPr>
        <w:t xml:space="preserve">זה </w:t>
      </w:r>
      <w:r w:rsidR="005B45A9">
        <w:rPr>
          <w:rFonts w:cs="David"/>
          <w:rtl/>
        </w:rPr>
        <w:t xml:space="preserve">מתבטא </w:t>
      </w:r>
      <w:r w:rsidR="001E4D5E">
        <w:rPr>
          <w:rFonts w:cs="David"/>
          <w:rtl/>
        </w:rPr>
        <w:t xml:space="preserve">בצורה </w:t>
      </w:r>
      <w:r w:rsidR="00092FED">
        <w:rPr>
          <w:rFonts w:cs="David"/>
          <w:rtl/>
        </w:rPr>
        <w:t xml:space="preserve">החזקה </w:t>
      </w:r>
      <w:r w:rsidR="001E4D5E">
        <w:rPr>
          <w:rFonts w:cs="David"/>
          <w:rtl/>
        </w:rPr>
        <w:t xml:space="preserve">ביותר </w:t>
      </w:r>
      <w:r w:rsidR="005B45A9">
        <w:rPr>
          <w:rFonts w:cs="David"/>
          <w:rtl/>
        </w:rPr>
        <w:t>ב</w:t>
      </w:r>
      <w:r w:rsidR="005B45A9" w:rsidRPr="005D09FC">
        <w:rPr>
          <w:rFonts w:cs="David"/>
          <w:rtl/>
        </w:rPr>
        <w:t xml:space="preserve">מדד </w:t>
      </w:r>
      <w:r w:rsidR="001E4D5E" w:rsidRPr="005D09FC">
        <w:rPr>
          <w:rFonts w:cs="David"/>
          <w:rtl/>
        </w:rPr>
        <w:t>הפדיון במסחר</w:t>
      </w:r>
      <w:r w:rsidR="001E4D5E" w:rsidRPr="005D09FC">
        <w:rPr>
          <w:rFonts w:cs="David"/>
          <w:i/>
          <w:rtl/>
        </w:rPr>
        <w:t xml:space="preserve"> הקמעונאי</w:t>
      </w:r>
      <w:r w:rsidR="001E4D5E">
        <w:rPr>
          <w:rFonts w:cs="David"/>
          <w:i/>
          <w:rtl/>
        </w:rPr>
        <w:t>, ש</w:t>
      </w:r>
      <w:r w:rsidR="00E56507">
        <w:rPr>
          <w:rFonts w:cs="David"/>
          <w:i/>
          <w:rtl/>
        </w:rPr>
        <w:t xml:space="preserve">לאחר </w:t>
      </w:r>
      <w:r w:rsidR="001E4D5E">
        <w:rPr>
          <w:rFonts w:cs="David"/>
          <w:i/>
          <w:rtl/>
        </w:rPr>
        <w:t xml:space="preserve">עלייתו החדה בחודש מאי רמתו נותרה </w:t>
      </w:r>
      <w:r w:rsidR="00E56507">
        <w:rPr>
          <w:rFonts w:cs="David"/>
          <w:i/>
          <w:rtl/>
        </w:rPr>
        <w:t xml:space="preserve">נמוכה </w:t>
      </w:r>
      <w:r w:rsidR="001E4D5E">
        <w:rPr>
          <w:rFonts w:cs="David"/>
          <w:i/>
          <w:rtl/>
        </w:rPr>
        <w:t xml:space="preserve">רק </w:t>
      </w:r>
      <w:r w:rsidR="00E56507">
        <w:rPr>
          <w:rFonts w:cs="David"/>
          <w:i/>
          <w:rtl/>
        </w:rPr>
        <w:t>ב-</w:t>
      </w:r>
      <w:r w:rsidR="001E4D5E">
        <w:rPr>
          <w:rFonts w:cs="David"/>
          <w:i/>
          <w:rtl/>
        </w:rPr>
        <w:t xml:space="preserve">5% </w:t>
      </w:r>
      <w:r w:rsidR="00E56507">
        <w:rPr>
          <w:rFonts w:cs="David"/>
          <w:i/>
          <w:rtl/>
        </w:rPr>
        <w:t>מ</w:t>
      </w:r>
      <w:r w:rsidR="002517A7">
        <w:rPr>
          <w:rFonts w:cs="David"/>
          <w:i/>
          <w:rtl/>
        </w:rPr>
        <w:t>רמתו בפברואר, לפני פרוץ נגיף הקורונה בישראל.</w:t>
      </w:r>
      <w:r w:rsidR="003B6FCB">
        <w:rPr>
          <w:rFonts w:cs="David"/>
          <w:rtl/>
        </w:rPr>
        <w:t xml:space="preserve"> </w:t>
      </w:r>
      <w:r w:rsidR="00B34DD7">
        <w:rPr>
          <w:rFonts w:cs="David"/>
          <w:rtl/>
        </w:rPr>
        <w:t>שינוי זה גם נראה בעדכון של המדד המשולב לחודש מאי שמראה שהמשק המשיך להתכווץ במאי, אך בקצב משמעותית איטי מאשר באפריל.</w:t>
      </w:r>
      <w:r w:rsidR="001642C1">
        <w:rPr>
          <w:rFonts w:cs="David"/>
          <w:rtl/>
        </w:rPr>
        <w:t xml:space="preserve"> </w:t>
      </w:r>
    </w:p>
    <w:p w:rsidR="00D02B93" w:rsidRDefault="00D02B93" w:rsidP="00D02B93">
      <w:pPr>
        <w:bidi/>
        <w:spacing w:line="360" w:lineRule="auto"/>
        <w:ind w:right="-57"/>
        <w:jc w:val="both"/>
        <w:rPr>
          <w:rFonts w:cs="David" w:hint="default"/>
          <w:rtl/>
        </w:rPr>
      </w:pPr>
    </w:p>
    <w:p w:rsidR="001642C1" w:rsidRDefault="001E55EF" w:rsidP="00A71939">
      <w:pPr>
        <w:bidi/>
        <w:spacing w:line="360" w:lineRule="auto"/>
        <w:jc w:val="both"/>
        <w:rPr>
          <w:rFonts w:hint="default"/>
          <w:lang w:eastAsia="en-US"/>
        </w:rPr>
      </w:pPr>
      <w:r>
        <w:rPr>
          <w:rFonts w:cs="David"/>
          <w:rtl/>
        </w:rPr>
        <w:t xml:space="preserve">עליית </w:t>
      </w:r>
      <w:r w:rsidR="00CE28C9">
        <w:rPr>
          <w:rFonts w:cs="David"/>
          <w:rtl/>
        </w:rPr>
        <w:t>המדד</w:t>
      </w:r>
      <w:r w:rsidR="00762C7E">
        <w:rPr>
          <w:rFonts w:cs="David"/>
          <w:rtl/>
        </w:rPr>
        <w:t xml:space="preserve"> המשולב</w:t>
      </w:r>
      <w:r w:rsidR="00CE28C9">
        <w:rPr>
          <w:rFonts w:cs="David"/>
          <w:rtl/>
        </w:rPr>
        <w:t xml:space="preserve"> משקפת </w:t>
      </w:r>
      <w:r>
        <w:rPr>
          <w:rFonts w:cs="David"/>
          <w:rtl/>
        </w:rPr>
        <w:t xml:space="preserve">עלייה </w:t>
      </w:r>
      <w:r w:rsidR="00CE28C9">
        <w:rPr>
          <w:rFonts w:cs="David"/>
          <w:rtl/>
        </w:rPr>
        <w:t>במרבית הרכיבים</w:t>
      </w:r>
      <w:r w:rsidR="006B7509">
        <w:rPr>
          <w:rFonts w:cs="David"/>
          <w:rtl/>
        </w:rPr>
        <w:t xml:space="preserve"> בחודש מאי</w:t>
      </w:r>
      <w:r w:rsidR="00CE28C9">
        <w:rPr>
          <w:rFonts w:cs="David"/>
          <w:rtl/>
        </w:rPr>
        <w:t xml:space="preserve">, ובראשם </w:t>
      </w:r>
      <w:r>
        <w:rPr>
          <w:rFonts w:cs="David"/>
          <w:rtl/>
        </w:rPr>
        <w:t xml:space="preserve">עלייה חדה במדד פדיון המסחר הקמעונאי ועלייה במדד </w:t>
      </w:r>
      <w:r w:rsidR="00AD2A6A">
        <w:rPr>
          <w:rFonts w:cs="David"/>
          <w:rtl/>
        </w:rPr>
        <w:t>ה</w:t>
      </w:r>
      <w:r>
        <w:rPr>
          <w:rFonts w:cs="David"/>
          <w:rtl/>
        </w:rPr>
        <w:t xml:space="preserve">פדיון </w:t>
      </w:r>
      <w:r w:rsidR="00AD2A6A">
        <w:rPr>
          <w:rFonts w:cs="David"/>
          <w:rtl/>
        </w:rPr>
        <w:t>בשירותים</w:t>
      </w:r>
      <w:r w:rsidR="00D02B93">
        <w:rPr>
          <w:rFonts w:cs="David"/>
          <w:rtl/>
        </w:rPr>
        <w:t xml:space="preserve">, </w:t>
      </w:r>
      <w:r>
        <w:rPr>
          <w:rFonts w:cs="David"/>
          <w:rtl/>
        </w:rPr>
        <w:t>מדד הייצור התעשייתי</w:t>
      </w:r>
      <w:r w:rsidR="00D02B93">
        <w:rPr>
          <w:rFonts w:cs="David"/>
          <w:rtl/>
        </w:rPr>
        <w:t xml:space="preserve"> ויצוא השירותים</w:t>
      </w:r>
      <w:r w:rsidR="006B7509">
        <w:rPr>
          <w:rFonts w:cs="David"/>
          <w:rtl/>
        </w:rPr>
        <w:t>.</w:t>
      </w:r>
      <w:r w:rsidR="00BA3917">
        <w:rPr>
          <w:rFonts w:cs="David"/>
          <w:rtl/>
        </w:rPr>
        <w:t xml:space="preserve"> היא גם משקפת עליות </w:t>
      </w:r>
      <w:r w:rsidR="00C11929">
        <w:rPr>
          <w:rFonts w:cs="David"/>
          <w:rtl/>
        </w:rPr>
        <w:t xml:space="preserve">ביוני </w:t>
      </w:r>
      <w:r w:rsidR="00BA3917">
        <w:rPr>
          <w:rFonts w:cs="David"/>
          <w:rtl/>
        </w:rPr>
        <w:t>במרבית הרכיבים שדווחו עד כה</w:t>
      </w:r>
      <w:r w:rsidR="00C11929">
        <w:rPr>
          <w:rFonts w:cs="David"/>
          <w:rtl/>
        </w:rPr>
        <w:t xml:space="preserve">, ביניהם המשך התאוששות </w:t>
      </w:r>
      <w:r w:rsidR="006B7509">
        <w:rPr>
          <w:rFonts w:cs="David"/>
          <w:rtl/>
        </w:rPr>
        <w:t xml:space="preserve">שיעור המשרות הפנויות מהירידה החדה בו בשיא המשבר </w:t>
      </w:r>
      <w:r w:rsidR="00BA3917">
        <w:rPr>
          <w:rFonts w:cs="David"/>
          <w:rtl/>
        </w:rPr>
        <w:t>ו</w:t>
      </w:r>
      <w:r w:rsidR="00C11929">
        <w:rPr>
          <w:rFonts w:cs="David"/>
          <w:rtl/>
        </w:rPr>
        <w:t>עלייה ב</w:t>
      </w:r>
      <w:r w:rsidR="00416B4D">
        <w:rPr>
          <w:rFonts w:cs="David"/>
          <w:rtl/>
        </w:rPr>
        <w:t xml:space="preserve">יבוא מוצרי הצריכה </w:t>
      </w:r>
      <w:r w:rsidR="00C11929">
        <w:rPr>
          <w:rFonts w:cs="David"/>
          <w:rtl/>
        </w:rPr>
        <w:t>אחרי</w:t>
      </w:r>
      <w:r w:rsidR="00416B4D">
        <w:rPr>
          <w:rFonts w:cs="David"/>
          <w:rtl/>
        </w:rPr>
        <w:t xml:space="preserve"> ירידה בחודשים ינואר-מאי, איתות לתחילת התאוששות בצריכה הפרטית.</w:t>
      </w:r>
      <w:r w:rsidR="00350721">
        <w:rPr>
          <w:rFonts w:cs="David" w:hint="default"/>
        </w:rPr>
        <w:t xml:space="preserve"> </w:t>
      </w:r>
      <w:r w:rsidR="00C37610">
        <w:rPr>
          <w:rFonts w:cs="David"/>
          <w:rtl/>
        </w:rPr>
        <w:t>לצד אלה,</w:t>
      </w:r>
      <w:r w:rsidR="00350721">
        <w:rPr>
          <w:rFonts w:cs="David" w:hint="default"/>
        </w:rPr>
        <w:t xml:space="preserve"> </w:t>
      </w:r>
      <w:r w:rsidR="001D4673">
        <w:rPr>
          <w:rFonts w:cs="David"/>
          <w:rtl/>
        </w:rPr>
        <w:t xml:space="preserve">הצטברות ההשפעה השלילית של האינדיקאטורים השונים בחודשים </w:t>
      </w:r>
      <w:r w:rsidR="003B6FCB">
        <w:rPr>
          <w:rFonts w:cs="David"/>
          <w:rtl/>
        </w:rPr>
        <w:t>מרץ-</w:t>
      </w:r>
      <w:r w:rsidR="0022111F">
        <w:rPr>
          <w:rFonts w:cs="David"/>
          <w:rtl/>
        </w:rPr>
        <w:t xml:space="preserve">אפריל </w:t>
      </w:r>
      <w:r w:rsidR="001D4673">
        <w:rPr>
          <w:rFonts w:cs="David"/>
          <w:rtl/>
        </w:rPr>
        <w:t>על רכיב המגמה של המדד</w:t>
      </w:r>
      <w:r w:rsidR="001D4673">
        <w:rPr>
          <w:rStyle w:val="a5"/>
          <w:rFonts w:cs="David" w:hint="default"/>
          <w:rtl/>
        </w:rPr>
        <w:footnoteReference w:id="1"/>
      </w:r>
      <w:r w:rsidR="001D4673">
        <w:rPr>
          <w:rFonts w:cs="David"/>
          <w:rtl/>
        </w:rPr>
        <w:t xml:space="preserve">, מיתנה את עלייתו. </w:t>
      </w:r>
      <w:r w:rsidR="001D4673" w:rsidRPr="004E3C72">
        <w:rPr>
          <w:rFonts w:cs="David"/>
          <w:rtl/>
        </w:rPr>
        <w:t>לוח 2 מציג את התפתחות רכיבי המדד בחודשים האחרונים.</w:t>
      </w:r>
      <w:r w:rsidR="001642C1" w:rsidRPr="001642C1">
        <w:rPr>
          <w:rFonts w:ascii="David" w:hAnsi="David" w:cs="David"/>
          <w:rtl/>
        </w:rPr>
        <w:t xml:space="preserve"> </w:t>
      </w:r>
    </w:p>
    <w:p w:rsidR="001E55EF" w:rsidRPr="001642C1" w:rsidRDefault="001E55EF" w:rsidP="00F84449">
      <w:pPr>
        <w:bidi/>
        <w:spacing w:line="360" w:lineRule="auto"/>
        <w:ind w:right="-57"/>
        <w:jc w:val="both"/>
        <w:rPr>
          <w:rFonts w:cs="David" w:hint="default"/>
          <w:rtl/>
        </w:rPr>
      </w:pPr>
    </w:p>
    <w:p w:rsidR="00511AE6" w:rsidRDefault="00511AE6" w:rsidP="00511AE6">
      <w:pPr>
        <w:bidi/>
        <w:spacing w:line="360" w:lineRule="auto"/>
        <w:ind w:right="-57"/>
        <w:jc w:val="both"/>
        <w:rPr>
          <w:rFonts w:cs="David"/>
          <w:rtl/>
        </w:rPr>
      </w:pPr>
    </w:p>
    <w:p w:rsidR="005F4F8E" w:rsidRDefault="005F4F8E" w:rsidP="00FE1622">
      <w:pPr>
        <w:bidi/>
        <w:spacing w:line="360" w:lineRule="auto"/>
        <w:ind w:right="-57"/>
        <w:jc w:val="both"/>
        <w:rPr>
          <w:rFonts w:cs="David" w:hint="default"/>
          <w:rtl/>
        </w:rPr>
      </w:pPr>
      <w:r>
        <w:rPr>
          <w:rFonts w:cs="David"/>
          <w:rtl/>
        </w:rPr>
        <w:t xml:space="preserve">הסברים מפורטים לגבי אופן חישוב המדד המשולב וכן לוחות מפורטים ארוכי טווח ניתן למצוא בקישור: </w:t>
      </w:r>
      <w:hyperlink r:id="rId12" w:history="1">
        <w:r>
          <w:rPr>
            <w:rStyle w:val="Hyperlink"/>
          </w:rPr>
          <w:t>https://www.boi.org.il/he/Research/Pages/ind.aspx</w:t>
        </w:r>
      </w:hyperlink>
    </w:p>
    <w:bookmarkEnd w:id="0"/>
    <w:p w:rsidR="00841F1A" w:rsidRPr="00947B41" w:rsidRDefault="0011689C" w:rsidP="00E0201D">
      <w:pPr>
        <w:pStyle w:val="1"/>
        <w:bidi/>
        <w:rPr>
          <w:rFonts w:hint="default"/>
          <w:rtl/>
        </w:rPr>
      </w:pPr>
      <w:r w:rsidRPr="00947B41">
        <w:rPr>
          <w:rtl/>
        </w:rPr>
        <w:lastRenderedPageBreak/>
        <w:t>לוח 1</w:t>
      </w:r>
      <w:r w:rsidR="00451420" w:rsidRPr="00947B41">
        <w:rPr>
          <w:rtl/>
        </w:rPr>
        <w:t xml:space="preserve">: </w:t>
      </w:r>
      <w:r w:rsidR="00841F1A" w:rsidRPr="00947B41">
        <w:rPr>
          <w:rtl/>
        </w:rPr>
        <w:t>עדכונים לאחור במדד המשולב</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עדכונים לאחור במדד המשולב"/>
        <w:tblDescription w:val="עדכונים לאחור במדד המשולב"/>
      </w:tblPr>
      <w:tblGrid>
        <w:gridCol w:w="2282"/>
        <w:gridCol w:w="1086"/>
        <w:gridCol w:w="1033"/>
      </w:tblGrid>
      <w:tr w:rsidR="0011689C" w:rsidRPr="00947B41" w:rsidTr="00E0201D">
        <w:trPr>
          <w:trHeight w:hRule="exact" w:val="479"/>
          <w:tblHeader/>
        </w:trPr>
        <w:tc>
          <w:tcPr>
            <w:tcW w:w="0" w:type="auto"/>
            <w:vAlign w:val="bottom"/>
          </w:tcPr>
          <w:p w:rsidR="0011689C" w:rsidRPr="00BD36C8" w:rsidRDefault="0011689C" w:rsidP="00317000">
            <w:pPr>
              <w:pStyle w:val="a3"/>
              <w:spacing w:line="240" w:lineRule="auto"/>
              <w:ind w:left="0" w:firstLine="0"/>
              <w:jc w:val="left"/>
            </w:pPr>
            <w:r w:rsidRPr="00BD36C8">
              <w:rPr>
                <w:rFonts w:hint="cs"/>
                <w:b/>
                <w:bCs/>
                <w:rtl/>
              </w:rPr>
              <w:t xml:space="preserve">עדכון </w:t>
            </w:r>
            <w:r w:rsidRPr="00BD36C8">
              <w:rPr>
                <w:b/>
                <w:bCs/>
                <w:rtl/>
              </w:rPr>
              <w:t>משולב (באחוזים)</w:t>
            </w:r>
          </w:p>
        </w:tc>
        <w:tc>
          <w:tcPr>
            <w:tcW w:w="0" w:type="auto"/>
            <w:vAlign w:val="bottom"/>
          </w:tcPr>
          <w:p w:rsidR="0011689C" w:rsidRPr="00BD36C8" w:rsidRDefault="0011689C" w:rsidP="00317000">
            <w:pPr>
              <w:pStyle w:val="a3"/>
              <w:spacing w:line="240" w:lineRule="auto"/>
              <w:ind w:left="0" w:firstLine="0"/>
              <w:jc w:val="left"/>
              <w:rPr>
                <w:b/>
                <w:bCs/>
              </w:rPr>
            </w:pPr>
            <w:r w:rsidRPr="00BD36C8">
              <w:rPr>
                <w:rFonts w:hint="cs"/>
                <w:b/>
                <w:bCs/>
                <w:rtl/>
              </w:rPr>
              <w:t>נתון קודם</w:t>
            </w:r>
          </w:p>
        </w:tc>
        <w:tc>
          <w:tcPr>
            <w:tcW w:w="0" w:type="auto"/>
            <w:vAlign w:val="bottom"/>
          </w:tcPr>
          <w:p w:rsidR="0011689C" w:rsidRPr="00583639" w:rsidRDefault="0011689C" w:rsidP="00E0201D">
            <w:pPr>
              <w:pStyle w:val="a3"/>
              <w:tabs>
                <w:tab w:val="center" w:pos="886"/>
              </w:tabs>
              <w:bidi w:val="0"/>
              <w:spacing w:line="240" w:lineRule="auto"/>
              <w:ind w:left="0" w:firstLine="0"/>
              <w:jc w:val="left"/>
              <w:rPr>
                <w:b/>
                <w:bCs/>
                <w:rtl/>
              </w:rPr>
            </w:pPr>
            <w:r w:rsidRPr="00251F57">
              <w:rPr>
                <w:rFonts w:hint="cs"/>
                <w:b/>
                <w:bCs/>
                <w:rtl/>
              </w:rPr>
              <w:t>נתון חדש</w:t>
            </w:r>
          </w:p>
        </w:tc>
      </w:tr>
      <w:tr w:rsidR="00AB44DC" w:rsidRPr="00947B41" w:rsidTr="00E0201D">
        <w:trPr>
          <w:trHeight w:hRule="exact" w:val="397"/>
          <w:tblHeader/>
        </w:trPr>
        <w:tc>
          <w:tcPr>
            <w:tcW w:w="0" w:type="auto"/>
            <w:vAlign w:val="bottom"/>
          </w:tcPr>
          <w:p w:rsidR="00AB44DC" w:rsidRPr="00BD36C8" w:rsidRDefault="00B02998" w:rsidP="00AF4403">
            <w:pPr>
              <w:bidi/>
              <w:rPr>
                <w:rFonts w:cs="David" w:hint="default"/>
                <w:rtl/>
              </w:rPr>
            </w:pPr>
            <w:r w:rsidRPr="00251F57">
              <w:rPr>
                <w:rFonts w:cs="David"/>
                <w:rtl/>
              </w:rPr>
              <w:t>יוני</w:t>
            </w:r>
          </w:p>
        </w:tc>
        <w:tc>
          <w:tcPr>
            <w:tcW w:w="0" w:type="auto"/>
            <w:vAlign w:val="bottom"/>
          </w:tcPr>
          <w:p w:rsidR="00AB44DC" w:rsidRPr="00BD36C8" w:rsidRDefault="00AB44DC" w:rsidP="00EF3A9E">
            <w:pPr>
              <w:pStyle w:val="a3"/>
              <w:spacing w:after="0" w:line="240" w:lineRule="auto"/>
              <w:ind w:left="0" w:firstLine="0"/>
              <w:jc w:val="center"/>
              <w:rPr>
                <w:rFonts w:ascii="David" w:hAnsi="David"/>
                <w:sz w:val="24"/>
                <w:rtl/>
              </w:rPr>
            </w:pPr>
          </w:p>
        </w:tc>
        <w:tc>
          <w:tcPr>
            <w:tcW w:w="0" w:type="auto"/>
            <w:vAlign w:val="bottom"/>
          </w:tcPr>
          <w:p w:rsidR="00AB44DC" w:rsidRPr="009307ED" w:rsidRDefault="0021553A" w:rsidP="00A44E44">
            <w:pPr>
              <w:pStyle w:val="a3"/>
              <w:bidi w:val="0"/>
              <w:spacing w:after="0" w:line="240" w:lineRule="auto"/>
              <w:ind w:left="0" w:firstLine="0"/>
              <w:jc w:val="center"/>
              <w:rPr>
                <w:rFonts w:ascii="David" w:hAnsi="David"/>
                <w:sz w:val="24"/>
              </w:rPr>
            </w:pPr>
            <w:r>
              <w:rPr>
                <w:rFonts w:ascii="David" w:hAnsi="David" w:hint="cs"/>
                <w:sz w:val="24"/>
                <w:rtl/>
              </w:rPr>
              <w:t>0.03</w:t>
            </w:r>
          </w:p>
        </w:tc>
      </w:tr>
      <w:tr w:rsidR="00B02998" w:rsidRPr="00947B41" w:rsidTr="00E0201D">
        <w:trPr>
          <w:trHeight w:hRule="exact" w:val="397"/>
          <w:tblHeader/>
        </w:trPr>
        <w:tc>
          <w:tcPr>
            <w:tcW w:w="0" w:type="auto"/>
            <w:vAlign w:val="bottom"/>
          </w:tcPr>
          <w:p w:rsidR="00B02998" w:rsidRPr="00BD36C8" w:rsidRDefault="00B02998" w:rsidP="00B02998">
            <w:pPr>
              <w:bidi/>
              <w:rPr>
                <w:rFonts w:cs="David" w:hint="default"/>
                <w:rtl/>
              </w:rPr>
            </w:pPr>
            <w:r w:rsidRPr="00BD36C8">
              <w:rPr>
                <w:rFonts w:cs="David"/>
                <w:rtl/>
              </w:rPr>
              <w:t>מאי</w:t>
            </w:r>
          </w:p>
        </w:tc>
        <w:tc>
          <w:tcPr>
            <w:tcW w:w="0" w:type="auto"/>
            <w:vAlign w:val="bottom"/>
          </w:tcPr>
          <w:p w:rsidR="00B02998" w:rsidRPr="00BD36C8" w:rsidRDefault="00B02998" w:rsidP="00B02998">
            <w:pPr>
              <w:pStyle w:val="a3"/>
              <w:bidi w:val="0"/>
              <w:spacing w:after="0" w:line="240" w:lineRule="auto"/>
              <w:ind w:left="0" w:firstLine="0"/>
              <w:jc w:val="center"/>
              <w:rPr>
                <w:rFonts w:ascii="David" w:hAnsi="David"/>
                <w:sz w:val="24"/>
              </w:rPr>
            </w:pPr>
            <w:r w:rsidRPr="00BD36C8">
              <w:rPr>
                <w:rFonts w:ascii="David" w:hAnsi="David" w:hint="cs"/>
                <w:sz w:val="24"/>
                <w:rtl/>
              </w:rPr>
              <w:t>1.80-</w:t>
            </w:r>
          </w:p>
        </w:tc>
        <w:tc>
          <w:tcPr>
            <w:tcW w:w="0" w:type="auto"/>
            <w:vAlign w:val="bottom"/>
          </w:tcPr>
          <w:p w:rsidR="00B02998" w:rsidRPr="009307ED" w:rsidRDefault="0021553A" w:rsidP="00DB1480">
            <w:pPr>
              <w:pStyle w:val="a3"/>
              <w:bidi w:val="0"/>
              <w:spacing w:after="0" w:line="240" w:lineRule="auto"/>
              <w:ind w:left="0" w:firstLine="0"/>
              <w:jc w:val="center"/>
              <w:rPr>
                <w:rFonts w:ascii="David" w:hAnsi="David"/>
                <w:sz w:val="24"/>
              </w:rPr>
            </w:pPr>
            <w:r>
              <w:rPr>
                <w:rFonts w:ascii="David" w:hAnsi="David" w:hint="cs"/>
                <w:sz w:val="24"/>
                <w:rtl/>
              </w:rPr>
              <w:t>0.62-</w:t>
            </w:r>
          </w:p>
        </w:tc>
      </w:tr>
      <w:tr w:rsidR="00B02998" w:rsidRPr="00947B41" w:rsidTr="00E0201D">
        <w:trPr>
          <w:trHeight w:hRule="exact" w:val="397"/>
          <w:tblHeader/>
        </w:trPr>
        <w:tc>
          <w:tcPr>
            <w:tcW w:w="0" w:type="auto"/>
            <w:vAlign w:val="bottom"/>
          </w:tcPr>
          <w:p w:rsidR="00B02998" w:rsidRPr="00BD36C8" w:rsidRDefault="00B02998" w:rsidP="00B02998">
            <w:pPr>
              <w:bidi/>
              <w:rPr>
                <w:rFonts w:cs="David" w:hint="default"/>
                <w:rtl/>
              </w:rPr>
            </w:pPr>
            <w:r w:rsidRPr="00BD36C8">
              <w:rPr>
                <w:rFonts w:cs="David"/>
                <w:rtl/>
              </w:rPr>
              <w:t xml:space="preserve">אפריל </w:t>
            </w:r>
          </w:p>
        </w:tc>
        <w:tc>
          <w:tcPr>
            <w:tcW w:w="0" w:type="auto"/>
            <w:vAlign w:val="bottom"/>
          </w:tcPr>
          <w:p w:rsidR="00B02998" w:rsidRPr="00BD36C8" w:rsidRDefault="00B02998" w:rsidP="00B02998">
            <w:pPr>
              <w:pStyle w:val="a3"/>
              <w:bidi w:val="0"/>
              <w:spacing w:after="0" w:line="240" w:lineRule="auto"/>
              <w:ind w:left="0" w:firstLine="0"/>
              <w:jc w:val="center"/>
              <w:rPr>
                <w:rFonts w:ascii="David" w:hAnsi="David"/>
                <w:sz w:val="24"/>
              </w:rPr>
            </w:pPr>
            <w:r w:rsidRPr="00BD36C8">
              <w:rPr>
                <w:rFonts w:ascii="David" w:hAnsi="David"/>
                <w:sz w:val="24"/>
              </w:rPr>
              <w:t>-1.56</w:t>
            </w:r>
          </w:p>
        </w:tc>
        <w:tc>
          <w:tcPr>
            <w:tcW w:w="0" w:type="auto"/>
            <w:vAlign w:val="bottom"/>
          </w:tcPr>
          <w:p w:rsidR="00B02998" w:rsidRPr="009307ED" w:rsidRDefault="00583639" w:rsidP="0021553A">
            <w:pPr>
              <w:pStyle w:val="a3"/>
              <w:bidi w:val="0"/>
              <w:spacing w:after="0" w:line="240" w:lineRule="auto"/>
              <w:ind w:left="0" w:firstLine="0"/>
              <w:jc w:val="center"/>
              <w:rPr>
                <w:rFonts w:ascii="David" w:hAnsi="David"/>
                <w:sz w:val="24"/>
                <w:rtl/>
              </w:rPr>
            </w:pPr>
            <w:r>
              <w:rPr>
                <w:rFonts w:ascii="David" w:hAnsi="David"/>
                <w:sz w:val="24"/>
              </w:rPr>
              <w:t>-1.</w:t>
            </w:r>
            <w:r w:rsidR="0021553A">
              <w:rPr>
                <w:rFonts w:ascii="David" w:hAnsi="David" w:hint="cs"/>
                <w:sz w:val="24"/>
                <w:rtl/>
              </w:rPr>
              <w:t>7</w:t>
            </w:r>
            <w:r w:rsidR="0021553A">
              <w:rPr>
                <w:rFonts w:ascii="David" w:hAnsi="David"/>
                <w:sz w:val="24"/>
              </w:rPr>
              <w:t>0</w:t>
            </w:r>
          </w:p>
        </w:tc>
      </w:tr>
      <w:tr w:rsidR="00B02998" w:rsidRPr="00947B41" w:rsidTr="00E0201D">
        <w:trPr>
          <w:trHeight w:hRule="exact" w:val="397"/>
          <w:tblHeader/>
        </w:trPr>
        <w:tc>
          <w:tcPr>
            <w:tcW w:w="0" w:type="auto"/>
            <w:vAlign w:val="bottom"/>
          </w:tcPr>
          <w:p w:rsidR="00B02998" w:rsidRPr="00BD36C8" w:rsidRDefault="00B02998" w:rsidP="00B02998">
            <w:pPr>
              <w:bidi/>
              <w:rPr>
                <w:rFonts w:cs="David" w:hint="default"/>
                <w:rtl/>
              </w:rPr>
            </w:pPr>
            <w:r w:rsidRPr="00BD36C8">
              <w:rPr>
                <w:rFonts w:cs="David"/>
                <w:rtl/>
              </w:rPr>
              <w:t xml:space="preserve">מרץ </w:t>
            </w:r>
          </w:p>
        </w:tc>
        <w:tc>
          <w:tcPr>
            <w:tcW w:w="0" w:type="auto"/>
            <w:vAlign w:val="bottom"/>
          </w:tcPr>
          <w:p w:rsidR="00B02998" w:rsidRPr="00BD36C8" w:rsidRDefault="00B02998" w:rsidP="00B02998">
            <w:pPr>
              <w:pStyle w:val="a3"/>
              <w:bidi w:val="0"/>
              <w:spacing w:after="0" w:line="240" w:lineRule="auto"/>
              <w:ind w:left="0" w:firstLine="0"/>
              <w:jc w:val="center"/>
              <w:rPr>
                <w:rFonts w:ascii="David" w:hAnsi="David"/>
                <w:sz w:val="24"/>
                <w:rtl/>
              </w:rPr>
            </w:pPr>
            <w:r w:rsidRPr="00BD36C8">
              <w:rPr>
                <w:rFonts w:ascii="David" w:hAnsi="David"/>
                <w:sz w:val="24"/>
              </w:rPr>
              <w:t>-0.66</w:t>
            </w:r>
          </w:p>
        </w:tc>
        <w:tc>
          <w:tcPr>
            <w:tcW w:w="0" w:type="auto"/>
            <w:vAlign w:val="bottom"/>
          </w:tcPr>
          <w:p w:rsidR="00B02998" w:rsidRPr="009307ED" w:rsidRDefault="0021553A" w:rsidP="00511AE6">
            <w:pPr>
              <w:pStyle w:val="a3"/>
              <w:spacing w:after="0" w:line="240" w:lineRule="auto"/>
              <w:ind w:left="0" w:firstLine="0"/>
              <w:jc w:val="center"/>
              <w:rPr>
                <w:rFonts w:ascii="David" w:hAnsi="David"/>
                <w:sz w:val="24"/>
                <w:rtl/>
              </w:rPr>
            </w:pPr>
            <w:r>
              <w:rPr>
                <w:rFonts w:ascii="David" w:hAnsi="David" w:hint="cs"/>
                <w:sz w:val="24"/>
                <w:rtl/>
              </w:rPr>
              <w:t>0.74-</w:t>
            </w:r>
          </w:p>
        </w:tc>
      </w:tr>
    </w:tbl>
    <w:p w:rsidR="00E84169" w:rsidRDefault="00E84169">
      <w:pPr>
        <w:rPr>
          <w:rFonts w:asciiTheme="majorHAnsi" w:eastAsiaTheme="majorEastAsia" w:hAnsiTheme="majorHAnsi" w:cs="David" w:hint="default"/>
          <w:b/>
          <w:bCs/>
          <w:sz w:val="28"/>
          <w:szCs w:val="28"/>
          <w:rtl/>
        </w:rPr>
      </w:pPr>
    </w:p>
    <w:p w:rsidR="00966305" w:rsidRPr="00233716" w:rsidRDefault="00966305" w:rsidP="00D5248A">
      <w:pPr>
        <w:pStyle w:val="1"/>
        <w:bidi/>
        <w:rPr>
          <w:rFonts w:hint="default"/>
          <w:rtl/>
        </w:rPr>
      </w:pPr>
      <w:r w:rsidRPr="00947B41">
        <w:rPr>
          <w:rtl/>
        </w:rPr>
        <w:t>לוח 2: השינויים ברכיבי המדד בחודשים האחרונים</w:t>
      </w:r>
      <w:r w:rsidR="00793856" w:rsidRPr="00793856">
        <w:rPr>
          <w:rStyle w:val="a5"/>
          <w:rFonts w:hint="default"/>
        </w:rPr>
        <w:footnoteReference w:customMarkFollows="1" w:id="2"/>
        <w:sym w:font="Symbol" w:char="F0A8"/>
      </w:r>
    </w:p>
    <w:p w:rsidR="00966305" w:rsidRPr="00947B41" w:rsidRDefault="00966305" w:rsidP="00735BA0">
      <w:pPr>
        <w:autoSpaceDE w:val="0"/>
        <w:autoSpaceDN w:val="0"/>
        <w:bidi/>
        <w:adjustRightInd w:val="0"/>
        <w:rPr>
          <w:rFonts w:cs="David" w:hint="default"/>
          <w:i/>
          <w:sz w:val="16"/>
          <w:szCs w:val="16"/>
          <w:rtl/>
        </w:rPr>
      </w:pPr>
      <w:r w:rsidRPr="00E0201D">
        <w:rPr>
          <w:rFonts w:cs="David"/>
          <w:i/>
          <w:rtl/>
        </w:rPr>
        <w:t>(שיעורי שינוי חודשיים  באחוזים, אלא אם כן צוין אחרת)</w:t>
      </w:r>
      <w:r w:rsidR="00BA0891" w:rsidRPr="00BA0891">
        <w:rPr>
          <w:rStyle w:val="a5"/>
          <w:rFonts w:cs="David" w:hint="default"/>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השינויים ברכיבי המדד בחודשים האחרונים"/>
        <w:tblDescription w:val="השינויים ברכיבי המדד בחודשים האחרונים"/>
      </w:tblPr>
      <w:tblGrid>
        <w:gridCol w:w="4311"/>
        <w:gridCol w:w="990"/>
        <w:gridCol w:w="1017"/>
        <w:gridCol w:w="992"/>
        <w:gridCol w:w="992"/>
      </w:tblGrid>
      <w:tr w:rsidR="00B02998" w:rsidRPr="00947B41" w:rsidTr="00F51EB0">
        <w:trPr>
          <w:tblHeader/>
        </w:trPr>
        <w:tc>
          <w:tcPr>
            <w:tcW w:w="4311" w:type="dxa"/>
            <w:shd w:val="clear" w:color="auto" w:fill="auto"/>
          </w:tcPr>
          <w:p w:rsidR="00B02998" w:rsidRPr="005D09FC" w:rsidRDefault="00B02998" w:rsidP="00B02998">
            <w:pPr>
              <w:autoSpaceDE w:val="0"/>
              <w:autoSpaceDN w:val="0"/>
              <w:bidi/>
              <w:adjustRightInd w:val="0"/>
              <w:spacing w:line="480" w:lineRule="auto"/>
              <w:jc w:val="center"/>
              <w:rPr>
                <w:rFonts w:cs="David" w:hint="default"/>
                <w:i/>
                <w:rtl/>
              </w:rPr>
            </w:pPr>
          </w:p>
        </w:tc>
        <w:tc>
          <w:tcPr>
            <w:tcW w:w="990" w:type="dxa"/>
            <w:shd w:val="clear" w:color="auto" w:fill="auto"/>
            <w:vAlign w:val="bottom"/>
          </w:tcPr>
          <w:p w:rsidR="00B02998" w:rsidRPr="00BD36C8" w:rsidRDefault="00B02998" w:rsidP="00B02998">
            <w:pPr>
              <w:autoSpaceDE w:val="0"/>
              <w:autoSpaceDN w:val="0"/>
              <w:bidi/>
              <w:adjustRightInd w:val="0"/>
              <w:spacing w:line="276" w:lineRule="auto"/>
              <w:jc w:val="center"/>
              <w:rPr>
                <w:rFonts w:cs="David" w:hint="default"/>
                <w:b/>
                <w:bCs/>
                <w:iCs/>
                <w:highlight w:val="yellow"/>
                <w:rtl/>
              </w:rPr>
            </w:pPr>
            <w:r w:rsidRPr="00F81B88">
              <w:rPr>
                <w:rFonts w:cs="David"/>
                <w:b/>
                <w:bCs/>
                <w:iCs/>
                <w:rtl/>
              </w:rPr>
              <w:t>יוני</w:t>
            </w:r>
          </w:p>
        </w:tc>
        <w:tc>
          <w:tcPr>
            <w:tcW w:w="1017" w:type="dxa"/>
            <w:shd w:val="clear" w:color="auto" w:fill="auto"/>
            <w:vAlign w:val="bottom"/>
          </w:tcPr>
          <w:p w:rsidR="00B02998" w:rsidRPr="00BD36C8" w:rsidRDefault="00B02998" w:rsidP="00B02998">
            <w:pPr>
              <w:autoSpaceDE w:val="0"/>
              <w:autoSpaceDN w:val="0"/>
              <w:bidi/>
              <w:adjustRightInd w:val="0"/>
              <w:spacing w:line="276" w:lineRule="auto"/>
              <w:jc w:val="center"/>
              <w:rPr>
                <w:rFonts w:cs="David" w:hint="default"/>
                <w:b/>
                <w:bCs/>
                <w:iCs/>
                <w:rtl/>
              </w:rPr>
            </w:pPr>
            <w:r w:rsidRPr="00BD36C8">
              <w:rPr>
                <w:rFonts w:cs="David"/>
                <w:b/>
                <w:bCs/>
                <w:iCs/>
                <w:rtl/>
              </w:rPr>
              <w:t>מאי</w:t>
            </w:r>
          </w:p>
        </w:tc>
        <w:tc>
          <w:tcPr>
            <w:tcW w:w="992" w:type="dxa"/>
            <w:shd w:val="clear" w:color="auto" w:fill="auto"/>
            <w:vAlign w:val="bottom"/>
          </w:tcPr>
          <w:p w:rsidR="00B02998" w:rsidRPr="00BD36C8" w:rsidRDefault="00B02998" w:rsidP="00B02998">
            <w:pPr>
              <w:autoSpaceDE w:val="0"/>
              <w:autoSpaceDN w:val="0"/>
              <w:bidi/>
              <w:adjustRightInd w:val="0"/>
              <w:spacing w:line="276" w:lineRule="auto"/>
              <w:jc w:val="center"/>
              <w:rPr>
                <w:rFonts w:cs="David" w:hint="default"/>
                <w:b/>
                <w:bCs/>
                <w:iCs/>
                <w:rtl/>
              </w:rPr>
            </w:pPr>
            <w:r w:rsidRPr="00BD36C8">
              <w:rPr>
                <w:rFonts w:cs="David"/>
                <w:b/>
                <w:bCs/>
                <w:iCs/>
                <w:rtl/>
              </w:rPr>
              <w:t>אפריל</w:t>
            </w:r>
          </w:p>
        </w:tc>
        <w:tc>
          <w:tcPr>
            <w:tcW w:w="992" w:type="dxa"/>
            <w:shd w:val="clear" w:color="auto" w:fill="auto"/>
            <w:vAlign w:val="bottom"/>
          </w:tcPr>
          <w:p w:rsidR="00B02998" w:rsidRPr="00BD36C8" w:rsidRDefault="00B02998" w:rsidP="00B02998">
            <w:pPr>
              <w:autoSpaceDE w:val="0"/>
              <w:autoSpaceDN w:val="0"/>
              <w:bidi/>
              <w:adjustRightInd w:val="0"/>
              <w:spacing w:line="276" w:lineRule="auto"/>
              <w:jc w:val="center"/>
              <w:rPr>
                <w:rFonts w:cs="David" w:hint="default"/>
                <w:b/>
                <w:bCs/>
                <w:iCs/>
                <w:rtl/>
              </w:rPr>
            </w:pPr>
            <w:r w:rsidRPr="00BD36C8">
              <w:rPr>
                <w:rFonts w:cs="David"/>
                <w:b/>
                <w:bCs/>
                <w:iCs/>
                <w:rtl/>
              </w:rPr>
              <w:t>מרץ</w:t>
            </w:r>
          </w:p>
        </w:tc>
      </w:tr>
      <w:tr w:rsidR="00583639" w:rsidRPr="00947B41" w:rsidTr="00F51EB0">
        <w:trPr>
          <w:trHeight w:val="340"/>
          <w:tblHeader/>
        </w:trPr>
        <w:tc>
          <w:tcPr>
            <w:tcW w:w="4311" w:type="dxa"/>
            <w:shd w:val="clear" w:color="auto" w:fill="auto"/>
            <w:vAlign w:val="center"/>
          </w:tcPr>
          <w:p w:rsidR="00583639" w:rsidRPr="005D09FC" w:rsidRDefault="00583639" w:rsidP="00B22B59">
            <w:pPr>
              <w:autoSpaceDE w:val="0"/>
              <w:autoSpaceDN w:val="0"/>
              <w:bidi/>
              <w:adjustRightInd w:val="0"/>
              <w:rPr>
                <w:rFonts w:cs="David" w:hint="default"/>
                <w:i/>
                <w:rtl/>
              </w:rPr>
            </w:pPr>
            <w:r w:rsidRPr="005D09FC">
              <w:rPr>
                <w:rFonts w:cs="David"/>
                <w:rtl/>
              </w:rPr>
              <w:t xml:space="preserve">מדד הייצור התעשייתי </w:t>
            </w:r>
            <w:r w:rsidRPr="005D09FC">
              <w:rPr>
                <w:rFonts w:cs="David"/>
                <w:i/>
                <w:rtl/>
              </w:rPr>
              <w:t>(ללא כריה וחציבה</w:t>
            </w:r>
            <w:r w:rsidR="00B22B59" w:rsidRPr="005D09FC">
              <w:rPr>
                <w:rFonts w:cs="David"/>
                <w:i/>
                <w:rtl/>
              </w:rPr>
              <w:t>)</w:t>
            </w:r>
            <w:r w:rsidR="00B22B59" w:rsidRPr="00762C7E">
              <w:rPr>
                <w:rFonts w:cs="David"/>
                <w:i/>
                <w:vertAlign w:val="superscript"/>
                <w:rtl/>
              </w:rPr>
              <w:t>1</w:t>
            </w:r>
          </w:p>
        </w:tc>
        <w:tc>
          <w:tcPr>
            <w:tcW w:w="990" w:type="dxa"/>
            <w:shd w:val="clear" w:color="auto" w:fill="auto"/>
            <w:vAlign w:val="center"/>
          </w:tcPr>
          <w:p w:rsidR="00583639" w:rsidRPr="00583639" w:rsidRDefault="00583639" w:rsidP="00583639">
            <w:pPr>
              <w:jc w:val="center"/>
              <w:rPr>
                <w:rFonts w:ascii="Arial" w:hAnsi="Arial" w:cs="Arial" w:hint="default"/>
                <w:lang w:eastAsia="en-US"/>
              </w:rPr>
            </w:pPr>
            <w:r w:rsidRPr="00251F57">
              <w:rPr>
                <w:rFonts w:ascii="Arial" w:hAnsi="Arial" w:cs="Arial"/>
              </w:rPr>
              <w:t> </w:t>
            </w:r>
          </w:p>
        </w:tc>
        <w:tc>
          <w:tcPr>
            <w:tcW w:w="1017" w:type="dxa"/>
            <w:shd w:val="clear" w:color="auto" w:fill="auto"/>
            <w:vAlign w:val="center"/>
          </w:tcPr>
          <w:p w:rsidR="00583639" w:rsidRPr="00251F57" w:rsidRDefault="00583639" w:rsidP="00583639">
            <w:pPr>
              <w:jc w:val="center"/>
              <w:rPr>
                <w:rFonts w:ascii="Arial" w:hAnsi="Arial" w:cs="Arial" w:hint="default"/>
              </w:rPr>
            </w:pPr>
            <w:r w:rsidRPr="00251F57">
              <w:rPr>
                <w:rFonts w:ascii="Arial" w:hAnsi="Arial" w:cs="Arial"/>
              </w:rPr>
              <w:t>7.2</w:t>
            </w:r>
          </w:p>
        </w:tc>
        <w:tc>
          <w:tcPr>
            <w:tcW w:w="992" w:type="dxa"/>
            <w:shd w:val="clear" w:color="auto" w:fill="auto"/>
            <w:vAlign w:val="center"/>
          </w:tcPr>
          <w:p w:rsidR="00583639" w:rsidRPr="00251F57" w:rsidRDefault="00583639" w:rsidP="00583639">
            <w:pPr>
              <w:jc w:val="center"/>
              <w:rPr>
                <w:rFonts w:ascii="Arial" w:hAnsi="Arial" w:cs="Arial" w:hint="default"/>
              </w:rPr>
            </w:pPr>
            <w:r w:rsidRPr="00251F57">
              <w:rPr>
                <w:rFonts w:ascii="Arial" w:hAnsi="Arial" w:cs="Arial"/>
              </w:rPr>
              <w:t>-9.9</w:t>
            </w:r>
          </w:p>
        </w:tc>
        <w:tc>
          <w:tcPr>
            <w:tcW w:w="992" w:type="dxa"/>
            <w:shd w:val="clear" w:color="auto" w:fill="auto"/>
            <w:vAlign w:val="center"/>
          </w:tcPr>
          <w:p w:rsidR="00583639" w:rsidRPr="00251F57" w:rsidRDefault="00583639" w:rsidP="00583639">
            <w:pPr>
              <w:jc w:val="center"/>
              <w:rPr>
                <w:rFonts w:ascii="Arial" w:hAnsi="Arial" w:cs="Arial" w:hint="default"/>
              </w:rPr>
            </w:pPr>
            <w:r w:rsidRPr="00251F57">
              <w:rPr>
                <w:rFonts w:ascii="Arial" w:hAnsi="Arial" w:cs="Arial"/>
              </w:rPr>
              <w:t>-8.7</w:t>
            </w:r>
          </w:p>
        </w:tc>
      </w:tr>
      <w:tr w:rsidR="00583639" w:rsidRPr="00947B41" w:rsidTr="00F51EB0">
        <w:trPr>
          <w:trHeight w:val="340"/>
          <w:tblHeader/>
        </w:trPr>
        <w:tc>
          <w:tcPr>
            <w:tcW w:w="4311" w:type="dxa"/>
            <w:shd w:val="clear" w:color="auto" w:fill="auto"/>
            <w:vAlign w:val="center"/>
          </w:tcPr>
          <w:p w:rsidR="00583639" w:rsidRPr="005D09FC" w:rsidRDefault="00583639" w:rsidP="00583639">
            <w:pPr>
              <w:autoSpaceDE w:val="0"/>
              <w:autoSpaceDN w:val="0"/>
              <w:bidi/>
              <w:adjustRightInd w:val="0"/>
              <w:rPr>
                <w:rFonts w:cs="David" w:hint="default"/>
                <w:i/>
                <w:rtl/>
              </w:rPr>
            </w:pPr>
            <w:r w:rsidRPr="005D09FC">
              <w:rPr>
                <w:rFonts w:cs="David"/>
                <w:rtl/>
              </w:rPr>
              <w:t>מדד הפדיון בשירותים</w:t>
            </w:r>
            <w:r w:rsidRPr="005D09FC">
              <w:rPr>
                <w:rFonts w:cs="David"/>
                <w:i/>
                <w:rtl/>
              </w:rPr>
              <w:t xml:space="preserve"> (ללא  חינוך </w:t>
            </w:r>
            <w:proofErr w:type="spellStart"/>
            <w:r w:rsidRPr="005D09FC">
              <w:rPr>
                <w:rFonts w:cs="David"/>
                <w:i/>
                <w:rtl/>
              </w:rPr>
              <w:t>ומינהל</w:t>
            </w:r>
            <w:proofErr w:type="spellEnd"/>
            <w:r w:rsidRPr="005D09FC">
              <w:rPr>
                <w:rFonts w:cs="David"/>
                <w:i/>
                <w:rtl/>
              </w:rPr>
              <w:t xml:space="preserve"> ציבורי)</w:t>
            </w:r>
            <w:r w:rsidRPr="00762C7E">
              <w:rPr>
                <w:rFonts w:cs="David"/>
                <w:i/>
                <w:vertAlign w:val="superscript"/>
                <w:rtl/>
              </w:rPr>
              <w:t>1</w:t>
            </w:r>
          </w:p>
        </w:tc>
        <w:tc>
          <w:tcPr>
            <w:tcW w:w="990" w:type="dxa"/>
            <w:shd w:val="clear" w:color="auto" w:fill="auto"/>
            <w:vAlign w:val="center"/>
          </w:tcPr>
          <w:p w:rsidR="00583639" w:rsidRPr="00583639" w:rsidRDefault="00583639" w:rsidP="00583639">
            <w:pPr>
              <w:jc w:val="center"/>
              <w:rPr>
                <w:rFonts w:ascii="Arial" w:hAnsi="Arial" w:cs="Arial" w:hint="default"/>
              </w:rPr>
            </w:pPr>
            <w:r w:rsidRPr="00251F57">
              <w:rPr>
                <w:rFonts w:ascii="Arial" w:hAnsi="Arial" w:cs="Arial"/>
              </w:rPr>
              <w:t> </w:t>
            </w:r>
          </w:p>
        </w:tc>
        <w:tc>
          <w:tcPr>
            <w:tcW w:w="1017" w:type="dxa"/>
            <w:shd w:val="clear" w:color="auto" w:fill="auto"/>
            <w:vAlign w:val="center"/>
          </w:tcPr>
          <w:p w:rsidR="00583639" w:rsidRPr="00251F57" w:rsidRDefault="00583639" w:rsidP="00583639">
            <w:pPr>
              <w:jc w:val="center"/>
              <w:rPr>
                <w:rFonts w:ascii="Arial" w:hAnsi="Arial" w:cs="Arial" w:hint="default"/>
              </w:rPr>
            </w:pPr>
            <w:r w:rsidRPr="00251F57">
              <w:rPr>
                <w:rFonts w:ascii="Arial" w:hAnsi="Arial" w:cs="Arial"/>
              </w:rPr>
              <w:t>4.4</w:t>
            </w:r>
          </w:p>
        </w:tc>
        <w:tc>
          <w:tcPr>
            <w:tcW w:w="992" w:type="dxa"/>
            <w:shd w:val="clear" w:color="auto" w:fill="auto"/>
            <w:vAlign w:val="center"/>
          </w:tcPr>
          <w:p w:rsidR="00583639" w:rsidRPr="00251F57" w:rsidRDefault="00583639" w:rsidP="00583639">
            <w:pPr>
              <w:jc w:val="center"/>
              <w:rPr>
                <w:rFonts w:ascii="Arial" w:hAnsi="Arial" w:cs="Arial" w:hint="default"/>
              </w:rPr>
            </w:pPr>
            <w:r w:rsidRPr="00251F57">
              <w:rPr>
                <w:rFonts w:ascii="Arial" w:hAnsi="Arial" w:cs="Arial"/>
              </w:rPr>
              <w:t>-7.9</w:t>
            </w:r>
          </w:p>
        </w:tc>
        <w:tc>
          <w:tcPr>
            <w:tcW w:w="992" w:type="dxa"/>
            <w:shd w:val="clear" w:color="auto" w:fill="auto"/>
            <w:vAlign w:val="center"/>
          </w:tcPr>
          <w:p w:rsidR="00583639" w:rsidRPr="00251F57" w:rsidRDefault="00583639" w:rsidP="00583639">
            <w:pPr>
              <w:jc w:val="center"/>
              <w:rPr>
                <w:rFonts w:ascii="Arial" w:hAnsi="Arial" w:cs="Arial" w:hint="default"/>
              </w:rPr>
            </w:pPr>
            <w:r w:rsidRPr="00251F57">
              <w:rPr>
                <w:rFonts w:ascii="Arial" w:hAnsi="Arial" w:cs="Arial"/>
              </w:rPr>
              <w:t>-17.8</w:t>
            </w:r>
          </w:p>
        </w:tc>
      </w:tr>
      <w:tr w:rsidR="00583639" w:rsidRPr="00947B41" w:rsidTr="00F51EB0">
        <w:trPr>
          <w:trHeight w:val="340"/>
          <w:tblHeader/>
        </w:trPr>
        <w:tc>
          <w:tcPr>
            <w:tcW w:w="4311" w:type="dxa"/>
            <w:shd w:val="clear" w:color="auto" w:fill="auto"/>
            <w:vAlign w:val="center"/>
          </w:tcPr>
          <w:p w:rsidR="00583639" w:rsidRPr="005D09FC" w:rsidRDefault="00583639" w:rsidP="00583639">
            <w:pPr>
              <w:autoSpaceDE w:val="0"/>
              <w:autoSpaceDN w:val="0"/>
              <w:bidi/>
              <w:adjustRightInd w:val="0"/>
              <w:rPr>
                <w:rFonts w:cs="David" w:hint="default"/>
                <w:i/>
                <w:rtl/>
              </w:rPr>
            </w:pPr>
            <w:r w:rsidRPr="005D09FC">
              <w:rPr>
                <w:rFonts w:cs="David"/>
                <w:rtl/>
              </w:rPr>
              <w:t>מדד הפדיון במסחר</w:t>
            </w:r>
            <w:r w:rsidRPr="005D09FC">
              <w:rPr>
                <w:rFonts w:cs="David"/>
                <w:i/>
                <w:rtl/>
              </w:rPr>
              <w:t xml:space="preserve"> הקמעונאי</w:t>
            </w:r>
            <w:r w:rsidRPr="00762C7E">
              <w:rPr>
                <w:rFonts w:cs="David"/>
                <w:i/>
                <w:vertAlign w:val="superscript"/>
                <w:rtl/>
              </w:rPr>
              <w:t>1</w:t>
            </w:r>
          </w:p>
        </w:tc>
        <w:tc>
          <w:tcPr>
            <w:tcW w:w="990" w:type="dxa"/>
            <w:shd w:val="clear" w:color="auto" w:fill="auto"/>
            <w:vAlign w:val="center"/>
          </w:tcPr>
          <w:p w:rsidR="00583639" w:rsidRPr="00583639" w:rsidRDefault="00583639" w:rsidP="00583639">
            <w:pPr>
              <w:jc w:val="center"/>
              <w:rPr>
                <w:rFonts w:ascii="Arial" w:hAnsi="Arial" w:cs="Arial" w:hint="default"/>
              </w:rPr>
            </w:pPr>
            <w:r w:rsidRPr="00251F57">
              <w:rPr>
                <w:rFonts w:ascii="Arial" w:hAnsi="Arial" w:cs="Arial"/>
              </w:rPr>
              <w:t> </w:t>
            </w:r>
          </w:p>
        </w:tc>
        <w:tc>
          <w:tcPr>
            <w:tcW w:w="1017" w:type="dxa"/>
            <w:shd w:val="clear" w:color="auto" w:fill="auto"/>
            <w:vAlign w:val="center"/>
          </w:tcPr>
          <w:p w:rsidR="00583639" w:rsidRPr="00251F57" w:rsidRDefault="00583639" w:rsidP="00583639">
            <w:pPr>
              <w:jc w:val="center"/>
              <w:rPr>
                <w:rFonts w:ascii="Arial" w:hAnsi="Arial" w:cs="Arial" w:hint="default"/>
              </w:rPr>
            </w:pPr>
            <w:r w:rsidRPr="00251F57">
              <w:rPr>
                <w:rFonts w:ascii="Arial" w:hAnsi="Arial" w:cs="Arial"/>
              </w:rPr>
              <w:t>25.7</w:t>
            </w:r>
          </w:p>
        </w:tc>
        <w:tc>
          <w:tcPr>
            <w:tcW w:w="992" w:type="dxa"/>
            <w:shd w:val="clear" w:color="auto" w:fill="auto"/>
            <w:vAlign w:val="center"/>
          </w:tcPr>
          <w:p w:rsidR="00583639" w:rsidRPr="00251F57" w:rsidRDefault="00583639" w:rsidP="00583639">
            <w:pPr>
              <w:jc w:val="center"/>
              <w:rPr>
                <w:rFonts w:ascii="Arial" w:hAnsi="Arial" w:cs="Arial" w:hint="default"/>
              </w:rPr>
            </w:pPr>
            <w:r w:rsidRPr="00251F57">
              <w:rPr>
                <w:rFonts w:ascii="Arial" w:hAnsi="Arial" w:cs="Arial"/>
              </w:rPr>
              <w:t>-17.2</w:t>
            </w:r>
          </w:p>
        </w:tc>
        <w:tc>
          <w:tcPr>
            <w:tcW w:w="992" w:type="dxa"/>
            <w:shd w:val="clear" w:color="auto" w:fill="auto"/>
            <w:vAlign w:val="center"/>
          </w:tcPr>
          <w:p w:rsidR="00583639" w:rsidRPr="00251F57" w:rsidRDefault="00583639" w:rsidP="00583639">
            <w:pPr>
              <w:jc w:val="center"/>
              <w:rPr>
                <w:rFonts w:ascii="Arial" w:hAnsi="Arial" w:cs="Arial" w:hint="default"/>
              </w:rPr>
            </w:pPr>
            <w:r w:rsidRPr="00251F57">
              <w:rPr>
                <w:rFonts w:ascii="Arial" w:hAnsi="Arial" w:cs="Arial"/>
              </w:rPr>
              <w:t>-9.6</w:t>
            </w:r>
          </w:p>
        </w:tc>
      </w:tr>
      <w:tr w:rsidR="00583639" w:rsidRPr="00947B41" w:rsidTr="00F51EB0">
        <w:trPr>
          <w:trHeight w:val="340"/>
          <w:tblHeader/>
        </w:trPr>
        <w:tc>
          <w:tcPr>
            <w:tcW w:w="4311" w:type="dxa"/>
            <w:shd w:val="clear" w:color="auto" w:fill="auto"/>
            <w:vAlign w:val="center"/>
          </w:tcPr>
          <w:p w:rsidR="00583639" w:rsidRPr="005D09FC" w:rsidRDefault="00583639" w:rsidP="00583639">
            <w:pPr>
              <w:autoSpaceDE w:val="0"/>
              <w:autoSpaceDN w:val="0"/>
              <w:bidi/>
              <w:adjustRightInd w:val="0"/>
              <w:rPr>
                <w:rFonts w:cs="David" w:hint="default"/>
                <w:i/>
                <w:rtl/>
              </w:rPr>
            </w:pPr>
            <w:r w:rsidRPr="005D09FC">
              <w:rPr>
                <w:rFonts w:cs="David"/>
                <w:rtl/>
              </w:rPr>
              <w:t>יבוא מוצרי הצריכה</w:t>
            </w:r>
            <w:bookmarkStart w:id="1" w:name="_Ref453057116"/>
            <w:r w:rsidRPr="005D09FC">
              <w:rPr>
                <w:rStyle w:val="a5"/>
                <w:rFonts w:cs="David" w:hint="default"/>
                <w:i/>
                <w:rtl/>
              </w:rPr>
              <w:footnoteReference w:id="3"/>
            </w:r>
            <w:bookmarkEnd w:id="1"/>
          </w:p>
        </w:tc>
        <w:tc>
          <w:tcPr>
            <w:tcW w:w="990" w:type="dxa"/>
            <w:shd w:val="clear" w:color="auto" w:fill="auto"/>
            <w:vAlign w:val="center"/>
          </w:tcPr>
          <w:p w:rsidR="00583639" w:rsidRPr="00583639" w:rsidRDefault="00583639" w:rsidP="00583639">
            <w:pPr>
              <w:jc w:val="center"/>
              <w:rPr>
                <w:rFonts w:ascii="Arial" w:hAnsi="Arial" w:cs="Arial" w:hint="default"/>
              </w:rPr>
            </w:pPr>
            <w:r w:rsidRPr="00251F57">
              <w:rPr>
                <w:rFonts w:ascii="Arial" w:hAnsi="Arial" w:cs="Arial"/>
              </w:rPr>
              <w:t>8.3</w:t>
            </w:r>
          </w:p>
        </w:tc>
        <w:tc>
          <w:tcPr>
            <w:tcW w:w="1017" w:type="dxa"/>
            <w:shd w:val="clear" w:color="auto" w:fill="auto"/>
            <w:vAlign w:val="center"/>
          </w:tcPr>
          <w:p w:rsidR="00583639" w:rsidRPr="00251F57" w:rsidRDefault="00583639" w:rsidP="00583639">
            <w:pPr>
              <w:jc w:val="center"/>
              <w:rPr>
                <w:rFonts w:ascii="Arial" w:hAnsi="Arial" w:cs="Arial" w:hint="default"/>
              </w:rPr>
            </w:pPr>
            <w:r w:rsidRPr="00251F57">
              <w:rPr>
                <w:rFonts w:ascii="Arial" w:hAnsi="Arial" w:cs="Arial"/>
              </w:rPr>
              <w:t>-0.6</w:t>
            </w:r>
          </w:p>
        </w:tc>
        <w:tc>
          <w:tcPr>
            <w:tcW w:w="992" w:type="dxa"/>
            <w:shd w:val="clear" w:color="auto" w:fill="auto"/>
            <w:vAlign w:val="center"/>
          </w:tcPr>
          <w:p w:rsidR="00583639" w:rsidRPr="00251F57" w:rsidRDefault="00583639" w:rsidP="00583639">
            <w:pPr>
              <w:jc w:val="center"/>
              <w:rPr>
                <w:rFonts w:ascii="Arial" w:hAnsi="Arial" w:cs="Arial" w:hint="default"/>
              </w:rPr>
            </w:pPr>
            <w:r w:rsidRPr="00251F57">
              <w:rPr>
                <w:rFonts w:ascii="Arial" w:hAnsi="Arial" w:cs="Arial"/>
              </w:rPr>
              <w:t>-5.8</w:t>
            </w:r>
          </w:p>
        </w:tc>
        <w:tc>
          <w:tcPr>
            <w:tcW w:w="992" w:type="dxa"/>
            <w:shd w:val="clear" w:color="auto" w:fill="auto"/>
            <w:vAlign w:val="center"/>
          </w:tcPr>
          <w:p w:rsidR="00583639" w:rsidRPr="00251F57" w:rsidRDefault="00583639" w:rsidP="00583639">
            <w:pPr>
              <w:jc w:val="center"/>
              <w:rPr>
                <w:rFonts w:ascii="Arial" w:hAnsi="Arial" w:cs="Arial" w:hint="default"/>
              </w:rPr>
            </w:pPr>
            <w:r w:rsidRPr="00251F57">
              <w:rPr>
                <w:rFonts w:ascii="Arial" w:hAnsi="Arial" w:cs="Arial"/>
              </w:rPr>
              <w:t>-6.8</w:t>
            </w:r>
          </w:p>
        </w:tc>
      </w:tr>
      <w:tr w:rsidR="00583639" w:rsidRPr="00947B41" w:rsidTr="00F51EB0">
        <w:trPr>
          <w:trHeight w:val="340"/>
          <w:tblHeader/>
        </w:trPr>
        <w:tc>
          <w:tcPr>
            <w:tcW w:w="4311" w:type="dxa"/>
            <w:shd w:val="clear" w:color="auto" w:fill="auto"/>
            <w:vAlign w:val="center"/>
          </w:tcPr>
          <w:p w:rsidR="00583639" w:rsidRPr="005D09FC" w:rsidRDefault="00583639" w:rsidP="00583639">
            <w:pPr>
              <w:autoSpaceDE w:val="0"/>
              <w:autoSpaceDN w:val="0"/>
              <w:bidi/>
              <w:adjustRightInd w:val="0"/>
              <w:rPr>
                <w:rFonts w:cs="David" w:hint="default"/>
                <w:i/>
                <w:rtl/>
              </w:rPr>
            </w:pPr>
            <w:r w:rsidRPr="005D09FC">
              <w:rPr>
                <w:rFonts w:cs="David"/>
                <w:rtl/>
              </w:rPr>
              <w:t xml:space="preserve">יבוא התשומות לייצור (ללא </w:t>
            </w:r>
            <w:proofErr w:type="spellStart"/>
            <w:r w:rsidRPr="005D09FC">
              <w:rPr>
                <w:rFonts w:cs="David"/>
                <w:rtl/>
              </w:rPr>
              <w:t>דלקים</w:t>
            </w:r>
            <w:proofErr w:type="spellEnd"/>
            <w:r w:rsidRPr="005D09FC">
              <w:rPr>
                <w:rFonts w:cs="David"/>
                <w:rtl/>
              </w:rPr>
              <w:t>)</w:t>
            </w:r>
          </w:p>
        </w:tc>
        <w:tc>
          <w:tcPr>
            <w:tcW w:w="990" w:type="dxa"/>
            <w:shd w:val="clear" w:color="auto" w:fill="auto"/>
            <w:vAlign w:val="center"/>
          </w:tcPr>
          <w:p w:rsidR="00583639" w:rsidRPr="00583639" w:rsidRDefault="00583639" w:rsidP="00583639">
            <w:pPr>
              <w:jc w:val="center"/>
              <w:rPr>
                <w:rFonts w:ascii="Arial" w:hAnsi="Arial" w:cs="Arial" w:hint="default"/>
              </w:rPr>
            </w:pPr>
            <w:r w:rsidRPr="00251F57">
              <w:rPr>
                <w:rFonts w:ascii="Arial" w:hAnsi="Arial" w:cs="Arial"/>
              </w:rPr>
              <w:t>2.2</w:t>
            </w:r>
          </w:p>
        </w:tc>
        <w:tc>
          <w:tcPr>
            <w:tcW w:w="1017" w:type="dxa"/>
            <w:shd w:val="clear" w:color="auto" w:fill="auto"/>
            <w:vAlign w:val="center"/>
          </w:tcPr>
          <w:p w:rsidR="00583639" w:rsidRPr="00251F57" w:rsidRDefault="00583639" w:rsidP="00583639">
            <w:pPr>
              <w:jc w:val="center"/>
              <w:rPr>
                <w:rFonts w:ascii="Arial" w:hAnsi="Arial" w:cs="Arial" w:hint="default"/>
              </w:rPr>
            </w:pPr>
            <w:r w:rsidRPr="00251F57">
              <w:rPr>
                <w:rFonts w:ascii="Arial" w:hAnsi="Arial" w:cs="Arial"/>
              </w:rPr>
              <w:t>-9.9</w:t>
            </w:r>
          </w:p>
        </w:tc>
        <w:tc>
          <w:tcPr>
            <w:tcW w:w="992" w:type="dxa"/>
            <w:shd w:val="clear" w:color="auto" w:fill="auto"/>
            <w:vAlign w:val="center"/>
          </w:tcPr>
          <w:p w:rsidR="00583639" w:rsidRPr="00251F57" w:rsidRDefault="00583639" w:rsidP="00583639">
            <w:pPr>
              <w:jc w:val="center"/>
              <w:rPr>
                <w:rFonts w:ascii="Arial" w:hAnsi="Arial" w:cs="Arial" w:hint="default"/>
              </w:rPr>
            </w:pPr>
            <w:r w:rsidRPr="00251F57">
              <w:rPr>
                <w:rFonts w:ascii="Arial" w:hAnsi="Arial" w:cs="Arial"/>
              </w:rPr>
              <w:t>6.2</w:t>
            </w:r>
          </w:p>
        </w:tc>
        <w:tc>
          <w:tcPr>
            <w:tcW w:w="992" w:type="dxa"/>
            <w:shd w:val="clear" w:color="auto" w:fill="auto"/>
            <w:vAlign w:val="center"/>
          </w:tcPr>
          <w:p w:rsidR="00583639" w:rsidRPr="00251F57" w:rsidRDefault="00583639" w:rsidP="00583639">
            <w:pPr>
              <w:jc w:val="center"/>
              <w:rPr>
                <w:rFonts w:ascii="Arial" w:hAnsi="Arial" w:cs="Arial" w:hint="default"/>
              </w:rPr>
            </w:pPr>
            <w:r w:rsidRPr="00251F57">
              <w:rPr>
                <w:rFonts w:ascii="Arial" w:hAnsi="Arial" w:cs="Arial"/>
              </w:rPr>
              <w:t>-1.0</w:t>
            </w:r>
          </w:p>
        </w:tc>
      </w:tr>
      <w:tr w:rsidR="00583639" w:rsidRPr="00947B41" w:rsidTr="00F51EB0">
        <w:trPr>
          <w:trHeight w:val="340"/>
          <w:tblHeader/>
        </w:trPr>
        <w:tc>
          <w:tcPr>
            <w:tcW w:w="4311" w:type="dxa"/>
            <w:shd w:val="clear" w:color="auto" w:fill="auto"/>
            <w:vAlign w:val="center"/>
          </w:tcPr>
          <w:p w:rsidR="00583639" w:rsidRPr="005D09FC" w:rsidRDefault="00583639" w:rsidP="00583639">
            <w:pPr>
              <w:autoSpaceDE w:val="0"/>
              <w:autoSpaceDN w:val="0"/>
              <w:bidi/>
              <w:adjustRightInd w:val="0"/>
              <w:rPr>
                <w:rFonts w:cs="David" w:hint="default"/>
                <w:i/>
                <w:rtl/>
              </w:rPr>
            </w:pPr>
            <w:r w:rsidRPr="005D09FC">
              <w:rPr>
                <w:rFonts w:cs="David"/>
                <w:rtl/>
              </w:rPr>
              <w:t>יצוא הסחורות</w:t>
            </w:r>
            <w:r w:rsidRPr="005D09FC">
              <w:rPr>
                <w:rFonts w:cs="David"/>
                <w:i/>
                <w:rtl/>
              </w:rPr>
              <w:t xml:space="preserve"> (ללא חקלאות)</w:t>
            </w:r>
            <w:r w:rsidRPr="005D09FC">
              <w:rPr>
                <w:rFonts w:cs="David"/>
                <w:vertAlign w:val="superscript"/>
                <w:rtl/>
              </w:rPr>
              <w:t xml:space="preserve"> </w:t>
            </w:r>
            <w:r>
              <w:rPr>
                <w:rFonts w:cs="David"/>
                <w:i/>
                <w:vertAlign w:val="superscript"/>
                <w:rtl/>
              </w:rPr>
              <w:t>2</w:t>
            </w:r>
          </w:p>
        </w:tc>
        <w:tc>
          <w:tcPr>
            <w:tcW w:w="990" w:type="dxa"/>
            <w:shd w:val="clear" w:color="auto" w:fill="auto"/>
            <w:vAlign w:val="center"/>
          </w:tcPr>
          <w:p w:rsidR="00583639" w:rsidRPr="00583639" w:rsidRDefault="00583639" w:rsidP="00583639">
            <w:pPr>
              <w:jc w:val="center"/>
              <w:rPr>
                <w:rFonts w:ascii="Arial" w:hAnsi="Arial" w:cs="Arial" w:hint="default"/>
              </w:rPr>
            </w:pPr>
            <w:r w:rsidRPr="00251F57">
              <w:rPr>
                <w:rFonts w:ascii="Arial" w:hAnsi="Arial" w:cs="Arial"/>
              </w:rPr>
              <w:t>-4.7</w:t>
            </w:r>
          </w:p>
        </w:tc>
        <w:tc>
          <w:tcPr>
            <w:tcW w:w="1017" w:type="dxa"/>
            <w:shd w:val="clear" w:color="auto" w:fill="auto"/>
            <w:vAlign w:val="center"/>
          </w:tcPr>
          <w:p w:rsidR="00583639" w:rsidRPr="00251F57" w:rsidRDefault="00583639" w:rsidP="00583639">
            <w:pPr>
              <w:jc w:val="center"/>
              <w:rPr>
                <w:rFonts w:ascii="Arial" w:hAnsi="Arial" w:cs="Arial" w:hint="default"/>
              </w:rPr>
            </w:pPr>
            <w:r w:rsidRPr="00251F57">
              <w:rPr>
                <w:rFonts w:ascii="Arial" w:hAnsi="Arial" w:cs="Arial"/>
              </w:rPr>
              <w:t>13.0</w:t>
            </w:r>
          </w:p>
        </w:tc>
        <w:tc>
          <w:tcPr>
            <w:tcW w:w="992" w:type="dxa"/>
            <w:shd w:val="clear" w:color="auto" w:fill="auto"/>
            <w:vAlign w:val="center"/>
          </w:tcPr>
          <w:p w:rsidR="00583639" w:rsidRPr="00251F57" w:rsidRDefault="00583639" w:rsidP="00583639">
            <w:pPr>
              <w:jc w:val="center"/>
              <w:rPr>
                <w:rFonts w:ascii="Arial" w:hAnsi="Arial" w:cs="Arial" w:hint="default"/>
              </w:rPr>
            </w:pPr>
            <w:r w:rsidRPr="00251F57">
              <w:rPr>
                <w:rFonts w:ascii="Arial" w:hAnsi="Arial" w:cs="Arial"/>
              </w:rPr>
              <w:t>3.1</w:t>
            </w:r>
          </w:p>
        </w:tc>
        <w:tc>
          <w:tcPr>
            <w:tcW w:w="992" w:type="dxa"/>
            <w:shd w:val="clear" w:color="auto" w:fill="auto"/>
            <w:vAlign w:val="center"/>
          </w:tcPr>
          <w:p w:rsidR="00583639" w:rsidRPr="00251F57" w:rsidRDefault="00583639" w:rsidP="00583639">
            <w:pPr>
              <w:jc w:val="center"/>
              <w:rPr>
                <w:rFonts w:ascii="Arial" w:hAnsi="Arial" w:cs="Arial" w:hint="default"/>
              </w:rPr>
            </w:pPr>
            <w:r w:rsidRPr="00251F57">
              <w:rPr>
                <w:rFonts w:ascii="Arial" w:hAnsi="Arial" w:cs="Arial"/>
              </w:rPr>
              <w:t>-20.2</w:t>
            </w:r>
          </w:p>
        </w:tc>
      </w:tr>
      <w:tr w:rsidR="00F51EB0" w:rsidRPr="00947B41" w:rsidTr="00F51EB0">
        <w:trPr>
          <w:trHeight w:val="340"/>
          <w:tblHeader/>
        </w:trPr>
        <w:tc>
          <w:tcPr>
            <w:tcW w:w="4311" w:type="dxa"/>
            <w:shd w:val="clear" w:color="auto" w:fill="auto"/>
            <w:vAlign w:val="center"/>
          </w:tcPr>
          <w:p w:rsidR="00F51EB0" w:rsidRPr="005D09FC" w:rsidRDefault="00F51EB0" w:rsidP="00F51EB0">
            <w:pPr>
              <w:autoSpaceDE w:val="0"/>
              <w:autoSpaceDN w:val="0"/>
              <w:bidi/>
              <w:adjustRightInd w:val="0"/>
              <w:rPr>
                <w:rFonts w:cs="David" w:hint="default"/>
                <w:i/>
                <w:rtl/>
              </w:rPr>
            </w:pPr>
            <w:r w:rsidRPr="005D09FC">
              <w:rPr>
                <w:rFonts w:cs="David"/>
                <w:rtl/>
              </w:rPr>
              <w:t>יצוא השירותים</w:t>
            </w:r>
            <w:r w:rsidRPr="005D09FC">
              <w:rPr>
                <w:rFonts w:cs="David"/>
                <w:i/>
                <w:rtl/>
              </w:rPr>
              <w:t xml:space="preserve"> (ללא תחבורה)</w:t>
            </w:r>
            <w:r w:rsidRPr="005D09FC">
              <w:rPr>
                <w:rFonts w:cs="David" w:hint="default"/>
                <w:i/>
                <w:rtl/>
              </w:rPr>
              <w:t xml:space="preserve"> </w:t>
            </w:r>
            <w:r>
              <w:rPr>
                <w:rFonts w:cs="David"/>
                <w:i/>
                <w:vertAlign w:val="superscript"/>
                <w:rtl/>
              </w:rPr>
              <w:t>3</w:t>
            </w:r>
          </w:p>
        </w:tc>
        <w:tc>
          <w:tcPr>
            <w:tcW w:w="990" w:type="dxa"/>
            <w:shd w:val="clear" w:color="auto" w:fill="auto"/>
            <w:vAlign w:val="center"/>
          </w:tcPr>
          <w:p w:rsidR="00F51EB0" w:rsidRPr="00F51EB0" w:rsidRDefault="00F51EB0" w:rsidP="00F51EB0">
            <w:pPr>
              <w:jc w:val="center"/>
              <w:rPr>
                <w:rFonts w:ascii="Arial" w:hAnsi="Arial" w:cs="Arial" w:hint="default"/>
              </w:rPr>
            </w:pPr>
            <w:r w:rsidRPr="00F51EB0">
              <w:rPr>
                <w:rFonts w:ascii="Arial" w:hAnsi="Arial" w:cs="Arial"/>
              </w:rPr>
              <w:t> </w:t>
            </w:r>
          </w:p>
        </w:tc>
        <w:tc>
          <w:tcPr>
            <w:tcW w:w="1017" w:type="dxa"/>
            <w:shd w:val="clear" w:color="auto" w:fill="auto"/>
            <w:vAlign w:val="center"/>
          </w:tcPr>
          <w:p w:rsidR="00F51EB0" w:rsidRPr="00F51EB0" w:rsidRDefault="00F51EB0" w:rsidP="00F51EB0">
            <w:pPr>
              <w:jc w:val="center"/>
              <w:rPr>
                <w:rFonts w:ascii="Arial" w:hAnsi="Arial" w:cs="Arial" w:hint="default"/>
              </w:rPr>
            </w:pPr>
            <w:r w:rsidRPr="00F51EB0">
              <w:rPr>
                <w:rFonts w:ascii="Arial" w:hAnsi="Arial" w:cs="Arial"/>
              </w:rPr>
              <w:t> </w:t>
            </w:r>
            <w:r w:rsidR="007A6639">
              <w:rPr>
                <w:rFonts w:ascii="Arial" w:hAnsi="Arial" w:cs="Arial"/>
                <w:rtl/>
              </w:rPr>
              <w:t>6.0</w:t>
            </w:r>
          </w:p>
        </w:tc>
        <w:tc>
          <w:tcPr>
            <w:tcW w:w="992" w:type="dxa"/>
            <w:shd w:val="clear" w:color="auto" w:fill="auto"/>
            <w:vAlign w:val="center"/>
          </w:tcPr>
          <w:p w:rsidR="00F51EB0" w:rsidRPr="00F51EB0" w:rsidRDefault="00F51EB0" w:rsidP="00DB1480">
            <w:pPr>
              <w:jc w:val="center"/>
              <w:rPr>
                <w:rFonts w:ascii="Arial" w:hAnsi="Arial" w:cs="Arial" w:hint="default"/>
              </w:rPr>
            </w:pPr>
            <w:r w:rsidRPr="00F51EB0">
              <w:rPr>
                <w:rFonts w:ascii="Arial" w:hAnsi="Arial" w:cs="Arial"/>
              </w:rPr>
              <w:t>-</w:t>
            </w:r>
            <w:r w:rsidR="007A6639">
              <w:rPr>
                <w:rFonts w:ascii="Arial" w:hAnsi="Arial" w:cs="Arial"/>
                <w:rtl/>
              </w:rPr>
              <w:t>6.5</w:t>
            </w:r>
          </w:p>
        </w:tc>
        <w:tc>
          <w:tcPr>
            <w:tcW w:w="992" w:type="dxa"/>
            <w:shd w:val="clear" w:color="auto" w:fill="auto"/>
            <w:vAlign w:val="center"/>
          </w:tcPr>
          <w:p w:rsidR="00F51EB0" w:rsidRPr="00F51EB0" w:rsidRDefault="00F51EB0">
            <w:pPr>
              <w:jc w:val="center"/>
              <w:rPr>
                <w:rFonts w:ascii="Arial" w:hAnsi="Arial" w:cs="Arial" w:hint="default"/>
              </w:rPr>
            </w:pPr>
            <w:r w:rsidRPr="00F51EB0">
              <w:rPr>
                <w:rFonts w:ascii="Arial" w:hAnsi="Arial" w:cs="Arial"/>
              </w:rPr>
              <w:t>-8.</w:t>
            </w:r>
            <w:r w:rsidR="007A6639">
              <w:rPr>
                <w:rFonts w:ascii="Arial" w:hAnsi="Arial" w:cs="Arial"/>
                <w:rtl/>
              </w:rPr>
              <w:t>2</w:t>
            </w:r>
          </w:p>
        </w:tc>
      </w:tr>
      <w:tr w:rsidR="00583639" w:rsidRPr="00947B41" w:rsidTr="00F51EB0">
        <w:trPr>
          <w:trHeight w:val="340"/>
          <w:tblHeader/>
        </w:trPr>
        <w:tc>
          <w:tcPr>
            <w:tcW w:w="4311" w:type="dxa"/>
            <w:shd w:val="clear" w:color="auto" w:fill="auto"/>
            <w:vAlign w:val="center"/>
          </w:tcPr>
          <w:p w:rsidR="00583639" w:rsidRPr="005D09FC" w:rsidRDefault="00583639" w:rsidP="00583639">
            <w:pPr>
              <w:autoSpaceDE w:val="0"/>
              <w:autoSpaceDN w:val="0"/>
              <w:bidi/>
              <w:adjustRightInd w:val="0"/>
              <w:rPr>
                <w:rFonts w:cs="David" w:hint="default"/>
                <w:i/>
                <w:rtl/>
              </w:rPr>
            </w:pPr>
            <w:r w:rsidRPr="005D09FC">
              <w:rPr>
                <w:rFonts w:cs="David"/>
                <w:rtl/>
              </w:rPr>
              <w:t>משרות השכיר – במגזר הפרטי</w:t>
            </w:r>
          </w:p>
        </w:tc>
        <w:tc>
          <w:tcPr>
            <w:tcW w:w="990" w:type="dxa"/>
            <w:shd w:val="clear" w:color="auto" w:fill="auto"/>
            <w:vAlign w:val="center"/>
          </w:tcPr>
          <w:p w:rsidR="00583639" w:rsidRPr="00583639" w:rsidRDefault="00583639" w:rsidP="00583639">
            <w:pPr>
              <w:jc w:val="center"/>
              <w:rPr>
                <w:rFonts w:ascii="Arial" w:hAnsi="Arial" w:cs="Arial" w:hint="default"/>
              </w:rPr>
            </w:pPr>
            <w:r w:rsidRPr="00251F57">
              <w:rPr>
                <w:rFonts w:ascii="Arial" w:hAnsi="Arial" w:cs="Arial"/>
              </w:rPr>
              <w:t> </w:t>
            </w:r>
          </w:p>
        </w:tc>
        <w:tc>
          <w:tcPr>
            <w:tcW w:w="1017" w:type="dxa"/>
            <w:shd w:val="clear" w:color="auto" w:fill="auto"/>
            <w:vAlign w:val="center"/>
          </w:tcPr>
          <w:p w:rsidR="00583639" w:rsidRPr="00251F57" w:rsidRDefault="00583639" w:rsidP="00583639">
            <w:pPr>
              <w:jc w:val="center"/>
              <w:rPr>
                <w:rFonts w:ascii="Arial" w:hAnsi="Arial" w:cs="Arial" w:hint="default"/>
              </w:rPr>
            </w:pPr>
            <w:r w:rsidRPr="00251F57">
              <w:rPr>
                <w:rFonts w:ascii="Arial" w:hAnsi="Arial" w:cs="Arial"/>
              </w:rPr>
              <w:t> </w:t>
            </w:r>
          </w:p>
        </w:tc>
        <w:tc>
          <w:tcPr>
            <w:tcW w:w="992" w:type="dxa"/>
            <w:shd w:val="clear" w:color="auto" w:fill="auto"/>
            <w:vAlign w:val="center"/>
          </w:tcPr>
          <w:p w:rsidR="00583639" w:rsidRPr="00251F57" w:rsidRDefault="00583639" w:rsidP="00583639">
            <w:pPr>
              <w:jc w:val="center"/>
              <w:rPr>
                <w:rFonts w:ascii="Arial" w:hAnsi="Arial" w:cs="Arial" w:hint="default"/>
              </w:rPr>
            </w:pPr>
            <w:r w:rsidRPr="00251F57">
              <w:rPr>
                <w:rFonts w:ascii="Arial" w:hAnsi="Arial" w:cs="Arial"/>
              </w:rPr>
              <w:t>-27.9</w:t>
            </w:r>
          </w:p>
        </w:tc>
        <w:tc>
          <w:tcPr>
            <w:tcW w:w="992" w:type="dxa"/>
            <w:shd w:val="clear" w:color="auto" w:fill="auto"/>
            <w:vAlign w:val="center"/>
          </w:tcPr>
          <w:p w:rsidR="00583639" w:rsidRPr="00251F57" w:rsidRDefault="00583639" w:rsidP="00583639">
            <w:pPr>
              <w:jc w:val="center"/>
              <w:rPr>
                <w:rFonts w:ascii="Arial" w:hAnsi="Arial" w:cs="Arial" w:hint="default"/>
              </w:rPr>
            </w:pPr>
            <w:r w:rsidRPr="00251F57">
              <w:rPr>
                <w:rFonts w:ascii="Arial" w:hAnsi="Arial" w:cs="Arial"/>
              </w:rPr>
              <w:t>-3.2</w:t>
            </w:r>
          </w:p>
        </w:tc>
      </w:tr>
      <w:tr w:rsidR="00583639" w:rsidRPr="00947B41" w:rsidTr="00F51EB0">
        <w:trPr>
          <w:trHeight w:val="340"/>
          <w:tblHeader/>
        </w:trPr>
        <w:tc>
          <w:tcPr>
            <w:tcW w:w="4311" w:type="dxa"/>
            <w:shd w:val="clear" w:color="auto" w:fill="auto"/>
            <w:vAlign w:val="center"/>
          </w:tcPr>
          <w:p w:rsidR="00583639" w:rsidRPr="005D09FC" w:rsidRDefault="00583639" w:rsidP="00583639">
            <w:pPr>
              <w:autoSpaceDE w:val="0"/>
              <w:autoSpaceDN w:val="0"/>
              <w:bidi/>
              <w:adjustRightInd w:val="0"/>
              <w:rPr>
                <w:rFonts w:cs="David" w:hint="default"/>
                <w:i/>
                <w:rtl/>
              </w:rPr>
            </w:pPr>
            <w:r w:rsidRPr="005D09FC">
              <w:rPr>
                <w:rFonts w:cs="David"/>
                <w:rtl/>
              </w:rPr>
              <w:t>שיעור המשרות הפנויות במגזר העסקי</w:t>
            </w:r>
            <w:r>
              <w:rPr>
                <w:rFonts w:cs="David"/>
                <w:i/>
                <w:vertAlign w:val="superscript"/>
                <w:rtl/>
              </w:rPr>
              <w:t>4</w:t>
            </w:r>
          </w:p>
        </w:tc>
        <w:tc>
          <w:tcPr>
            <w:tcW w:w="990" w:type="dxa"/>
            <w:shd w:val="clear" w:color="auto" w:fill="auto"/>
            <w:vAlign w:val="center"/>
          </w:tcPr>
          <w:p w:rsidR="00583639" w:rsidRPr="00583639" w:rsidRDefault="00583639" w:rsidP="00583639">
            <w:pPr>
              <w:jc w:val="center"/>
              <w:rPr>
                <w:rFonts w:ascii="Arial" w:hAnsi="Arial" w:cs="Arial" w:hint="default"/>
              </w:rPr>
            </w:pPr>
            <w:r w:rsidRPr="00251F57">
              <w:rPr>
                <w:rFonts w:ascii="Arial" w:hAnsi="Arial" w:cs="Arial"/>
              </w:rPr>
              <w:t>2.2</w:t>
            </w:r>
          </w:p>
        </w:tc>
        <w:tc>
          <w:tcPr>
            <w:tcW w:w="1017" w:type="dxa"/>
            <w:shd w:val="clear" w:color="auto" w:fill="auto"/>
            <w:vAlign w:val="center"/>
          </w:tcPr>
          <w:p w:rsidR="00583639" w:rsidRPr="00251F57" w:rsidRDefault="00583639" w:rsidP="00583639">
            <w:pPr>
              <w:jc w:val="center"/>
              <w:rPr>
                <w:rFonts w:ascii="Arial" w:hAnsi="Arial" w:cs="Arial" w:hint="default"/>
              </w:rPr>
            </w:pPr>
            <w:r w:rsidRPr="00251F57">
              <w:rPr>
                <w:rFonts w:ascii="Arial" w:hAnsi="Arial" w:cs="Arial"/>
              </w:rPr>
              <w:t>2.0</w:t>
            </w:r>
          </w:p>
        </w:tc>
        <w:tc>
          <w:tcPr>
            <w:tcW w:w="992" w:type="dxa"/>
            <w:shd w:val="clear" w:color="auto" w:fill="auto"/>
            <w:vAlign w:val="center"/>
          </w:tcPr>
          <w:p w:rsidR="00583639" w:rsidRPr="00251F57" w:rsidRDefault="00583639" w:rsidP="00583639">
            <w:pPr>
              <w:jc w:val="center"/>
              <w:rPr>
                <w:rFonts w:ascii="Arial" w:hAnsi="Arial" w:cs="Arial" w:hint="default"/>
              </w:rPr>
            </w:pPr>
            <w:r w:rsidRPr="00251F57">
              <w:rPr>
                <w:rFonts w:ascii="Arial" w:hAnsi="Arial" w:cs="Arial"/>
              </w:rPr>
              <w:t>1.3</w:t>
            </w:r>
          </w:p>
        </w:tc>
        <w:tc>
          <w:tcPr>
            <w:tcW w:w="992" w:type="dxa"/>
            <w:shd w:val="clear" w:color="auto" w:fill="auto"/>
            <w:vAlign w:val="center"/>
          </w:tcPr>
          <w:p w:rsidR="00583639" w:rsidRPr="00251F57" w:rsidRDefault="00583639" w:rsidP="00583639">
            <w:pPr>
              <w:jc w:val="center"/>
              <w:rPr>
                <w:rFonts w:ascii="Arial" w:hAnsi="Arial" w:cs="Arial" w:hint="default"/>
              </w:rPr>
            </w:pPr>
            <w:r w:rsidRPr="00251F57">
              <w:rPr>
                <w:rFonts w:ascii="Arial" w:hAnsi="Arial" w:cs="Arial"/>
              </w:rPr>
              <w:t>1.8</w:t>
            </w:r>
          </w:p>
        </w:tc>
      </w:tr>
      <w:tr w:rsidR="00583639" w:rsidRPr="00947B41" w:rsidTr="00F51EB0">
        <w:trPr>
          <w:trHeight w:val="340"/>
          <w:tblHeader/>
        </w:trPr>
        <w:tc>
          <w:tcPr>
            <w:tcW w:w="4311" w:type="dxa"/>
            <w:shd w:val="clear" w:color="auto" w:fill="auto"/>
            <w:vAlign w:val="center"/>
          </w:tcPr>
          <w:p w:rsidR="00583639" w:rsidRPr="005D09FC" w:rsidRDefault="00583639" w:rsidP="00583639">
            <w:pPr>
              <w:autoSpaceDE w:val="0"/>
              <w:autoSpaceDN w:val="0"/>
              <w:bidi/>
              <w:adjustRightInd w:val="0"/>
              <w:rPr>
                <w:rFonts w:cs="David" w:hint="default"/>
                <w:rtl/>
              </w:rPr>
            </w:pPr>
            <w:r>
              <w:rPr>
                <w:rFonts w:cs="David"/>
                <w:rtl/>
              </w:rPr>
              <w:t>התחלות הבנייה</w:t>
            </w:r>
            <w:r>
              <w:rPr>
                <w:rStyle w:val="a5"/>
                <w:rFonts w:ascii="David" w:hAnsi="David"/>
                <w:rtl/>
              </w:rPr>
              <w:t>5</w:t>
            </w:r>
          </w:p>
        </w:tc>
        <w:tc>
          <w:tcPr>
            <w:tcW w:w="990" w:type="dxa"/>
            <w:shd w:val="clear" w:color="auto" w:fill="auto"/>
            <w:vAlign w:val="center"/>
          </w:tcPr>
          <w:p w:rsidR="00583639" w:rsidRPr="00583639" w:rsidRDefault="00583639" w:rsidP="00583639">
            <w:pPr>
              <w:jc w:val="center"/>
              <w:rPr>
                <w:rFonts w:ascii="Arial" w:hAnsi="Arial" w:cs="Arial" w:hint="default"/>
              </w:rPr>
            </w:pPr>
            <w:r w:rsidRPr="00251F57">
              <w:rPr>
                <w:rFonts w:ascii="Arial" w:hAnsi="Arial" w:cs="Arial"/>
              </w:rPr>
              <w:t> </w:t>
            </w:r>
          </w:p>
        </w:tc>
        <w:tc>
          <w:tcPr>
            <w:tcW w:w="1017" w:type="dxa"/>
            <w:shd w:val="clear" w:color="auto" w:fill="auto"/>
            <w:vAlign w:val="center"/>
          </w:tcPr>
          <w:p w:rsidR="00583639" w:rsidRPr="00251F57" w:rsidRDefault="00583639" w:rsidP="00583639">
            <w:pPr>
              <w:jc w:val="center"/>
              <w:rPr>
                <w:rFonts w:ascii="Arial" w:hAnsi="Arial" w:cs="Arial" w:hint="default"/>
              </w:rPr>
            </w:pPr>
          </w:p>
        </w:tc>
        <w:tc>
          <w:tcPr>
            <w:tcW w:w="992" w:type="dxa"/>
            <w:shd w:val="clear" w:color="auto" w:fill="auto"/>
            <w:vAlign w:val="center"/>
          </w:tcPr>
          <w:p w:rsidR="00583639" w:rsidRPr="00251F57" w:rsidRDefault="00583639" w:rsidP="00583639">
            <w:pPr>
              <w:jc w:val="center"/>
              <w:rPr>
                <w:rFonts w:ascii="Arial" w:hAnsi="Arial" w:cs="Arial" w:hint="default"/>
              </w:rPr>
            </w:pPr>
          </w:p>
        </w:tc>
        <w:tc>
          <w:tcPr>
            <w:tcW w:w="992" w:type="dxa"/>
            <w:shd w:val="clear" w:color="auto" w:fill="auto"/>
            <w:vAlign w:val="center"/>
          </w:tcPr>
          <w:p w:rsidR="00583639" w:rsidRPr="00251F57" w:rsidRDefault="00583639" w:rsidP="00583639">
            <w:pPr>
              <w:jc w:val="center"/>
              <w:rPr>
                <w:rFonts w:ascii="Arial" w:hAnsi="Arial" w:cs="Arial" w:hint="default"/>
              </w:rPr>
            </w:pPr>
            <w:r w:rsidRPr="00251F57">
              <w:rPr>
                <w:rFonts w:ascii="Arial" w:hAnsi="Arial" w:cs="Arial"/>
              </w:rPr>
              <w:t>-10.5</w:t>
            </w:r>
          </w:p>
        </w:tc>
      </w:tr>
    </w:tbl>
    <w:p w:rsidR="00ED29D4" w:rsidRPr="00ED29D4" w:rsidRDefault="00ED29D4" w:rsidP="005D09FC">
      <w:pPr>
        <w:bidi/>
        <w:rPr>
          <w:rFonts w:cs="David" w:hint="default"/>
          <w:sz w:val="25"/>
          <w:szCs w:val="25"/>
        </w:rPr>
      </w:pPr>
    </w:p>
    <w:sectPr w:rsidR="00ED29D4" w:rsidRPr="00ED29D4" w:rsidSect="002342DD">
      <w:footnotePr>
        <w:pos w:val="beneathText"/>
      </w:footnotePr>
      <w:type w:val="continuous"/>
      <w:pgSz w:w="11906" w:h="16838"/>
      <w:pgMar w:top="1077" w:right="1797" w:bottom="794" w:left="1797"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81D" w:rsidRDefault="00DC681D">
      <w:pPr>
        <w:rPr>
          <w:rFonts w:hint="default"/>
        </w:rPr>
      </w:pPr>
      <w:r>
        <w:separator/>
      </w:r>
    </w:p>
  </w:endnote>
  <w:endnote w:type="continuationSeparator" w:id="0">
    <w:p w:rsidR="00DC681D" w:rsidRDefault="00DC681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81D" w:rsidRDefault="00DC681D" w:rsidP="003E369F">
      <w:pPr>
        <w:jc w:val="right"/>
        <w:rPr>
          <w:rFonts w:hint="default"/>
        </w:rPr>
      </w:pPr>
      <w:r>
        <w:separator/>
      </w:r>
    </w:p>
  </w:footnote>
  <w:footnote w:type="continuationSeparator" w:id="0">
    <w:p w:rsidR="00DC681D" w:rsidRDefault="00DC681D">
      <w:pPr>
        <w:rPr>
          <w:rFonts w:hint="default"/>
        </w:rPr>
      </w:pPr>
      <w:r>
        <w:continuationSeparator/>
      </w:r>
    </w:p>
  </w:footnote>
  <w:footnote w:id="1">
    <w:p w:rsidR="001D4673" w:rsidRPr="00A5238E" w:rsidRDefault="001D4673" w:rsidP="001D4673">
      <w:pPr>
        <w:bidi/>
        <w:rPr>
          <w:rFonts w:ascii="Arial" w:hAnsi="Arial" w:cs="Arial" w:hint="default"/>
          <w:color w:val="1F497D"/>
          <w:sz w:val="22"/>
          <w:szCs w:val="22"/>
          <w:lang w:eastAsia="en-US"/>
        </w:rPr>
      </w:pPr>
      <w:r>
        <w:rPr>
          <w:rStyle w:val="a5"/>
        </w:rPr>
        <w:footnoteRef/>
      </w:r>
      <w:r>
        <w:rPr>
          <w:rtl/>
        </w:rPr>
        <w:t xml:space="preserve"> </w:t>
      </w:r>
      <w:r w:rsidRPr="00A5238E">
        <w:rPr>
          <w:rFonts w:ascii="David" w:hAnsi="David" w:cs="David" w:hint="default"/>
          <w:sz w:val="20"/>
          <w:szCs w:val="20"/>
          <w:rtl/>
        </w:rPr>
        <w:t>לאור השינויים החריפים בפעילות העסקית כתוצאה מהקורונה, החל מחודש פברואר החישוב של קצב מגמה בוצע על בסיס מודל שינוי המשטרים (</w:t>
      </w:r>
      <w:r w:rsidRPr="00A5238E">
        <w:rPr>
          <w:rFonts w:ascii="David" w:hAnsi="David" w:cs="David" w:hint="default"/>
          <w:sz w:val="20"/>
          <w:szCs w:val="20"/>
        </w:rPr>
        <w:t>regime switching</w:t>
      </w:r>
      <w:r w:rsidRPr="00A5238E">
        <w:rPr>
          <w:rFonts w:ascii="David" w:hAnsi="David" w:cs="David" w:hint="default"/>
          <w:sz w:val="20"/>
          <w:szCs w:val="20"/>
          <w:rtl/>
        </w:rPr>
        <w:t>)</w:t>
      </w:r>
      <w:r w:rsidRPr="00A5238E">
        <w:rPr>
          <w:rFonts w:ascii="David" w:hAnsi="David" w:cs="David" w:hint="default"/>
          <w:sz w:val="20"/>
          <w:szCs w:val="20"/>
        </w:rPr>
        <w:t xml:space="preserve"> </w:t>
      </w:r>
      <w:r w:rsidRPr="00A5238E">
        <w:rPr>
          <w:rFonts w:ascii="David" w:hAnsi="David" w:cs="David" w:hint="default"/>
          <w:sz w:val="20"/>
          <w:szCs w:val="20"/>
          <w:rtl/>
        </w:rPr>
        <w:t> המתווסף למערכת הרגילה של המודל המבוססת על מסנן קלמן (</w:t>
      </w:r>
      <w:proofErr w:type="spellStart"/>
      <w:r w:rsidRPr="00A5238E">
        <w:rPr>
          <w:rFonts w:ascii="David" w:hAnsi="David" w:cs="David" w:hint="default"/>
          <w:sz w:val="20"/>
          <w:szCs w:val="20"/>
        </w:rPr>
        <w:t>Kalman</w:t>
      </w:r>
      <w:proofErr w:type="spellEnd"/>
      <w:r w:rsidRPr="00A5238E">
        <w:rPr>
          <w:rFonts w:ascii="David" w:hAnsi="David" w:cs="David" w:hint="default"/>
          <w:sz w:val="20"/>
          <w:szCs w:val="20"/>
        </w:rPr>
        <w:t xml:space="preserve"> Filter</w:t>
      </w:r>
      <w:r w:rsidRPr="00A5238E">
        <w:rPr>
          <w:rFonts w:ascii="David" w:hAnsi="David" w:cs="David" w:hint="default"/>
          <w:sz w:val="20"/>
          <w:szCs w:val="20"/>
          <w:rtl/>
        </w:rPr>
        <w:t>).</w:t>
      </w:r>
    </w:p>
    <w:p w:rsidR="001D4673" w:rsidRPr="00A5238E" w:rsidRDefault="001D4673" w:rsidP="001D4673">
      <w:pPr>
        <w:pStyle w:val="a4"/>
      </w:pPr>
    </w:p>
  </w:footnote>
  <w:footnote w:id="2">
    <w:p w:rsidR="00793856" w:rsidRPr="00793856" w:rsidRDefault="00793856" w:rsidP="00810975">
      <w:pPr>
        <w:pStyle w:val="a4"/>
        <w:spacing w:line="240" w:lineRule="auto"/>
        <w:ind w:left="0" w:firstLine="0"/>
        <w:rPr>
          <w:rtl/>
        </w:rPr>
      </w:pPr>
      <w:r w:rsidRPr="00793856">
        <w:rPr>
          <w:rStyle w:val="a5"/>
        </w:rPr>
        <w:sym w:font="Symbol" w:char="F0A8"/>
      </w:r>
      <w:r w:rsidRPr="00793856">
        <w:rPr>
          <w:i/>
          <w:iCs w:val="0"/>
          <w:sz w:val="24"/>
          <w:szCs w:val="24"/>
          <w:rtl/>
        </w:rPr>
        <w:t xml:space="preserve"> מאחר ש</w:t>
      </w:r>
      <w:r>
        <w:rPr>
          <w:rFonts w:hint="cs"/>
          <w:i/>
          <w:iCs w:val="0"/>
          <w:sz w:val="24"/>
          <w:szCs w:val="24"/>
          <w:rtl/>
        </w:rPr>
        <w:t>ב</w:t>
      </w:r>
      <w:r>
        <w:rPr>
          <w:i/>
          <w:iCs w:val="0"/>
          <w:sz w:val="24"/>
          <w:szCs w:val="24"/>
          <w:rtl/>
        </w:rPr>
        <w:t>למ״ס לא ח</w:t>
      </w:r>
      <w:r>
        <w:rPr>
          <w:rFonts w:hint="cs"/>
          <w:i/>
          <w:iCs w:val="0"/>
          <w:sz w:val="24"/>
          <w:szCs w:val="24"/>
          <w:rtl/>
        </w:rPr>
        <w:t>י</w:t>
      </w:r>
      <w:r w:rsidRPr="00793856">
        <w:rPr>
          <w:i/>
          <w:iCs w:val="0"/>
          <w:sz w:val="24"/>
          <w:szCs w:val="24"/>
          <w:rtl/>
        </w:rPr>
        <w:t xml:space="preserve">שבו סדרות מנוכות עונתיות עבור חלק מהמשתנים, יתכנו אי-התאמות בין חלק מהנתונים המופיעים בלוחות המדד המשולב ובין פרסומי </w:t>
      </w:r>
      <w:proofErr w:type="spellStart"/>
      <w:r w:rsidRPr="00793856">
        <w:rPr>
          <w:i/>
          <w:iCs w:val="0"/>
          <w:sz w:val="24"/>
          <w:szCs w:val="24"/>
          <w:rtl/>
        </w:rPr>
        <w:t>הלמ״ס</w:t>
      </w:r>
      <w:proofErr w:type="spellEnd"/>
      <w:r w:rsidRPr="00793856">
        <w:rPr>
          <w:i/>
          <w:iCs w:val="0"/>
          <w:sz w:val="24"/>
          <w:szCs w:val="24"/>
          <w:rtl/>
        </w:rPr>
        <w:t>.</w:t>
      </w:r>
    </w:p>
  </w:footnote>
  <w:footnote w:id="3">
    <w:p w:rsidR="00B22B59" w:rsidRPr="003C4DA5" w:rsidRDefault="00B22B59" w:rsidP="006B7509">
      <w:pPr>
        <w:bidi/>
        <w:jc w:val="both"/>
        <w:rPr>
          <w:rFonts w:ascii="David" w:hAnsi="David" w:cs="David" w:hint="default"/>
          <w:rtl/>
        </w:rPr>
      </w:pPr>
      <w:r w:rsidRPr="003C4DA5">
        <w:rPr>
          <w:rFonts w:ascii="David" w:hAnsi="David" w:cs="David" w:hint="default"/>
          <w:vertAlign w:val="superscript"/>
          <w:rtl/>
        </w:rPr>
        <w:t>1</w:t>
      </w:r>
      <w:r w:rsidRPr="003C4DA5">
        <w:rPr>
          <w:rFonts w:ascii="David" w:hAnsi="David" w:cs="David" w:hint="default"/>
          <w:rtl/>
        </w:rPr>
        <w:t xml:space="preserve">מאחר </w:t>
      </w:r>
      <w:proofErr w:type="spellStart"/>
      <w:r w:rsidRPr="003C4DA5">
        <w:rPr>
          <w:rFonts w:ascii="David" w:hAnsi="David" w:cs="David" w:hint="default"/>
          <w:rtl/>
        </w:rPr>
        <w:t>והלמ״ס</w:t>
      </w:r>
      <w:proofErr w:type="spellEnd"/>
      <w:r w:rsidRPr="003C4DA5">
        <w:rPr>
          <w:rFonts w:ascii="David" w:hAnsi="David" w:cs="David" w:hint="default"/>
          <w:rtl/>
        </w:rPr>
        <w:t xml:space="preserve"> לא חישבה ניכוי עונתיות עבור מרץ</w:t>
      </w:r>
      <w:r>
        <w:rPr>
          <w:rFonts w:ascii="David" w:hAnsi="David" w:cs="David"/>
          <w:rtl/>
        </w:rPr>
        <w:t>-מאי</w:t>
      </w:r>
      <w:r w:rsidRPr="003C4DA5">
        <w:rPr>
          <w:rFonts w:ascii="David" w:hAnsi="David" w:cs="David" w:hint="default"/>
          <w:rtl/>
        </w:rPr>
        <w:t>, נתוני הייצור התעשייתי והפדיון לחודשים אלה חושבו על בסיס גורם עונתיות חזוי לאותו חודש</w:t>
      </w:r>
      <w:r w:rsidR="006B7509">
        <w:rPr>
          <w:rFonts w:ascii="David" w:hAnsi="David" w:cs="David"/>
          <w:rtl/>
        </w:rPr>
        <w:t>.</w:t>
      </w:r>
    </w:p>
    <w:p w:rsidR="00583639" w:rsidRDefault="00583639" w:rsidP="00B22B59">
      <w:pPr>
        <w:bidi/>
        <w:jc w:val="both"/>
        <w:rPr>
          <w:rFonts w:cs="David" w:hint="default"/>
          <w:i/>
          <w:rtl/>
        </w:rPr>
      </w:pPr>
      <w:r>
        <w:rPr>
          <w:rStyle w:val="a5"/>
          <w:rtl/>
        </w:rPr>
        <w:t>2</w:t>
      </w:r>
      <w:r w:rsidRPr="00760588">
        <w:rPr>
          <w:rFonts w:cs="David"/>
          <w:i/>
          <w:rtl/>
        </w:rPr>
        <w:t xml:space="preserve"> </w:t>
      </w:r>
      <w:r>
        <w:rPr>
          <w:rFonts w:cs="David"/>
          <w:i/>
          <w:rtl/>
        </w:rPr>
        <w:t>יבוא ויצוא הסחורות מחושבים במחירים קבועים (באמצעות ניכוי שינויים במדדי המחירים של סחר החוץ)</w:t>
      </w:r>
    </w:p>
    <w:p w:rsidR="00583639" w:rsidRPr="00F51EB0" w:rsidRDefault="00583639" w:rsidP="00F664FC">
      <w:pPr>
        <w:pStyle w:val="a4"/>
        <w:spacing w:after="0" w:line="240" w:lineRule="auto"/>
        <w:ind w:left="0" w:firstLine="0"/>
        <w:rPr>
          <w:iCs w:val="0"/>
          <w:sz w:val="24"/>
          <w:szCs w:val="24"/>
          <w:rtl/>
        </w:rPr>
      </w:pPr>
      <w:r w:rsidRPr="00E605F2">
        <w:rPr>
          <w:rStyle w:val="a5"/>
          <w:i/>
          <w:iCs w:val="0"/>
          <w:sz w:val="24"/>
          <w:szCs w:val="24"/>
          <w:rtl/>
        </w:rPr>
        <w:t>3</w:t>
      </w:r>
      <w:r w:rsidRPr="00E605F2">
        <w:rPr>
          <w:i/>
          <w:sz w:val="24"/>
          <w:szCs w:val="24"/>
          <w:rtl/>
        </w:rPr>
        <w:t xml:space="preserve"> </w:t>
      </w:r>
      <w:r w:rsidRPr="00E605F2">
        <w:rPr>
          <w:iCs w:val="0"/>
          <w:sz w:val="24"/>
          <w:szCs w:val="24"/>
          <w:rtl/>
        </w:rPr>
        <w:t>יצוא השירותים</w:t>
      </w:r>
      <w:r w:rsidRPr="00D45715">
        <w:rPr>
          <w:iCs w:val="0"/>
          <w:sz w:val="24"/>
          <w:szCs w:val="24"/>
          <w:rtl/>
        </w:rPr>
        <w:t xml:space="preserve"> מחושב במונחים ריאליים באמצעות מדד המחירים לצרכן</w:t>
      </w:r>
      <w:r w:rsidR="004955C5">
        <w:rPr>
          <w:rFonts w:hint="cs"/>
          <w:iCs w:val="0"/>
          <w:sz w:val="24"/>
          <w:szCs w:val="24"/>
          <w:rtl/>
        </w:rPr>
        <w:t xml:space="preserve"> ומורכב מיצוא שירותים עסקיים אחרים ויצוא שירותי תיירות. </w:t>
      </w:r>
      <w:r w:rsidR="004955C5" w:rsidRPr="00762C7E">
        <w:rPr>
          <w:i/>
          <w:iCs w:val="0"/>
          <w:sz w:val="24"/>
          <w:szCs w:val="24"/>
          <w:rtl/>
        </w:rPr>
        <w:t xml:space="preserve">מאחר </w:t>
      </w:r>
      <w:proofErr w:type="spellStart"/>
      <w:r w:rsidR="004955C5" w:rsidRPr="00762C7E">
        <w:rPr>
          <w:i/>
          <w:iCs w:val="0"/>
          <w:sz w:val="24"/>
          <w:szCs w:val="24"/>
          <w:rtl/>
        </w:rPr>
        <w:t>והלמ״ס</w:t>
      </w:r>
      <w:proofErr w:type="spellEnd"/>
      <w:r w:rsidR="004955C5" w:rsidRPr="00762C7E">
        <w:rPr>
          <w:i/>
          <w:iCs w:val="0"/>
          <w:sz w:val="24"/>
          <w:szCs w:val="24"/>
          <w:rtl/>
        </w:rPr>
        <w:t xml:space="preserve"> לא חישבה </w:t>
      </w:r>
      <w:r w:rsidR="004955C5">
        <w:rPr>
          <w:rFonts w:hint="cs"/>
          <w:i/>
          <w:iCs w:val="0"/>
          <w:sz w:val="24"/>
          <w:szCs w:val="24"/>
          <w:rtl/>
        </w:rPr>
        <w:t>ניכוי עונתיות</w:t>
      </w:r>
      <w:r w:rsidR="004955C5" w:rsidRPr="00762C7E">
        <w:rPr>
          <w:i/>
          <w:iCs w:val="0"/>
          <w:sz w:val="24"/>
          <w:szCs w:val="24"/>
          <w:rtl/>
        </w:rPr>
        <w:t xml:space="preserve"> עבור מרץ</w:t>
      </w:r>
      <w:r w:rsidR="00F664FC">
        <w:rPr>
          <w:rFonts w:hint="cs"/>
          <w:i/>
          <w:iCs w:val="0"/>
          <w:sz w:val="24"/>
          <w:szCs w:val="24"/>
          <w:rtl/>
        </w:rPr>
        <w:t xml:space="preserve">-מאי </w:t>
      </w:r>
      <w:r w:rsidR="004955C5">
        <w:rPr>
          <w:rFonts w:hint="cs"/>
          <w:i/>
          <w:iCs w:val="0"/>
          <w:sz w:val="24"/>
          <w:szCs w:val="24"/>
          <w:rtl/>
        </w:rPr>
        <w:t xml:space="preserve">לנתוני יצוא שירותי תיירות, נתוני יצוא </w:t>
      </w:r>
      <w:r w:rsidR="00AD2A6A">
        <w:rPr>
          <w:rFonts w:hint="cs"/>
          <w:i/>
          <w:iCs w:val="0"/>
          <w:sz w:val="24"/>
          <w:szCs w:val="24"/>
          <w:rtl/>
        </w:rPr>
        <w:t>ה</w:t>
      </w:r>
      <w:r w:rsidR="004955C5">
        <w:rPr>
          <w:rFonts w:hint="cs"/>
          <w:i/>
          <w:iCs w:val="0"/>
          <w:sz w:val="24"/>
          <w:szCs w:val="24"/>
          <w:rtl/>
        </w:rPr>
        <w:t>שירותים לחודשים מרץ-</w:t>
      </w:r>
      <w:r w:rsidR="00F664FC">
        <w:rPr>
          <w:rFonts w:hint="cs"/>
          <w:i/>
          <w:iCs w:val="0"/>
          <w:sz w:val="24"/>
          <w:szCs w:val="24"/>
          <w:rtl/>
        </w:rPr>
        <w:t>מאי</w:t>
      </w:r>
      <w:r w:rsidR="004955C5">
        <w:rPr>
          <w:rFonts w:hint="cs"/>
          <w:i/>
          <w:iCs w:val="0"/>
          <w:sz w:val="24"/>
          <w:szCs w:val="24"/>
          <w:rtl/>
        </w:rPr>
        <w:t xml:space="preserve"> הם סכום של יצוא שירותים עסקיים אחרים בניכוי עונתיות ויצוא שירותי תיירות בנתונים מקוריים.</w:t>
      </w:r>
    </w:p>
    <w:p w:rsidR="00583639" w:rsidRDefault="00583639" w:rsidP="00D45715">
      <w:pPr>
        <w:bidi/>
        <w:jc w:val="both"/>
        <w:rPr>
          <w:rFonts w:cs="David" w:hint="default"/>
          <w:rtl/>
        </w:rPr>
      </w:pPr>
      <w:r>
        <w:rPr>
          <w:rStyle w:val="a5"/>
          <w:rtl/>
        </w:rPr>
        <w:t>4</w:t>
      </w:r>
      <w:r>
        <w:rPr>
          <w:rFonts w:cs="David"/>
          <w:i/>
          <w:rtl/>
        </w:rPr>
        <w:t xml:space="preserve"> </w:t>
      </w:r>
      <w:r w:rsidRPr="00760588">
        <w:rPr>
          <w:rFonts w:cs="David"/>
          <w:i/>
          <w:rtl/>
        </w:rPr>
        <w:t>שיעור המשרות הפנ</w:t>
      </w:r>
      <w:r>
        <w:rPr>
          <w:rFonts w:cs="David"/>
          <w:i/>
          <w:rtl/>
        </w:rPr>
        <w:t>ו</w:t>
      </w:r>
      <w:r w:rsidRPr="00760588">
        <w:rPr>
          <w:rFonts w:cs="David"/>
          <w:i/>
          <w:rtl/>
        </w:rPr>
        <w:t xml:space="preserve">יות </w:t>
      </w:r>
      <w:r>
        <w:rPr>
          <w:rFonts w:cs="David"/>
          <w:i/>
          <w:rtl/>
        </w:rPr>
        <w:t>מחושב מתוך סך המועסקים ו</w:t>
      </w:r>
      <w:r w:rsidRPr="00760588">
        <w:rPr>
          <w:rFonts w:cs="David"/>
          <w:i/>
          <w:rtl/>
        </w:rPr>
        <w:t>נכלל במדד ברמתו</w:t>
      </w:r>
      <w:r>
        <w:rPr>
          <w:rFonts w:cs="David"/>
          <w:i/>
          <w:rtl/>
        </w:rPr>
        <w:t>.</w:t>
      </w:r>
      <w:r>
        <w:rPr>
          <w:rFonts w:cs="David"/>
          <w:rtl/>
        </w:rPr>
        <w:t xml:space="preserve"> מאחר </w:t>
      </w:r>
      <w:proofErr w:type="spellStart"/>
      <w:r>
        <w:rPr>
          <w:rFonts w:cs="David"/>
          <w:rtl/>
        </w:rPr>
        <w:t>ו</w:t>
      </w:r>
      <w:r w:rsidRPr="00793856">
        <w:rPr>
          <w:rFonts w:cs="David" w:hint="default"/>
          <w:rtl/>
        </w:rPr>
        <w:t>הלמ״ס</w:t>
      </w:r>
      <w:proofErr w:type="spellEnd"/>
      <w:r w:rsidRPr="00793856">
        <w:rPr>
          <w:rFonts w:cs="David" w:hint="default"/>
          <w:rtl/>
        </w:rPr>
        <w:t xml:space="preserve"> לא ח</w:t>
      </w:r>
      <w:r>
        <w:rPr>
          <w:rFonts w:cs="David"/>
          <w:rtl/>
        </w:rPr>
        <w:t>י</w:t>
      </w:r>
      <w:r>
        <w:rPr>
          <w:rFonts w:cs="David" w:hint="default"/>
          <w:rtl/>
        </w:rPr>
        <w:t>שב</w:t>
      </w:r>
      <w:r>
        <w:rPr>
          <w:rFonts w:cs="David"/>
          <w:rtl/>
        </w:rPr>
        <w:t>ה ניכוי</w:t>
      </w:r>
      <w:r w:rsidRPr="00793856">
        <w:rPr>
          <w:rFonts w:cs="David" w:hint="default"/>
          <w:rtl/>
        </w:rPr>
        <w:t xml:space="preserve"> עונתיות</w:t>
      </w:r>
      <w:r>
        <w:rPr>
          <w:rFonts w:cs="David"/>
          <w:rtl/>
        </w:rPr>
        <w:t xml:space="preserve"> עבור מרץ-</w:t>
      </w:r>
      <w:r w:rsidR="00695C45">
        <w:rPr>
          <w:rFonts w:cs="David"/>
          <w:rtl/>
        </w:rPr>
        <w:t xml:space="preserve">יוני </w:t>
      </w:r>
      <w:r>
        <w:rPr>
          <w:rFonts w:cs="David"/>
          <w:rtl/>
        </w:rPr>
        <w:t xml:space="preserve">הנתונים לחודשים אלה אינם </w:t>
      </w:r>
      <w:proofErr w:type="spellStart"/>
      <w:r>
        <w:rPr>
          <w:rFonts w:cs="David"/>
          <w:rtl/>
        </w:rPr>
        <w:t>מנוכי</w:t>
      </w:r>
      <w:proofErr w:type="spellEnd"/>
      <w:r>
        <w:rPr>
          <w:rFonts w:cs="David"/>
          <w:rtl/>
        </w:rPr>
        <w:t xml:space="preserve"> עונתיות.</w:t>
      </w:r>
    </w:p>
    <w:p w:rsidR="00583639" w:rsidRPr="002758EE" w:rsidRDefault="00583639" w:rsidP="00BD36C8">
      <w:pPr>
        <w:bidi/>
        <w:jc w:val="both"/>
        <w:rPr>
          <w:rFonts w:cs="David" w:hint="default"/>
          <w:rtl/>
        </w:rPr>
      </w:pPr>
      <w:r>
        <w:rPr>
          <w:rStyle w:val="a5"/>
          <w:rtl/>
        </w:rPr>
        <w:t>5</w:t>
      </w:r>
      <w:r w:rsidRPr="00C4668E">
        <w:rPr>
          <w:rFonts w:hint="default"/>
          <w:rtl/>
        </w:rPr>
        <w:t xml:space="preserve"> </w:t>
      </w:r>
      <w:r w:rsidRPr="00760588">
        <w:rPr>
          <w:rFonts w:cs="David"/>
          <w:i/>
          <w:rtl/>
        </w:rPr>
        <w:t xml:space="preserve">מכיוון </w:t>
      </w:r>
      <w:proofErr w:type="spellStart"/>
      <w:r w:rsidRPr="00760588">
        <w:rPr>
          <w:rFonts w:cs="David"/>
          <w:i/>
          <w:rtl/>
        </w:rPr>
        <w:t>שהלמ"ס</w:t>
      </w:r>
      <w:proofErr w:type="spellEnd"/>
      <w:r w:rsidRPr="00760588">
        <w:rPr>
          <w:rFonts w:cs="David"/>
          <w:i/>
          <w:rtl/>
        </w:rPr>
        <w:t> מפרס</w:t>
      </w:r>
      <w:r>
        <w:rPr>
          <w:rFonts w:cs="David"/>
          <w:i/>
          <w:rtl/>
        </w:rPr>
        <w:t>מת</w:t>
      </w:r>
      <w:r w:rsidRPr="00760588">
        <w:rPr>
          <w:rFonts w:cs="David"/>
          <w:i/>
          <w:rtl/>
        </w:rPr>
        <w:t xml:space="preserve"> את נתוני התחלות הבניה פעם ברביע, הנתונים </w:t>
      </w:r>
      <w:r>
        <w:rPr>
          <w:rFonts w:cs="David"/>
          <w:i/>
          <w:rtl/>
        </w:rPr>
        <w:t>ה</w:t>
      </w:r>
      <w:r w:rsidRPr="00760588">
        <w:rPr>
          <w:rFonts w:cs="David"/>
          <w:i/>
          <w:rtl/>
        </w:rPr>
        <w:t>משולבים במודל הם בפריסה חודשית</w:t>
      </w:r>
      <w:r>
        <w:rPr>
          <w:rFonts w:cs="David"/>
          <w:i/>
          <w:rtl/>
        </w:rPr>
        <w:t xml:space="preserve"> על סמך מקורות נוספים,</w:t>
      </w:r>
      <w:r w:rsidRPr="00760588">
        <w:rPr>
          <w:rFonts w:cs="David"/>
          <w:i/>
          <w:rtl/>
        </w:rPr>
        <w:t xml:space="preserve"> </w:t>
      </w:r>
      <w:r>
        <w:rPr>
          <w:rFonts w:cs="David"/>
          <w:i/>
          <w:rtl/>
        </w:rPr>
        <w:t>כך שהפריסה תואמת את</w:t>
      </w:r>
      <w:r w:rsidRPr="00B96FC0">
        <w:rPr>
          <w:rFonts w:cs="David"/>
          <w:i/>
          <w:rtl/>
        </w:rPr>
        <w:t xml:space="preserve"> הנתון הרבעוני </w:t>
      </w:r>
      <w:proofErr w:type="spellStart"/>
      <w:r w:rsidRPr="00B96FC0">
        <w:rPr>
          <w:rFonts w:cs="David"/>
          <w:i/>
          <w:rtl/>
        </w:rPr>
        <w:t>שהלמ"ס</w:t>
      </w:r>
      <w:proofErr w:type="spellEnd"/>
      <w:r w:rsidRPr="00B96FC0">
        <w:rPr>
          <w:rFonts w:cs="David"/>
          <w:i/>
          <w:rtl/>
        </w:rPr>
        <w:t xml:space="preserve"> מפרס</w:t>
      </w:r>
      <w:r>
        <w:rPr>
          <w:rFonts w:cs="David"/>
          <w:i/>
          <w:rtl/>
        </w:rPr>
        <w:t>מת</w:t>
      </w:r>
      <w:r w:rsidRPr="00B96FC0">
        <w:rPr>
          <w:rFonts w:cs="David"/>
          <w:i/>
          <w:rtl/>
        </w:rPr>
        <w:t> (באחוזים, מנוכה עונתיות)</w:t>
      </w:r>
      <w:r>
        <w:rPr>
          <w:rFonts w:cs="David"/>
          <w:i/>
          <w:rtl/>
        </w:rPr>
        <w:t>.</w:t>
      </w:r>
    </w:p>
    <w:p w:rsidR="00583639" w:rsidRPr="00760588" w:rsidRDefault="00583639" w:rsidP="00D5248A">
      <w:pPr>
        <w:bidi/>
        <w:rPr>
          <w:rFonts w:cs="David" w:hint="default"/>
          <w:i/>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A72E1D"/>
    <w:multiLevelType w:val="hybridMultilevel"/>
    <w:tmpl w:val="D5F001F4"/>
    <w:lvl w:ilvl="0" w:tplc="C3B47E1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ABC"/>
    <w:rsid w:val="00003856"/>
    <w:rsid w:val="0000573F"/>
    <w:rsid w:val="000103C0"/>
    <w:rsid w:val="00010746"/>
    <w:rsid w:val="0001081A"/>
    <w:rsid w:val="00014DAC"/>
    <w:rsid w:val="000158AE"/>
    <w:rsid w:val="0002202B"/>
    <w:rsid w:val="000236C4"/>
    <w:rsid w:val="00024F28"/>
    <w:rsid w:val="0002749B"/>
    <w:rsid w:val="00031468"/>
    <w:rsid w:val="00032222"/>
    <w:rsid w:val="00032246"/>
    <w:rsid w:val="000358FB"/>
    <w:rsid w:val="00035DD4"/>
    <w:rsid w:val="00036E24"/>
    <w:rsid w:val="00040666"/>
    <w:rsid w:val="00040A25"/>
    <w:rsid w:val="00040FEE"/>
    <w:rsid w:val="0004267F"/>
    <w:rsid w:val="00042D48"/>
    <w:rsid w:val="000441F2"/>
    <w:rsid w:val="00045277"/>
    <w:rsid w:val="00045601"/>
    <w:rsid w:val="00046A4E"/>
    <w:rsid w:val="00046D6C"/>
    <w:rsid w:val="00047043"/>
    <w:rsid w:val="00050050"/>
    <w:rsid w:val="00050A15"/>
    <w:rsid w:val="00052964"/>
    <w:rsid w:val="000540D7"/>
    <w:rsid w:val="000544C3"/>
    <w:rsid w:val="00055509"/>
    <w:rsid w:val="00055715"/>
    <w:rsid w:val="0005596A"/>
    <w:rsid w:val="00057779"/>
    <w:rsid w:val="0005777D"/>
    <w:rsid w:val="00060A05"/>
    <w:rsid w:val="000626E7"/>
    <w:rsid w:val="00062AC5"/>
    <w:rsid w:val="0006311E"/>
    <w:rsid w:val="00067515"/>
    <w:rsid w:val="00070381"/>
    <w:rsid w:val="00070419"/>
    <w:rsid w:val="00070B0F"/>
    <w:rsid w:val="00071592"/>
    <w:rsid w:val="0007306E"/>
    <w:rsid w:val="00075529"/>
    <w:rsid w:val="00077B3C"/>
    <w:rsid w:val="00077C8C"/>
    <w:rsid w:val="00080509"/>
    <w:rsid w:val="00081A7F"/>
    <w:rsid w:val="00081D33"/>
    <w:rsid w:val="000826DD"/>
    <w:rsid w:val="00082B25"/>
    <w:rsid w:val="00083D86"/>
    <w:rsid w:val="000849F2"/>
    <w:rsid w:val="00084DB9"/>
    <w:rsid w:val="000854FE"/>
    <w:rsid w:val="00092FED"/>
    <w:rsid w:val="00094E1C"/>
    <w:rsid w:val="00095A4A"/>
    <w:rsid w:val="00096DF5"/>
    <w:rsid w:val="000971CA"/>
    <w:rsid w:val="000A023D"/>
    <w:rsid w:val="000A291B"/>
    <w:rsid w:val="000A409C"/>
    <w:rsid w:val="000A5359"/>
    <w:rsid w:val="000A7D18"/>
    <w:rsid w:val="000B0248"/>
    <w:rsid w:val="000B139A"/>
    <w:rsid w:val="000B1B01"/>
    <w:rsid w:val="000B2079"/>
    <w:rsid w:val="000B441E"/>
    <w:rsid w:val="000B4AD7"/>
    <w:rsid w:val="000B4C78"/>
    <w:rsid w:val="000B6553"/>
    <w:rsid w:val="000B76BE"/>
    <w:rsid w:val="000B7DAB"/>
    <w:rsid w:val="000C00DD"/>
    <w:rsid w:val="000C047D"/>
    <w:rsid w:val="000C0B94"/>
    <w:rsid w:val="000C0CC2"/>
    <w:rsid w:val="000C3689"/>
    <w:rsid w:val="000C4278"/>
    <w:rsid w:val="000C5413"/>
    <w:rsid w:val="000C77B7"/>
    <w:rsid w:val="000D2D62"/>
    <w:rsid w:val="000D5A4F"/>
    <w:rsid w:val="000D66F1"/>
    <w:rsid w:val="000E0669"/>
    <w:rsid w:val="000E1C92"/>
    <w:rsid w:val="000E1DC0"/>
    <w:rsid w:val="000E1DC3"/>
    <w:rsid w:val="000E336E"/>
    <w:rsid w:val="000E3D4F"/>
    <w:rsid w:val="000E4260"/>
    <w:rsid w:val="000E5F7F"/>
    <w:rsid w:val="000F022C"/>
    <w:rsid w:val="000F2091"/>
    <w:rsid w:val="000F2903"/>
    <w:rsid w:val="000F398C"/>
    <w:rsid w:val="000F44D1"/>
    <w:rsid w:val="000F6D88"/>
    <w:rsid w:val="000F6F52"/>
    <w:rsid w:val="001007C1"/>
    <w:rsid w:val="001018B1"/>
    <w:rsid w:val="00101B51"/>
    <w:rsid w:val="00101BE4"/>
    <w:rsid w:val="00103A67"/>
    <w:rsid w:val="00106467"/>
    <w:rsid w:val="0011195C"/>
    <w:rsid w:val="001124C1"/>
    <w:rsid w:val="001125C2"/>
    <w:rsid w:val="00114A91"/>
    <w:rsid w:val="00116577"/>
    <w:rsid w:val="0011689C"/>
    <w:rsid w:val="00117D8A"/>
    <w:rsid w:val="001201B9"/>
    <w:rsid w:val="0012042E"/>
    <w:rsid w:val="00121AFE"/>
    <w:rsid w:val="00122C31"/>
    <w:rsid w:val="00123020"/>
    <w:rsid w:val="00124492"/>
    <w:rsid w:val="001278E5"/>
    <w:rsid w:val="00127DD3"/>
    <w:rsid w:val="00130514"/>
    <w:rsid w:val="00132419"/>
    <w:rsid w:val="001370F1"/>
    <w:rsid w:val="00137B76"/>
    <w:rsid w:val="0014020D"/>
    <w:rsid w:val="00142998"/>
    <w:rsid w:val="00142A73"/>
    <w:rsid w:val="00142D20"/>
    <w:rsid w:val="001440F2"/>
    <w:rsid w:val="00146544"/>
    <w:rsid w:val="00146D38"/>
    <w:rsid w:val="001511D9"/>
    <w:rsid w:val="0015322E"/>
    <w:rsid w:val="00157D11"/>
    <w:rsid w:val="00160F55"/>
    <w:rsid w:val="00160FA0"/>
    <w:rsid w:val="00162EC4"/>
    <w:rsid w:val="00163AAE"/>
    <w:rsid w:val="00163CDB"/>
    <w:rsid w:val="00163F11"/>
    <w:rsid w:val="0016415E"/>
    <w:rsid w:val="001642C1"/>
    <w:rsid w:val="00164304"/>
    <w:rsid w:val="001648B0"/>
    <w:rsid w:val="00164E66"/>
    <w:rsid w:val="00166428"/>
    <w:rsid w:val="001669E9"/>
    <w:rsid w:val="001706BC"/>
    <w:rsid w:val="00170782"/>
    <w:rsid w:val="00171A53"/>
    <w:rsid w:val="00171AE8"/>
    <w:rsid w:val="00172E77"/>
    <w:rsid w:val="001736DE"/>
    <w:rsid w:val="00174962"/>
    <w:rsid w:val="00174E08"/>
    <w:rsid w:val="0018181B"/>
    <w:rsid w:val="00184841"/>
    <w:rsid w:val="00185E3B"/>
    <w:rsid w:val="00186455"/>
    <w:rsid w:val="001869FE"/>
    <w:rsid w:val="0018702A"/>
    <w:rsid w:val="00187FC4"/>
    <w:rsid w:val="001903F9"/>
    <w:rsid w:val="0019197F"/>
    <w:rsid w:val="001929E4"/>
    <w:rsid w:val="001967D0"/>
    <w:rsid w:val="0019744F"/>
    <w:rsid w:val="001A0633"/>
    <w:rsid w:val="001A08DD"/>
    <w:rsid w:val="001A514F"/>
    <w:rsid w:val="001B40AB"/>
    <w:rsid w:val="001B6B70"/>
    <w:rsid w:val="001B7AF1"/>
    <w:rsid w:val="001C12F5"/>
    <w:rsid w:val="001C2E66"/>
    <w:rsid w:val="001C4785"/>
    <w:rsid w:val="001C4C58"/>
    <w:rsid w:val="001C62C1"/>
    <w:rsid w:val="001C6956"/>
    <w:rsid w:val="001C6AE8"/>
    <w:rsid w:val="001C7CE7"/>
    <w:rsid w:val="001D3820"/>
    <w:rsid w:val="001D4673"/>
    <w:rsid w:val="001D58DF"/>
    <w:rsid w:val="001D6008"/>
    <w:rsid w:val="001E2B33"/>
    <w:rsid w:val="001E4CEE"/>
    <w:rsid w:val="001E4D5E"/>
    <w:rsid w:val="001E55EF"/>
    <w:rsid w:val="001E6CA3"/>
    <w:rsid w:val="001E6E99"/>
    <w:rsid w:val="001E7CC0"/>
    <w:rsid w:val="001E7F0A"/>
    <w:rsid w:val="001F0A00"/>
    <w:rsid w:val="001F0D2B"/>
    <w:rsid w:val="001F2BB1"/>
    <w:rsid w:val="001F368B"/>
    <w:rsid w:val="001F44DA"/>
    <w:rsid w:val="001F704C"/>
    <w:rsid w:val="001F770E"/>
    <w:rsid w:val="001F7FE7"/>
    <w:rsid w:val="00200CB8"/>
    <w:rsid w:val="00201263"/>
    <w:rsid w:val="002016F5"/>
    <w:rsid w:val="00201B9F"/>
    <w:rsid w:val="002029C8"/>
    <w:rsid w:val="00203384"/>
    <w:rsid w:val="0020654C"/>
    <w:rsid w:val="00206CAA"/>
    <w:rsid w:val="00207250"/>
    <w:rsid w:val="00211975"/>
    <w:rsid w:val="00211BA4"/>
    <w:rsid w:val="0021263D"/>
    <w:rsid w:val="00213692"/>
    <w:rsid w:val="0021553A"/>
    <w:rsid w:val="00215650"/>
    <w:rsid w:val="002161C3"/>
    <w:rsid w:val="0022111F"/>
    <w:rsid w:val="00222C27"/>
    <w:rsid w:val="00222C44"/>
    <w:rsid w:val="0022308C"/>
    <w:rsid w:val="002234D3"/>
    <w:rsid w:val="00223EF1"/>
    <w:rsid w:val="00231934"/>
    <w:rsid w:val="00232352"/>
    <w:rsid w:val="00233716"/>
    <w:rsid w:val="00234199"/>
    <w:rsid w:val="002342DD"/>
    <w:rsid w:val="00234D39"/>
    <w:rsid w:val="00235A17"/>
    <w:rsid w:val="0023693C"/>
    <w:rsid w:val="0023724A"/>
    <w:rsid w:val="002432C6"/>
    <w:rsid w:val="00245C4B"/>
    <w:rsid w:val="0024798B"/>
    <w:rsid w:val="002517A7"/>
    <w:rsid w:val="00251F57"/>
    <w:rsid w:val="002523DF"/>
    <w:rsid w:val="00253217"/>
    <w:rsid w:val="0025338A"/>
    <w:rsid w:val="00253D3A"/>
    <w:rsid w:val="00254260"/>
    <w:rsid w:val="00255458"/>
    <w:rsid w:val="00255C92"/>
    <w:rsid w:val="00257050"/>
    <w:rsid w:val="00257B64"/>
    <w:rsid w:val="0026262E"/>
    <w:rsid w:val="002627B3"/>
    <w:rsid w:val="00262E65"/>
    <w:rsid w:val="0026303D"/>
    <w:rsid w:val="0026428E"/>
    <w:rsid w:val="002655D9"/>
    <w:rsid w:val="00265EE0"/>
    <w:rsid w:val="0027202D"/>
    <w:rsid w:val="00272200"/>
    <w:rsid w:val="00273254"/>
    <w:rsid w:val="00274FB0"/>
    <w:rsid w:val="002758EE"/>
    <w:rsid w:val="00277606"/>
    <w:rsid w:val="00280278"/>
    <w:rsid w:val="002807AE"/>
    <w:rsid w:val="002814F7"/>
    <w:rsid w:val="00281566"/>
    <w:rsid w:val="00282330"/>
    <w:rsid w:val="002823A8"/>
    <w:rsid w:val="00282857"/>
    <w:rsid w:val="00283566"/>
    <w:rsid w:val="002839FF"/>
    <w:rsid w:val="00285CFB"/>
    <w:rsid w:val="00290AF5"/>
    <w:rsid w:val="00290E1D"/>
    <w:rsid w:val="00292669"/>
    <w:rsid w:val="002936A8"/>
    <w:rsid w:val="002941D7"/>
    <w:rsid w:val="00294B56"/>
    <w:rsid w:val="00295801"/>
    <w:rsid w:val="00296AD6"/>
    <w:rsid w:val="00297B18"/>
    <w:rsid w:val="00297CE1"/>
    <w:rsid w:val="002A23B2"/>
    <w:rsid w:val="002A3858"/>
    <w:rsid w:val="002A3CB1"/>
    <w:rsid w:val="002A59C3"/>
    <w:rsid w:val="002A6F20"/>
    <w:rsid w:val="002A7AEE"/>
    <w:rsid w:val="002B40BD"/>
    <w:rsid w:val="002B6329"/>
    <w:rsid w:val="002B7173"/>
    <w:rsid w:val="002C0C3E"/>
    <w:rsid w:val="002C0E5F"/>
    <w:rsid w:val="002C205C"/>
    <w:rsid w:val="002C2A9F"/>
    <w:rsid w:val="002C39B6"/>
    <w:rsid w:val="002C3ED0"/>
    <w:rsid w:val="002C469C"/>
    <w:rsid w:val="002C4DDF"/>
    <w:rsid w:val="002C5E09"/>
    <w:rsid w:val="002C6B69"/>
    <w:rsid w:val="002C7DF6"/>
    <w:rsid w:val="002D318B"/>
    <w:rsid w:val="002D319E"/>
    <w:rsid w:val="002D4723"/>
    <w:rsid w:val="002D4FAA"/>
    <w:rsid w:val="002D7B53"/>
    <w:rsid w:val="002E0237"/>
    <w:rsid w:val="002E1E6D"/>
    <w:rsid w:val="002E27AC"/>
    <w:rsid w:val="002E34BA"/>
    <w:rsid w:val="002E3B5A"/>
    <w:rsid w:val="002E3C0E"/>
    <w:rsid w:val="002E4508"/>
    <w:rsid w:val="002E4792"/>
    <w:rsid w:val="002E48CD"/>
    <w:rsid w:val="002E525B"/>
    <w:rsid w:val="002E59A8"/>
    <w:rsid w:val="002E7280"/>
    <w:rsid w:val="002E7372"/>
    <w:rsid w:val="002E73D1"/>
    <w:rsid w:val="002E7651"/>
    <w:rsid w:val="002E7E71"/>
    <w:rsid w:val="002F1B33"/>
    <w:rsid w:val="002F1D97"/>
    <w:rsid w:val="002F5E11"/>
    <w:rsid w:val="002F6AEC"/>
    <w:rsid w:val="002F7487"/>
    <w:rsid w:val="00302025"/>
    <w:rsid w:val="003039BB"/>
    <w:rsid w:val="003044D4"/>
    <w:rsid w:val="003051E6"/>
    <w:rsid w:val="0031240D"/>
    <w:rsid w:val="00317000"/>
    <w:rsid w:val="00317583"/>
    <w:rsid w:val="00317DC4"/>
    <w:rsid w:val="0032101C"/>
    <w:rsid w:val="00321967"/>
    <w:rsid w:val="00323D6D"/>
    <w:rsid w:val="00324D41"/>
    <w:rsid w:val="00327383"/>
    <w:rsid w:val="003307E1"/>
    <w:rsid w:val="00331314"/>
    <w:rsid w:val="00334202"/>
    <w:rsid w:val="0033484C"/>
    <w:rsid w:val="00337116"/>
    <w:rsid w:val="00340679"/>
    <w:rsid w:val="0034416D"/>
    <w:rsid w:val="0034474C"/>
    <w:rsid w:val="00344F34"/>
    <w:rsid w:val="003500A2"/>
    <w:rsid w:val="00350721"/>
    <w:rsid w:val="00351E38"/>
    <w:rsid w:val="00353953"/>
    <w:rsid w:val="003542E9"/>
    <w:rsid w:val="00354C37"/>
    <w:rsid w:val="00355A91"/>
    <w:rsid w:val="00361430"/>
    <w:rsid w:val="00362BFC"/>
    <w:rsid w:val="00363151"/>
    <w:rsid w:val="003653D5"/>
    <w:rsid w:val="00365A30"/>
    <w:rsid w:val="00366ADA"/>
    <w:rsid w:val="003673EF"/>
    <w:rsid w:val="00367949"/>
    <w:rsid w:val="00372C94"/>
    <w:rsid w:val="00374378"/>
    <w:rsid w:val="003766A1"/>
    <w:rsid w:val="00377F94"/>
    <w:rsid w:val="003800D3"/>
    <w:rsid w:val="00381947"/>
    <w:rsid w:val="00382995"/>
    <w:rsid w:val="003834B3"/>
    <w:rsid w:val="0038352F"/>
    <w:rsid w:val="00385AF1"/>
    <w:rsid w:val="00386BF3"/>
    <w:rsid w:val="0038785A"/>
    <w:rsid w:val="0039249A"/>
    <w:rsid w:val="00394783"/>
    <w:rsid w:val="00395100"/>
    <w:rsid w:val="003967FD"/>
    <w:rsid w:val="00396D0C"/>
    <w:rsid w:val="003973CA"/>
    <w:rsid w:val="00397589"/>
    <w:rsid w:val="00397633"/>
    <w:rsid w:val="003A02EC"/>
    <w:rsid w:val="003A0B92"/>
    <w:rsid w:val="003A420F"/>
    <w:rsid w:val="003A5076"/>
    <w:rsid w:val="003A6D1D"/>
    <w:rsid w:val="003A701A"/>
    <w:rsid w:val="003B019A"/>
    <w:rsid w:val="003B21DD"/>
    <w:rsid w:val="003B21E6"/>
    <w:rsid w:val="003B2809"/>
    <w:rsid w:val="003B3BEB"/>
    <w:rsid w:val="003B6291"/>
    <w:rsid w:val="003B6FCB"/>
    <w:rsid w:val="003C041A"/>
    <w:rsid w:val="003C10EF"/>
    <w:rsid w:val="003C1496"/>
    <w:rsid w:val="003C1AEC"/>
    <w:rsid w:val="003C255F"/>
    <w:rsid w:val="003C4DA5"/>
    <w:rsid w:val="003C7CF2"/>
    <w:rsid w:val="003D004C"/>
    <w:rsid w:val="003D1772"/>
    <w:rsid w:val="003D1993"/>
    <w:rsid w:val="003D270D"/>
    <w:rsid w:val="003D2DEB"/>
    <w:rsid w:val="003D3275"/>
    <w:rsid w:val="003D66E6"/>
    <w:rsid w:val="003D71B4"/>
    <w:rsid w:val="003E16CA"/>
    <w:rsid w:val="003E1B9B"/>
    <w:rsid w:val="003E21BA"/>
    <w:rsid w:val="003E2D7E"/>
    <w:rsid w:val="003E369F"/>
    <w:rsid w:val="003E490E"/>
    <w:rsid w:val="003E5BD0"/>
    <w:rsid w:val="003F1D8F"/>
    <w:rsid w:val="003F4570"/>
    <w:rsid w:val="003F4D63"/>
    <w:rsid w:val="003F6700"/>
    <w:rsid w:val="004000B3"/>
    <w:rsid w:val="00402501"/>
    <w:rsid w:val="0040599F"/>
    <w:rsid w:val="00406D35"/>
    <w:rsid w:val="00410367"/>
    <w:rsid w:val="0041095A"/>
    <w:rsid w:val="004110D4"/>
    <w:rsid w:val="004116C5"/>
    <w:rsid w:val="00411E83"/>
    <w:rsid w:val="00412E47"/>
    <w:rsid w:val="00413597"/>
    <w:rsid w:val="0041554E"/>
    <w:rsid w:val="00415EBF"/>
    <w:rsid w:val="0041618B"/>
    <w:rsid w:val="00416B4D"/>
    <w:rsid w:val="004175FE"/>
    <w:rsid w:val="0042056C"/>
    <w:rsid w:val="0042069B"/>
    <w:rsid w:val="004225E1"/>
    <w:rsid w:val="004249BD"/>
    <w:rsid w:val="00424D73"/>
    <w:rsid w:val="00425AEE"/>
    <w:rsid w:val="0042673F"/>
    <w:rsid w:val="004269B9"/>
    <w:rsid w:val="00432E22"/>
    <w:rsid w:val="0043409F"/>
    <w:rsid w:val="00435FA3"/>
    <w:rsid w:val="00436317"/>
    <w:rsid w:val="004366D8"/>
    <w:rsid w:val="004401A4"/>
    <w:rsid w:val="0044022F"/>
    <w:rsid w:val="004466F0"/>
    <w:rsid w:val="0044733D"/>
    <w:rsid w:val="00447CC6"/>
    <w:rsid w:val="004504DF"/>
    <w:rsid w:val="00451420"/>
    <w:rsid w:val="00454AB2"/>
    <w:rsid w:val="00454D9A"/>
    <w:rsid w:val="00455426"/>
    <w:rsid w:val="00461593"/>
    <w:rsid w:val="00461A03"/>
    <w:rsid w:val="00466AE8"/>
    <w:rsid w:val="00467CD5"/>
    <w:rsid w:val="00467DB5"/>
    <w:rsid w:val="00470E7D"/>
    <w:rsid w:val="00472CC0"/>
    <w:rsid w:val="004733F0"/>
    <w:rsid w:val="00473F08"/>
    <w:rsid w:val="00477BFE"/>
    <w:rsid w:val="00482089"/>
    <w:rsid w:val="004829D6"/>
    <w:rsid w:val="00482F99"/>
    <w:rsid w:val="004832E9"/>
    <w:rsid w:val="00484538"/>
    <w:rsid w:val="00484546"/>
    <w:rsid w:val="00486659"/>
    <w:rsid w:val="00487189"/>
    <w:rsid w:val="004873D0"/>
    <w:rsid w:val="004876DD"/>
    <w:rsid w:val="004919CE"/>
    <w:rsid w:val="00492FCA"/>
    <w:rsid w:val="004934FB"/>
    <w:rsid w:val="00493AAB"/>
    <w:rsid w:val="004955C5"/>
    <w:rsid w:val="00496A12"/>
    <w:rsid w:val="00497D37"/>
    <w:rsid w:val="004A2187"/>
    <w:rsid w:val="004A5157"/>
    <w:rsid w:val="004A5786"/>
    <w:rsid w:val="004A627F"/>
    <w:rsid w:val="004A7335"/>
    <w:rsid w:val="004A74C8"/>
    <w:rsid w:val="004B1E9D"/>
    <w:rsid w:val="004B4DC6"/>
    <w:rsid w:val="004B550C"/>
    <w:rsid w:val="004B6ADA"/>
    <w:rsid w:val="004C2108"/>
    <w:rsid w:val="004C45A5"/>
    <w:rsid w:val="004C4839"/>
    <w:rsid w:val="004C56B1"/>
    <w:rsid w:val="004D215F"/>
    <w:rsid w:val="004D346D"/>
    <w:rsid w:val="004D4816"/>
    <w:rsid w:val="004D4817"/>
    <w:rsid w:val="004D555E"/>
    <w:rsid w:val="004D5F31"/>
    <w:rsid w:val="004D6FA6"/>
    <w:rsid w:val="004D6FBF"/>
    <w:rsid w:val="004E0163"/>
    <w:rsid w:val="004E0701"/>
    <w:rsid w:val="004E122A"/>
    <w:rsid w:val="004E1BD5"/>
    <w:rsid w:val="004E23EE"/>
    <w:rsid w:val="004E3179"/>
    <w:rsid w:val="004E3C72"/>
    <w:rsid w:val="004E3CAB"/>
    <w:rsid w:val="004E487A"/>
    <w:rsid w:val="004E4CE2"/>
    <w:rsid w:val="004E74D6"/>
    <w:rsid w:val="004F0D3F"/>
    <w:rsid w:val="004F2038"/>
    <w:rsid w:val="004F203F"/>
    <w:rsid w:val="004F2656"/>
    <w:rsid w:val="004F2E99"/>
    <w:rsid w:val="004F5512"/>
    <w:rsid w:val="00506C53"/>
    <w:rsid w:val="0050753B"/>
    <w:rsid w:val="005114D0"/>
    <w:rsid w:val="00511AE6"/>
    <w:rsid w:val="005120C8"/>
    <w:rsid w:val="0051392C"/>
    <w:rsid w:val="005151CD"/>
    <w:rsid w:val="00516A65"/>
    <w:rsid w:val="005214B4"/>
    <w:rsid w:val="00522470"/>
    <w:rsid w:val="005237A7"/>
    <w:rsid w:val="0052414F"/>
    <w:rsid w:val="0052450A"/>
    <w:rsid w:val="0052765A"/>
    <w:rsid w:val="0052796F"/>
    <w:rsid w:val="00527AC0"/>
    <w:rsid w:val="00527ACE"/>
    <w:rsid w:val="00530643"/>
    <w:rsid w:val="00532ABF"/>
    <w:rsid w:val="00533BF6"/>
    <w:rsid w:val="005345E2"/>
    <w:rsid w:val="00537EB9"/>
    <w:rsid w:val="00541965"/>
    <w:rsid w:val="00541B26"/>
    <w:rsid w:val="00543FC3"/>
    <w:rsid w:val="00544986"/>
    <w:rsid w:val="00546512"/>
    <w:rsid w:val="00547B0F"/>
    <w:rsid w:val="005531CA"/>
    <w:rsid w:val="00554B0E"/>
    <w:rsid w:val="00555302"/>
    <w:rsid w:val="0055530B"/>
    <w:rsid w:val="00556BBB"/>
    <w:rsid w:val="00556C6C"/>
    <w:rsid w:val="00557FEB"/>
    <w:rsid w:val="00560900"/>
    <w:rsid w:val="0056157C"/>
    <w:rsid w:val="00573B0E"/>
    <w:rsid w:val="0057468E"/>
    <w:rsid w:val="0057484F"/>
    <w:rsid w:val="00575FEE"/>
    <w:rsid w:val="005777E3"/>
    <w:rsid w:val="00580C64"/>
    <w:rsid w:val="005834EA"/>
    <w:rsid w:val="00583639"/>
    <w:rsid w:val="00587CE3"/>
    <w:rsid w:val="00590C13"/>
    <w:rsid w:val="005960E5"/>
    <w:rsid w:val="0059706C"/>
    <w:rsid w:val="0059746D"/>
    <w:rsid w:val="005977EE"/>
    <w:rsid w:val="005A09A7"/>
    <w:rsid w:val="005A14CC"/>
    <w:rsid w:val="005A28A4"/>
    <w:rsid w:val="005A406B"/>
    <w:rsid w:val="005A4171"/>
    <w:rsid w:val="005B088B"/>
    <w:rsid w:val="005B45A9"/>
    <w:rsid w:val="005B4E20"/>
    <w:rsid w:val="005B6F0F"/>
    <w:rsid w:val="005C11F7"/>
    <w:rsid w:val="005C1B1E"/>
    <w:rsid w:val="005C21F9"/>
    <w:rsid w:val="005C2A4F"/>
    <w:rsid w:val="005C3E2F"/>
    <w:rsid w:val="005C6383"/>
    <w:rsid w:val="005D09FC"/>
    <w:rsid w:val="005D13B2"/>
    <w:rsid w:val="005D310D"/>
    <w:rsid w:val="005D4F26"/>
    <w:rsid w:val="005D763D"/>
    <w:rsid w:val="005D7B45"/>
    <w:rsid w:val="005E45FD"/>
    <w:rsid w:val="005E6F69"/>
    <w:rsid w:val="005F0544"/>
    <w:rsid w:val="005F05F0"/>
    <w:rsid w:val="005F35E6"/>
    <w:rsid w:val="005F4F8E"/>
    <w:rsid w:val="005F611F"/>
    <w:rsid w:val="005F6AE1"/>
    <w:rsid w:val="005F7CAC"/>
    <w:rsid w:val="006020AD"/>
    <w:rsid w:val="0060239B"/>
    <w:rsid w:val="00602B2F"/>
    <w:rsid w:val="0060337B"/>
    <w:rsid w:val="006038C9"/>
    <w:rsid w:val="00604AD7"/>
    <w:rsid w:val="00606357"/>
    <w:rsid w:val="0060658E"/>
    <w:rsid w:val="006119CE"/>
    <w:rsid w:val="00612071"/>
    <w:rsid w:val="006140F6"/>
    <w:rsid w:val="00614397"/>
    <w:rsid w:val="00614733"/>
    <w:rsid w:val="006173A1"/>
    <w:rsid w:val="00620223"/>
    <w:rsid w:val="00621D5A"/>
    <w:rsid w:val="00623DD5"/>
    <w:rsid w:val="00625716"/>
    <w:rsid w:val="00625EEB"/>
    <w:rsid w:val="0062698A"/>
    <w:rsid w:val="00626F6A"/>
    <w:rsid w:val="00630C45"/>
    <w:rsid w:val="00630C50"/>
    <w:rsid w:val="00630E86"/>
    <w:rsid w:val="00631AC0"/>
    <w:rsid w:val="0063246B"/>
    <w:rsid w:val="0063501A"/>
    <w:rsid w:val="00635CF0"/>
    <w:rsid w:val="006368D1"/>
    <w:rsid w:val="00636F65"/>
    <w:rsid w:val="00637C3E"/>
    <w:rsid w:val="00642F9A"/>
    <w:rsid w:val="006431E1"/>
    <w:rsid w:val="0064343B"/>
    <w:rsid w:val="006441C3"/>
    <w:rsid w:val="00644F66"/>
    <w:rsid w:val="00646AB4"/>
    <w:rsid w:val="00646B91"/>
    <w:rsid w:val="00646F32"/>
    <w:rsid w:val="006521DB"/>
    <w:rsid w:val="006568B6"/>
    <w:rsid w:val="0065737C"/>
    <w:rsid w:val="00657874"/>
    <w:rsid w:val="00663F01"/>
    <w:rsid w:val="00677F1B"/>
    <w:rsid w:val="00680D73"/>
    <w:rsid w:val="0068529F"/>
    <w:rsid w:val="0068562A"/>
    <w:rsid w:val="00687312"/>
    <w:rsid w:val="00690D07"/>
    <w:rsid w:val="006929E6"/>
    <w:rsid w:val="00695C45"/>
    <w:rsid w:val="006963E9"/>
    <w:rsid w:val="00696B4C"/>
    <w:rsid w:val="006A0BD6"/>
    <w:rsid w:val="006A0DEE"/>
    <w:rsid w:val="006A5A9B"/>
    <w:rsid w:val="006A6D4F"/>
    <w:rsid w:val="006B7321"/>
    <w:rsid w:val="006B7483"/>
    <w:rsid w:val="006B7509"/>
    <w:rsid w:val="006C1C80"/>
    <w:rsid w:val="006C1F84"/>
    <w:rsid w:val="006C6F78"/>
    <w:rsid w:val="006D0FCF"/>
    <w:rsid w:val="006D5915"/>
    <w:rsid w:val="006D6EAD"/>
    <w:rsid w:val="006D78DB"/>
    <w:rsid w:val="006D7914"/>
    <w:rsid w:val="006E0D43"/>
    <w:rsid w:val="006E3BF1"/>
    <w:rsid w:val="006E466D"/>
    <w:rsid w:val="006E475C"/>
    <w:rsid w:val="006E5E36"/>
    <w:rsid w:val="006F283E"/>
    <w:rsid w:val="006F28BA"/>
    <w:rsid w:val="006F385E"/>
    <w:rsid w:val="006F69F9"/>
    <w:rsid w:val="006F7DFE"/>
    <w:rsid w:val="006F7F1E"/>
    <w:rsid w:val="007006EF"/>
    <w:rsid w:val="00701F8B"/>
    <w:rsid w:val="00702DD3"/>
    <w:rsid w:val="007042AB"/>
    <w:rsid w:val="007049E0"/>
    <w:rsid w:val="00706D3B"/>
    <w:rsid w:val="007075D2"/>
    <w:rsid w:val="00707708"/>
    <w:rsid w:val="0071005F"/>
    <w:rsid w:val="00715078"/>
    <w:rsid w:val="007154F7"/>
    <w:rsid w:val="00721016"/>
    <w:rsid w:val="00721EFF"/>
    <w:rsid w:val="00725D45"/>
    <w:rsid w:val="00727471"/>
    <w:rsid w:val="0072788A"/>
    <w:rsid w:val="007301F3"/>
    <w:rsid w:val="00731919"/>
    <w:rsid w:val="00733884"/>
    <w:rsid w:val="00733D10"/>
    <w:rsid w:val="007356E3"/>
    <w:rsid w:val="00735BA0"/>
    <w:rsid w:val="00743D6F"/>
    <w:rsid w:val="007459E0"/>
    <w:rsid w:val="00747283"/>
    <w:rsid w:val="00747B88"/>
    <w:rsid w:val="00750DCB"/>
    <w:rsid w:val="0075121F"/>
    <w:rsid w:val="007540A0"/>
    <w:rsid w:val="00755D40"/>
    <w:rsid w:val="00755D94"/>
    <w:rsid w:val="00755DE0"/>
    <w:rsid w:val="00755E19"/>
    <w:rsid w:val="00756558"/>
    <w:rsid w:val="00756F8B"/>
    <w:rsid w:val="00757085"/>
    <w:rsid w:val="00760588"/>
    <w:rsid w:val="00762C7E"/>
    <w:rsid w:val="00762FBE"/>
    <w:rsid w:val="00765D93"/>
    <w:rsid w:val="00766865"/>
    <w:rsid w:val="00770541"/>
    <w:rsid w:val="00775451"/>
    <w:rsid w:val="007759FF"/>
    <w:rsid w:val="00775AAA"/>
    <w:rsid w:val="0078211B"/>
    <w:rsid w:val="00785586"/>
    <w:rsid w:val="00785C6A"/>
    <w:rsid w:val="00786CC5"/>
    <w:rsid w:val="00787E22"/>
    <w:rsid w:val="007910B9"/>
    <w:rsid w:val="0079165A"/>
    <w:rsid w:val="00793856"/>
    <w:rsid w:val="00794D83"/>
    <w:rsid w:val="00795878"/>
    <w:rsid w:val="00796C5F"/>
    <w:rsid w:val="007A0A45"/>
    <w:rsid w:val="007A0FDF"/>
    <w:rsid w:val="007A1978"/>
    <w:rsid w:val="007A2ADB"/>
    <w:rsid w:val="007A3142"/>
    <w:rsid w:val="007A5CE4"/>
    <w:rsid w:val="007A6639"/>
    <w:rsid w:val="007A78C3"/>
    <w:rsid w:val="007A7A21"/>
    <w:rsid w:val="007A7C3A"/>
    <w:rsid w:val="007B037E"/>
    <w:rsid w:val="007B15E5"/>
    <w:rsid w:val="007B2885"/>
    <w:rsid w:val="007B3B10"/>
    <w:rsid w:val="007B49BB"/>
    <w:rsid w:val="007B785D"/>
    <w:rsid w:val="007C0512"/>
    <w:rsid w:val="007C0A48"/>
    <w:rsid w:val="007C1275"/>
    <w:rsid w:val="007C12C8"/>
    <w:rsid w:val="007C24DF"/>
    <w:rsid w:val="007C4A95"/>
    <w:rsid w:val="007C5B15"/>
    <w:rsid w:val="007C7219"/>
    <w:rsid w:val="007D4291"/>
    <w:rsid w:val="007D4921"/>
    <w:rsid w:val="007D51F3"/>
    <w:rsid w:val="007D6B0E"/>
    <w:rsid w:val="007D7A1B"/>
    <w:rsid w:val="007E0A1E"/>
    <w:rsid w:val="007E0C0A"/>
    <w:rsid w:val="007E2AB7"/>
    <w:rsid w:val="007E2E70"/>
    <w:rsid w:val="007E4CA5"/>
    <w:rsid w:val="007E4D0C"/>
    <w:rsid w:val="007E7984"/>
    <w:rsid w:val="007F0BDB"/>
    <w:rsid w:val="007F19C7"/>
    <w:rsid w:val="007F19FF"/>
    <w:rsid w:val="007F2B68"/>
    <w:rsid w:val="007F43EB"/>
    <w:rsid w:val="007F49D5"/>
    <w:rsid w:val="007F5EC9"/>
    <w:rsid w:val="007F6960"/>
    <w:rsid w:val="008009C3"/>
    <w:rsid w:val="00802509"/>
    <w:rsid w:val="00804254"/>
    <w:rsid w:val="008050B6"/>
    <w:rsid w:val="008073A0"/>
    <w:rsid w:val="00807C80"/>
    <w:rsid w:val="0081042E"/>
    <w:rsid w:val="00810975"/>
    <w:rsid w:val="008109BF"/>
    <w:rsid w:val="00813036"/>
    <w:rsid w:val="008133FB"/>
    <w:rsid w:val="00813F92"/>
    <w:rsid w:val="00817AFB"/>
    <w:rsid w:val="008209BA"/>
    <w:rsid w:val="00822947"/>
    <w:rsid w:val="008256C9"/>
    <w:rsid w:val="00827864"/>
    <w:rsid w:val="00827D11"/>
    <w:rsid w:val="00827FBA"/>
    <w:rsid w:val="00834FE7"/>
    <w:rsid w:val="00835D0B"/>
    <w:rsid w:val="0083650D"/>
    <w:rsid w:val="00837077"/>
    <w:rsid w:val="00837CE1"/>
    <w:rsid w:val="0084160A"/>
    <w:rsid w:val="00841D0F"/>
    <w:rsid w:val="00841F1A"/>
    <w:rsid w:val="00842253"/>
    <w:rsid w:val="00842B35"/>
    <w:rsid w:val="00844C75"/>
    <w:rsid w:val="0084571E"/>
    <w:rsid w:val="00847624"/>
    <w:rsid w:val="00847E90"/>
    <w:rsid w:val="0085166D"/>
    <w:rsid w:val="008516BF"/>
    <w:rsid w:val="00853DC2"/>
    <w:rsid w:val="008541D2"/>
    <w:rsid w:val="00854214"/>
    <w:rsid w:val="00854FA7"/>
    <w:rsid w:val="0085669E"/>
    <w:rsid w:val="00860382"/>
    <w:rsid w:val="00861484"/>
    <w:rsid w:val="00862E8D"/>
    <w:rsid w:val="00863389"/>
    <w:rsid w:val="00863D8F"/>
    <w:rsid w:val="008641FC"/>
    <w:rsid w:val="008654C8"/>
    <w:rsid w:val="00866343"/>
    <w:rsid w:val="00871679"/>
    <w:rsid w:val="008716ED"/>
    <w:rsid w:val="00871A28"/>
    <w:rsid w:val="008724CD"/>
    <w:rsid w:val="00873F3A"/>
    <w:rsid w:val="00874F26"/>
    <w:rsid w:val="00882F11"/>
    <w:rsid w:val="00886BC1"/>
    <w:rsid w:val="008928FE"/>
    <w:rsid w:val="00892E19"/>
    <w:rsid w:val="008967E1"/>
    <w:rsid w:val="008A07D4"/>
    <w:rsid w:val="008A0F3D"/>
    <w:rsid w:val="008A23D5"/>
    <w:rsid w:val="008B021B"/>
    <w:rsid w:val="008B130A"/>
    <w:rsid w:val="008B2752"/>
    <w:rsid w:val="008B277E"/>
    <w:rsid w:val="008B311E"/>
    <w:rsid w:val="008B3F00"/>
    <w:rsid w:val="008B63B8"/>
    <w:rsid w:val="008B684B"/>
    <w:rsid w:val="008B7DD2"/>
    <w:rsid w:val="008C17C0"/>
    <w:rsid w:val="008C1FB4"/>
    <w:rsid w:val="008C563E"/>
    <w:rsid w:val="008C6349"/>
    <w:rsid w:val="008D2000"/>
    <w:rsid w:val="008D2575"/>
    <w:rsid w:val="008D2CD7"/>
    <w:rsid w:val="008D388B"/>
    <w:rsid w:val="008D3BE4"/>
    <w:rsid w:val="008D46B6"/>
    <w:rsid w:val="008D59D3"/>
    <w:rsid w:val="008D5AC9"/>
    <w:rsid w:val="008D674E"/>
    <w:rsid w:val="008E1D68"/>
    <w:rsid w:val="008E36F1"/>
    <w:rsid w:val="008E429F"/>
    <w:rsid w:val="008E4348"/>
    <w:rsid w:val="008E4C73"/>
    <w:rsid w:val="008E5C12"/>
    <w:rsid w:val="008E66D1"/>
    <w:rsid w:val="008E6A25"/>
    <w:rsid w:val="008E6A41"/>
    <w:rsid w:val="008E78CB"/>
    <w:rsid w:val="008F2ED3"/>
    <w:rsid w:val="008F3E7F"/>
    <w:rsid w:val="008F4D63"/>
    <w:rsid w:val="008F5C04"/>
    <w:rsid w:val="008F6723"/>
    <w:rsid w:val="008F69F0"/>
    <w:rsid w:val="0090111A"/>
    <w:rsid w:val="00901653"/>
    <w:rsid w:val="00901682"/>
    <w:rsid w:val="00906F82"/>
    <w:rsid w:val="00907898"/>
    <w:rsid w:val="009118DB"/>
    <w:rsid w:val="0091273D"/>
    <w:rsid w:val="0091430A"/>
    <w:rsid w:val="00915673"/>
    <w:rsid w:val="00921B68"/>
    <w:rsid w:val="00921E58"/>
    <w:rsid w:val="0092219D"/>
    <w:rsid w:val="009230AA"/>
    <w:rsid w:val="00923253"/>
    <w:rsid w:val="00923419"/>
    <w:rsid w:val="00923AB7"/>
    <w:rsid w:val="0092696D"/>
    <w:rsid w:val="00926D7C"/>
    <w:rsid w:val="0092709C"/>
    <w:rsid w:val="009307ED"/>
    <w:rsid w:val="00930ABC"/>
    <w:rsid w:val="009340CE"/>
    <w:rsid w:val="009347AE"/>
    <w:rsid w:val="009369EE"/>
    <w:rsid w:val="00936DB7"/>
    <w:rsid w:val="00941C7D"/>
    <w:rsid w:val="00941F6A"/>
    <w:rsid w:val="0094301D"/>
    <w:rsid w:val="00943319"/>
    <w:rsid w:val="0094583F"/>
    <w:rsid w:val="00946689"/>
    <w:rsid w:val="00946B19"/>
    <w:rsid w:val="00947B0D"/>
    <w:rsid w:val="00947B41"/>
    <w:rsid w:val="009510D5"/>
    <w:rsid w:val="0095213D"/>
    <w:rsid w:val="00952C2C"/>
    <w:rsid w:val="00953327"/>
    <w:rsid w:val="00954EC4"/>
    <w:rsid w:val="00956077"/>
    <w:rsid w:val="00956167"/>
    <w:rsid w:val="0095626A"/>
    <w:rsid w:val="0095765F"/>
    <w:rsid w:val="00957873"/>
    <w:rsid w:val="00960ADC"/>
    <w:rsid w:val="009612B6"/>
    <w:rsid w:val="00961948"/>
    <w:rsid w:val="009619D0"/>
    <w:rsid w:val="009657C3"/>
    <w:rsid w:val="00966305"/>
    <w:rsid w:val="00967579"/>
    <w:rsid w:val="00971EFD"/>
    <w:rsid w:val="00971FCC"/>
    <w:rsid w:val="00975BCB"/>
    <w:rsid w:val="00975C8C"/>
    <w:rsid w:val="0097631A"/>
    <w:rsid w:val="0097649C"/>
    <w:rsid w:val="00977544"/>
    <w:rsid w:val="00980FED"/>
    <w:rsid w:val="00982262"/>
    <w:rsid w:val="009828D1"/>
    <w:rsid w:val="00982C67"/>
    <w:rsid w:val="00983362"/>
    <w:rsid w:val="00983483"/>
    <w:rsid w:val="00985857"/>
    <w:rsid w:val="009909E5"/>
    <w:rsid w:val="00990A7E"/>
    <w:rsid w:val="00992A13"/>
    <w:rsid w:val="0099312A"/>
    <w:rsid w:val="009934C3"/>
    <w:rsid w:val="009943D7"/>
    <w:rsid w:val="00994579"/>
    <w:rsid w:val="009946E8"/>
    <w:rsid w:val="00996416"/>
    <w:rsid w:val="009A15A4"/>
    <w:rsid w:val="009A3FB6"/>
    <w:rsid w:val="009A460F"/>
    <w:rsid w:val="009A5166"/>
    <w:rsid w:val="009A6E5B"/>
    <w:rsid w:val="009A794F"/>
    <w:rsid w:val="009B09C5"/>
    <w:rsid w:val="009B20D8"/>
    <w:rsid w:val="009B24B3"/>
    <w:rsid w:val="009B3C05"/>
    <w:rsid w:val="009B5C08"/>
    <w:rsid w:val="009B746A"/>
    <w:rsid w:val="009C0A9D"/>
    <w:rsid w:val="009C20FE"/>
    <w:rsid w:val="009C2DF9"/>
    <w:rsid w:val="009C3AC9"/>
    <w:rsid w:val="009C470A"/>
    <w:rsid w:val="009C4B76"/>
    <w:rsid w:val="009C680F"/>
    <w:rsid w:val="009C725E"/>
    <w:rsid w:val="009D196E"/>
    <w:rsid w:val="009D200B"/>
    <w:rsid w:val="009D23D0"/>
    <w:rsid w:val="009D2A21"/>
    <w:rsid w:val="009D3DDC"/>
    <w:rsid w:val="009D4B8C"/>
    <w:rsid w:val="009D4D02"/>
    <w:rsid w:val="009D4F53"/>
    <w:rsid w:val="009E092C"/>
    <w:rsid w:val="009E392D"/>
    <w:rsid w:val="009E3C02"/>
    <w:rsid w:val="009E499B"/>
    <w:rsid w:val="009E506E"/>
    <w:rsid w:val="009E50DA"/>
    <w:rsid w:val="009E5D1D"/>
    <w:rsid w:val="009E72B2"/>
    <w:rsid w:val="009E7B2F"/>
    <w:rsid w:val="009E7D5A"/>
    <w:rsid w:val="009F0146"/>
    <w:rsid w:val="009F0F9D"/>
    <w:rsid w:val="009F4635"/>
    <w:rsid w:val="009F4F02"/>
    <w:rsid w:val="009F5789"/>
    <w:rsid w:val="00A00434"/>
    <w:rsid w:val="00A007EF"/>
    <w:rsid w:val="00A02AE2"/>
    <w:rsid w:val="00A04336"/>
    <w:rsid w:val="00A04F00"/>
    <w:rsid w:val="00A06866"/>
    <w:rsid w:val="00A07256"/>
    <w:rsid w:val="00A07E09"/>
    <w:rsid w:val="00A11045"/>
    <w:rsid w:val="00A118D7"/>
    <w:rsid w:val="00A1195E"/>
    <w:rsid w:val="00A11F7C"/>
    <w:rsid w:val="00A13CA8"/>
    <w:rsid w:val="00A146C8"/>
    <w:rsid w:val="00A1605D"/>
    <w:rsid w:val="00A23BB3"/>
    <w:rsid w:val="00A24214"/>
    <w:rsid w:val="00A243A0"/>
    <w:rsid w:val="00A25E7F"/>
    <w:rsid w:val="00A3012E"/>
    <w:rsid w:val="00A30B54"/>
    <w:rsid w:val="00A31E00"/>
    <w:rsid w:val="00A322F6"/>
    <w:rsid w:val="00A328ED"/>
    <w:rsid w:val="00A32AFE"/>
    <w:rsid w:val="00A33458"/>
    <w:rsid w:val="00A337C8"/>
    <w:rsid w:val="00A34AD3"/>
    <w:rsid w:val="00A3545D"/>
    <w:rsid w:val="00A361DB"/>
    <w:rsid w:val="00A36EB3"/>
    <w:rsid w:val="00A3746E"/>
    <w:rsid w:val="00A40DAC"/>
    <w:rsid w:val="00A40F49"/>
    <w:rsid w:val="00A42A06"/>
    <w:rsid w:val="00A44923"/>
    <w:rsid w:val="00A44E44"/>
    <w:rsid w:val="00A45B02"/>
    <w:rsid w:val="00A4608C"/>
    <w:rsid w:val="00A504F3"/>
    <w:rsid w:val="00A509FA"/>
    <w:rsid w:val="00A522B9"/>
    <w:rsid w:val="00A5238E"/>
    <w:rsid w:val="00A52633"/>
    <w:rsid w:val="00A52E61"/>
    <w:rsid w:val="00A53139"/>
    <w:rsid w:val="00A54DF1"/>
    <w:rsid w:val="00A54FCF"/>
    <w:rsid w:val="00A5525F"/>
    <w:rsid w:val="00A60DCD"/>
    <w:rsid w:val="00A64EF2"/>
    <w:rsid w:val="00A65029"/>
    <w:rsid w:val="00A650DB"/>
    <w:rsid w:val="00A659DC"/>
    <w:rsid w:val="00A67785"/>
    <w:rsid w:val="00A67BE8"/>
    <w:rsid w:val="00A7051C"/>
    <w:rsid w:val="00A70BB3"/>
    <w:rsid w:val="00A70E94"/>
    <w:rsid w:val="00A716A0"/>
    <w:rsid w:val="00A71711"/>
    <w:rsid w:val="00A71939"/>
    <w:rsid w:val="00A71B81"/>
    <w:rsid w:val="00A72A46"/>
    <w:rsid w:val="00A8350C"/>
    <w:rsid w:val="00A84B99"/>
    <w:rsid w:val="00A854AD"/>
    <w:rsid w:val="00A85CD4"/>
    <w:rsid w:val="00A8615A"/>
    <w:rsid w:val="00A90B96"/>
    <w:rsid w:val="00A9182E"/>
    <w:rsid w:val="00A91E60"/>
    <w:rsid w:val="00A91EE9"/>
    <w:rsid w:val="00A92099"/>
    <w:rsid w:val="00A9296D"/>
    <w:rsid w:val="00A9425D"/>
    <w:rsid w:val="00A944EB"/>
    <w:rsid w:val="00A95C23"/>
    <w:rsid w:val="00A97687"/>
    <w:rsid w:val="00A97E05"/>
    <w:rsid w:val="00AA1F67"/>
    <w:rsid w:val="00AA212A"/>
    <w:rsid w:val="00AA2ADB"/>
    <w:rsid w:val="00AA2DBA"/>
    <w:rsid w:val="00AA4E72"/>
    <w:rsid w:val="00AA6E2D"/>
    <w:rsid w:val="00AB0F2F"/>
    <w:rsid w:val="00AB1CAF"/>
    <w:rsid w:val="00AB3138"/>
    <w:rsid w:val="00AB4441"/>
    <w:rsid w:val="00AB44DC"/>
    <w:rsid w:val="00AB4AC6"/>
    <w:rsid w:val="00AB6A8C"/>
    <w:rsid w:val="00AB6A8D"/>
    <w:rsid w:val="00AC0061"/>
    <w:rsid w:val="00AC03D9"/>
    <w:rsid w:val="00AC36D3"/>
    <w:rsid w:val="00AC3AB3"/>
    <w:rsid w:val="00AC3AD1"/>
    <w:rsid w:val="00AC6B58"/>
    <w:rsid w:val="00AC6D8C"/>
    <w:rsid w:val="00AC72DE"/>
    <w:rsid w:val="00AC747F"/>
    <w:rsid w:val="00AC7636"/>
    <w:rsid w:val="00AD0A9F"/>
    <w:rsid w:val="00AD208F"/>
    <w:rsid w:val="00AD2235"/>
    <w:rsid w:val="00AD285E"/>
    <w:rsid w:val="00AD2A6A"/>
    <w:rsid w:val="00AD3030"/>
    <w:rsid w:val="00AD37B1"/>
    <w:rsid w:val="00AD52E4"/>
    <w:rsid w:val="00AD56CD"/>
    <w:rsid w:val="00AD5AD5"/>
    <w:rsid w:val="00AD6A3D"/>
    <w:rsid w:val="00AD6F41"/>
    <w:rsid w:val="00AE04FF"/>
    <w:rsid w:val="00AE06C6"/>
    <w:rsid w:val="00AE3711"/>
    <w:rsid w:val="00AE527B"/>
    <w:rsid w:val="00AE5DC8"/>
    <w:rsid w:val="00AE6461"/>
    <w:rsid w:val="00AE7E22"/>
    <w:rsid w:val="00AF125A"/>
    <w:rsid w:val="00AF4403"/>
    <w:rsid w:val="00AF5A76"/>
    <w:rsid w:val="00AF65E5"/>
    <w:rsid w:val="00AF6CFE"/>
    <w:rsid w:val="00AF6DC1"/>
    <w:rsid w:val="00B0052C"/>
    <w:rsid w:val="00B02150"/>
    <w:rsid w:val="00B02998"/>
    <w:rsid w:val="00B030EA"/>
    <w:rsid w:val="00B047B0"/>
    <w:rsid w:val="00B04916"/>
    <w:rsid w:val="00B06A13"/>
    <w:rsid w:val="00B06EC0"/>
    <w:rsid w:val="00B07B44"/>
    <w:rsid w:val="00B106DC"/>
    <w:rsid w:val="00B113B0"/>
    <w:rsid w:val="00B1243A"/>
    <w:rsid w:val="00B13460"/>
    <w:rsid w:val="00B14030"/>
    <w:rsid w:val="00B16B8F"/>
    <w:rsid w:val="00B176E6"/>
    <w:rsid w:val="00B17F37"/>
    <w:rsid w:val="00B201F2"/>
    <w:rsid w:val="00B229C3"/>
    <w:rsid w:val="00B22B59"/>
    <w:rsid w:val="00B23516"/>
    <w:rsid w:val="00B23C12"/>
    <w:rsid w:val="00B23C49"/>
    <w:rsid w:val="00B244E6"/>
    <w:rsid w:val="00B24ADB"/>
    <w:rsid w:val="00B25B2A"/>
    <w:rsid w:val="00B30547"/>
    <w:rsid w:val="00B332A1"/>
    <w:rsid w:val="00B34DD7"/>
    <w:rsid w:val="00B3597D"/>
    <w:rsid w:val="00B37B43"/>
    <w:rsid w:val="00B40412"/>
    <w:rsid w:val="00B4202C"/>
    <w:rsid w:val="00B422FE"/>
    <w:rsid w:val="00B4258A"/>
    <w:rsid w:val="00B428A3"/>
    <w:rsid w:val="00B441F6"/>
    <w:rsid w:val="00B44C89"/>
    <w:rsid w:val="00B45306"/>
    <w:rsid w:val="00B4753F"/>
    <w:rsid w:val="00B51454"/>
    <w:rsid w:val="00B52349"/>
    <w:rsid w:val="00B53921"/>
    <w:rsid w:val="00B62779"/>
    <w:rsid w:val="00B63466"/>
    <w:rsid w:val="00B635AD"/>
    <w:rsid w:val="00B64604"/>
    <w:rsid w:val="00B7359E"/>
    <w:rsid w:val="00B73BF7"/>
    <w:rsid w:val="00B77C8A"/>
    <w:rsid w:val="00B81FB5"/>
    <w:rsid w:val="00B820F7"/>
    <w:rsid w:val="00B82F98"/>
    <w:rsid w:val="00B83C1C"/>
    <w:rsid w:val="00B92A5D"/>
    <w:rsid w:val="00B92C99"/>
    <w:rsid w:val="00B9331A"/>
    <w:rsid w:val="00B9408C"/>
    <w:rsid w:val="00B94A1E"/>
    <w:rsid w:val="00B96FC0"/>
    <w:rsid w:val="00BA02AC"/>
    <w:rsid w:val="00BA0891"/>
    <w:rsid w:val="00BA0DA3"/>
    <w:rsid w:val="00BA1797"/>
    <w:rsid w:val="00BA17E8"/>
    <w:rsid w:val="00BA186F"/>
    <w:rsid w:val="00BA1DEA"/>
    <w:rsid w:val="00BA2ED3"/>
    <w:rsid w:val="00BA3917"/>
    <w:rsid w:val="00BA3C9E"/>
    <w:rsid w:val="00BA406C"/>
    <w:rsid w:val="00BA5DC8"/>
    <w:rsid w:val="00BA5F54"/>
    <w:rsid w:val="00BA62D3"/>
    <w:rsid w:val="00BA732A"/>
    <w:rsid w:val="00BB30B1"/>
    <w:rsid w:val="00BB46E4"/>
    <w:rsid w:val="00BB6743"/>
    <w:rsid w:val="00BB71BA"/>
    <w:rsid w:val="00BB7FBA"/>
    <w:rsid w:val="00BC0260"/>
    <w:rsid w:val="00BC2D3F"/>
    <w:rsid w:val="00BC31F7"/>
    <w:rsid w:val="00BC33BE"/>
    <w:rsid w:val="00BC5A50"/>
    <w:rsid w:val="00BC645F"/>
    <w:rsid w:val="00BD030C"/>
    <w:rsid w:val="00BD0644"/>
    <w:rsid w:val="00BD284A"/>
    <w:rsid w:val="00BD36C8"/>
    <w:rsid w:val="00BD3C18"/>
    <w:rsid w:val="00BD4472"/>
    <w:rsid w:val="00BD5673"/>
    <w:rsid w:val="00BE006E"/>
    <w:rsid w:val="00BE2D6C"/>
    <w:rsid w:val="00BE3064"/>
    <w:rsid w:val="00BE5B62"/>
    <w:rsid w:val="00BE5F92"/>
    <w:rsid w:val="00BF2400"/>
    <w:rsid w:val="00BF36EA"/>
    <w:rsid w:val="00BF6161"/>
    <w:rsid w:val="00BF61F0"/>
    <w:rsid w:val="00C04683"/>
    <w:rsid w:val="00C0702C"/>
    <w:rsid w:val="00C0709C"/>
    <w:rsid w:val="00C1153F"/>
    <w:rsid w:val="00C11929"/>
    <w:rsid w:val="00C13C62"/>
    <w:rsid w:val="00C15C0C"/>
    <w:rsid w:val="00C15CAF"/>
    <w:rsid w:val="00C16BA4"/>
    <w:rsid w:val="00C1737B"/>
    <w:rsid w:val="00C17DC2"/>
    <w:rsid w:val="00C20EAB"/>
    <w:rsid w:val="00C2319B"/>
    <w:rsid w:val="00C24073"/>
    <w:rsid w:val="00C25575"/>
    <w:rsid w:val="00C27871"/>
    <w:rsid w:val="00C27C48"/>
    <w:rsid w:val="00C303D0"/>
    <w:rsid w:val="00C30598"/>
    <w:rsid w:val="00C31E72"/>
    <w:rsid w:val="00C31FA7"/>
    <w:rsid w:val="00C336E6"/>
    <w:rsid w:val="00C33B20"/>
    <w:rsid w:val="00C34841"/>
    <w:rsid w:val="00C3573C"/>
    <w:rsid w:val="00C36369"/>
    <w:rsid w:val="00C367FD"/>
    <w:rsid w:val="00C37610"/>
    <w:rsid w:val="00C37972"/>
    <w:rsid w:val="00C40930"/>
    <w:rsid w:val="00C42622"/>
    <w:rsid w:val="00C449BD"/>
    <w:rsid w:val="00C4668E"/>
    <w:rsid w:val="00C471D8"/>
    <w:rsid w:val="00C47BCD"/>
    <w:rsid w:val="00C51D8A"/>
    <w:rsid w:val="00C51F38"/>
    <w:rsid w:val="00C5608F"/>
    <w:rsid w:val="00C57CC8"/>
    <w:rsid w:val="00C60DBC"/>
    <w:rsid w:val="00C61AE0"/>
    <w:rsid w:val="00C62AA0"/>
    <w:rsid w:val="00C64BB0"/>
    <w:rsid w:val="00C65670"/>
    <w:rsid w:val="00C703BC"/>
    <w:rsid w:val="00C71FD7"/>
    <w:rsid w:val="00C72559"/>
    <w:rsid w:val="00C7312E"/>
    <w:rsid w:val="00C733A6"/>
    <w:rsid w:val="00C740F2"/>
    <w:rsid w:val="00C7533E"/>
    <w:rsid w:val="00C7563E"/>
    <w:rsid w:val="00C77DDE"/>
    <w:rsid w:val="00C80EE0"/>
    <w:rsid w:val="00C8224D"/>
    <w:rsid w:val="00C824EC"/>
    <w:rsid w:val="00C8404E"/>
    <w:rsid w:val="00C875A5"/>
    <w:rsid w:val="00C92294"/>
    <w:rsid w:val="00C9257F"/>
    <w:rsid w:val="00C92F7C"/>
    <w:rsid w:val="00C9573F"/>
    <w:rsid w:val="00C95880"/>
    <w:rsid w:val="00C95C7F"/>
    <w:rsid w:val="00C960C4"/>
    <w:rsid w:val="00C9720F"/>
    <w:rsid w:val="00CA1326"/>
    <w:rsid w:val="00CA1B0D"/>
    <w:rsid w:val="00CA2193"/>
    <w:rsid w:val="00CA44BB"/>
    <w:rsid w:val="00CA467C"/>
    <w:rsid w:val="00CA4ED0"/>
    <w:rsid w:val="00CA5D71"/>
    <w:rsid w:val="00CB03D4"/>
    <w:rsid w:val="00CB2708"/>
    <w:rsid w:val="00CB2FF7"/>
    <w:rsid w:val="00CB31A8"/>
    <w:rsid w:val="00CB32A3"/>
    <w:rsid w:val="00CB37B1"/>
    <w:rsid w:val="00CB3A06"/>
    <w:rsid w:val="00CB5AD1"/>
    <w:rsid w:val="00CB7603"/>
    <w:rsid w:val="00CB77D0"/>
    <w:rsid w:val="00CC2D50"/>
    <w:rsid w:val="00CC3CD6"/>
    <w:rsid w:val="00CC41D5"/>
    <w:rsid w:val="00CC4442"/>
    <w:rsid w:val="00CC4C78"/>
    <w:rsid w:val="00CC600D"/>
    <w:rsid w:val="00CC6596"/>
    <w:rsid w:val="00CD0ABC"/>
    <w:rsid w:val="00CD0DAA"/>
    <w:rsid w:val="00CD27BC"/>
    <w:rsid w:val="00CD2EE5"/>
    <w:rsid w:val="00CD2F81"/>
    <w:rsid w:val="00CD3297"/>
    <w:rsid w:val="00CD46E2"/>
    <w:rsid w:val="00CD4CED"/>
    <w:rsid w:val="00CD4FA3"/>
    <w:rsid w:val="00CD59C1"/>
    <w:rsid w:val="00CD7CB4"/>
    <w:rsid w:val="00CE07EB"/>
    <w:rsid w:val="00CE28C9"/>
    <w:rsid w:val="00CE3E97"/>
    <w:rsid w:val="00CE422F"/>
    <w:rsid w:val="00CE5588"/>
    <w:rsid w:val="00CE655B"/>
    <w:rsid w:val="00CE6E6C"/>
    <w:rsid w:val="00CF0724"/>
    <w:rsid w:val="00CF1CB6"/>
    <w:rsid w:val="00CF46A5"/>
    <w:rsid w:val="00CF5472"/>
    <w:rsid w:val="00CF62A5"/>
    <w:rsid w:val="00D00B68"/>
    <w:rsid w:val="00D02B93"/>
    <w:rsid w:val="00D03252"/>
    <w:rsid w:val="00D04C6F"/>
    <w:rsid w:val="00D04D52"/>
    <w:rsid w:val="00D0552A"/>
    <w:rsid w:val="00D05C7C"/>
    <w:rsid w:val="00D05DBC"/>
    <w:rsid w:val="00D0788A"/>
    <w:rsid w:val="00D07C77"/>
    <w:rsid w:val="00D10B46"/>
    <w:rsid w:val="00D11208"/>
    <w:rsid w:val="00D1135C"/>
    <w:rsid w:val="00D11930"/>
    <w:rsid w:val="00D11C81"/>
    <w:rsid w:val="00D13F11"/>
    <w:rsid w:val="00D15020"/>
    <w:rsid w:val="00D1578D"/>
    <w:rsid w:val="00D17708"/>
    <w:rsid w:val="00D178B1"/>
    <w:rsid w:val="00D22F14"/>
    <w:rsid w:val="00D24589"/>
    <w:rsid w:val="00D25269"/>
    <w:rsid w:val="00D2584B"/>
    <w:rsid w:val="00D2761E"/>
    <w:rsid w:val="00D31741"/>
    <w:rsid w:val="00D32880"/>
    <w:rsid w:val="00D35D97"/>
    <w:rsid w:val="00D40BED"/>
    <w:rsid w:val="00D410E5"/>
    <w:rsid w:val="00D41B3D"/>
    <w:rsid w:val="00D43E2B"/>
    <w:rsid w:val="00D45715"/>
    <w:rsid w:val="00D51562"/>
    <w:rsid w:val="00D5248A"/>
    <w:rsid w:val="00D52938"/>
    <w:rsid w:val="00D53525"/>
    <w:rsid w:val="00D5431D"/>
    <w:rsid w:val="00D5444A"/>
    <w:rsid w:val="00D56360"/>
    <w:rsid w:val="00D57066"/>
    <w:rsid w:val="00D57FBF"/>
    <w:rsid w:val="00D61419"/>
    <w:rsid w:val="00D62A08"/>
    <w:rsid w:val="00D633C7"/>
    <w:rsid w:val="00D639FF"/>
    <w:rsid w:val="00D676E0"/>
    <w:rsid w:val="00D736D4"/>
    <w:rsid w:val="00D73921"/>
    <w:rsid w:val="00D74918"/>
    <w:rsid w:val="00D75CDB"/>
    <w:rsid w:val="00D7610D"/>
    <w:rsid w:val="00D76298"/>
    <w:rsid w:val="00D76BD1"/>
    <w:rsid w:val="00D8234C"/>
    <w:rsid w:val="00D8257F"/>
    <w:rsid w:val="00D827E4"/>
    <w:rsid w:val="00D840AB"/>
    <w:rsid w:val="00D84220"/>
    <w:rsid w:val="00D85C66"/>
    <w:rsid w:val="00D863AE"/>
    <w:rsid w:val="00D86400"/>
    <w:rsid w:val="00D879C4"/>
    <w:rsid w:val="00D901D3"/>
    <w:rsid w:val="00D91A5C"/>
    <w:rsid w:val="00D92783"/>
    <w:rsid w:val="00D92F02"/>
    <w:rsid w:val="00D933B6"/>
    <w:rsid w:val="00D9463E"/>
    <w:rsid w:val="00D9490F"/>
    <w:rsid w:val="00D958A1"/>
    <w:rsid w:val="00D95DAA"/>
    <w:rsid w:val="00D96044"/>
    <w:rsid w:val="00D963F4"/>
    <w:rsid w:val="00D97134"/>
    <w:rsid w:val="00D9798B"/>
    <w:rsid w:val="00D97994"/>
    <w:rsid w:val="00D97D57"/>
    <w:rsid w:val="00DA0240"/>
    <w:rsid w:val="00DA2018"/>
    <w:rsid w:val="00DA2DEC"/>
    <w:rsid w:val="00DA4E7B"/>
    <w:rsid w:val="00DA4EFD"/>
    <w:rsid w:val="00DA659F"/>
    <w:rsid w:val="00DA6EBF"/>
    <w:rsid w:val="00DA707D"/>
    <w:rsid w:val="00DA71E5"/>
    <w:rsid w:val="00DB0108"/>
    <w:rsid w:val="00DB1480"/>
    <w:rsid w:val="00DB2467"/>
    <w:rsid w:val="00DB2C5A"/>
    <w:rsid w:val="00DB39A9"/>
    <w:rsid w:val="00DB6236"/>
    <w:rsid w:val="00DB6EFC"/>
    <w:rsid w:val="00DC06B4"/>
    <w:rsid w:val="00DC084B"/>
    <w:rsid w:val="00DC0901"/>
    <w:rsid w:val="00DC1C94"/>
    <w:rsid w:val="00DC2165"/>
    <w:rsid w:val="00DC2AD2"/>
    <w:rsid w:val="00DC30F7"/>
    <w:rsid w:val="00DC4A80"/>
    <w:rsid w:val="00DC5348"/>
    <w:rsid w:val="00DC681D"/>
    <w:rsid w:val="00DD0279"/>
    <w:rsid w:val="00DD0787"/>
    <w:rsid w:val="00DD0A45"/>
    <w:rsid w:val="00DD22E4"/>
    <w:rsid w:val="00DD2919"/>
    <w:rsid w:val="00DD345B"/>
    <w:rsid w:val="00DD353C"/>
    <w:rsid w:val="00DD3F5F"/>
    <w:rsid w:val="00DD7A99"/>
    <w:rsid w:val="00DE02DA"/>
    <w:rsid w:val="00DE1BF4"/>
    <w:rsid w:val="00DE2913"/>
    <w:rsid w:val="00DE4153"/>
    <w:rsid w:val="00DE4183"/>
    <w:rsid w:val="00DE55BA"/>
    <w:rsid w:val="00DE7994"/>
    <w:rsid w:val="00DF2397"/>
    <w:rsid w:val="00DF241A"/>
    <w:rsid w:val="00DF7064"/>
    <w:rsid w:val="00DF7139"/>
    <w:rsid w:val="00DF7A1E"/>
    <w:rsid w:val="00E008D8"/>
    <w:rsid w:val="00E0201D"/>
    <w:rsid w:val="00E02819"/>
    <w:rsid w:val="00E03F95"/>
    <w:rsid w:val="00E05007"/>
    <w:rsid w:val="00E06B5C"/>
    <w:rsid w:val="00E06D24"/>
    <w:rsid w:val="00E102A2"/>
    <w:rsid w:val="00E10F85"/>
    <w:rsid w:val="00E10F93"/>
    <w:rsid w:val="00E1452D"/>
    <w:rsid w:val="00E14F74"/>
    <w:rsid w:val="00E15684"/>
    <w:rsid w:val="00E16EBB"/>
    <w:rsid w:val="00E2442A"/>
    <w:rsid w:val="00E2580D"/>
    <w:rsid w:val="00E26BDA"/>
    <w:rsid w:val="00E26C2C"/>
    <w:rsid w:val="00E26CA8"/>
    <w:rsid w:val="00E30832"/>
    <w:rsid w:val="00E30D07"/>
    <w:rsid w:val="00E32D54"/>
    <w:rsid w:val="00E336A9"/>
    <w:rsid w:val="00E34623"/>
    <w:rsid w:val="00E34A20"/>
    <w:rsid w:val="00E36855"/>
    <w:rsid w:val="00E40973"/>
    <w:rsid w:val="00E409FC"/>
    <w:rsid w:val="00E41A4E"/>
    <w:rsid w:val="00E43F02"/>
    <w:rsid w:val="00E46CF7"/>
    <w:rsid w:val="00E50738"/>
    <w:rsid w:val="00E50C20"/>
    <w:rsid w:val="00E5239A"/>
    <w:rsid w:val="00E53863"/>
    <w:rsid w:val="00E53B0E"/>
    <w:rsid w:val="00E55BCF"/>
    <w:rsid w:val="00E55D3E"/>
    <w:rsid w:val="00E56507"/>
    <w:rsid w:val="00E574DA"/>
    <w:rsid w:val="00E605F2"/>
    <w:rsid w:val="00E607C8"/>
    <w:rsid w:val="00E60EC7"/>
    <w:rsid w:val="00E614C6"/>
    <w:rsid w:val="00E629BC"/>
    <w:rsid w:val="00E62C8D"/>
    <w:rsid w:val="00E64B87"/>
    <w:rsid w:val="00E6547C"/>
    <w:rsid w:val="00E70167"/>
    <w:rsid w:val="00E703F7"/>
    <w:rsid w:val="00E71331"/>
    <w:rsid w:val="00E73743"/>
    <w:rsid w:val="00E74988"/>
    <w:rsid w:val="00E74CCC"/>
    <w:rsid w:val="00E75081"/>
    <w:rsid w:val="00E766FC"/>
    <w:rsid w:val="00E76EE0"/>
    <w:rsid w:val="00E775A0"/>
    <w:rsid w:val="00E8004A"/>
    <w:rsid w:val="00E82A1E"/>
    <w:rsid w:val="00E84169"/>
    <w:rsid w:val="00E853C1"/>
    <w:rsid w:val="00E859F1"/>
    <w:rsid w:val="00E87D8B"/>
    <w:rsid w:val="00E912E7"/>
    <w:rsid w:val="00E91534"/>
    <w:rsid w:val="00E91892"/>
    <w:rsid w:val="00E930D6"/>
    <w:rsid w:val="00E93473"/>
    <w:rsid w:val="00E93A98"/>
    <w:rsid w:val="00E94821"/>
    <w:rsid w:val="00E9561E"/>
    <w:rsid w:val="00E95E61"/>
    <w:rsid w:val="00E969B2"/>
    <w:rsid w:val="00EA08F7"/>
    <w:rsid w:val="00EA1B2B"/>
    <w:rsid w:val="00EA5392"/>
    <w:rsid w:val="00EA571C"/>
    <w:rsid w:val="00EA6054"/>
    <w:rsid w:val="00EB0192"/>
    <w:rsid w:val="00EB197B"/>
    <w:rsid w:val="00EB1F34"/>
    <w:rsid w:val="00EB22F9"/>
    <w:rsid w:val="00EB2CE9"/>
    <w:rsid w:val="00EB394F"/>
    <w:rsid w:val="00EB3C41"/>
    <w:rsid w:val="00EB3E35"/>
    <w:rsid w:val="00EB550B"/>
    <w:rsid w:val="00EB6EA7"/>
    <w:rsid w:val="00EB786A"/>
    <w:rsid w:val="00EB7915"/>
    <w:rsid w:val="00EB7D30"/>
    <w:rsid w:val="00EC08E4"/>
    <w:rsid w:val="00EC1B7E"/>
    <w:rsid w:val="00EC7225"/>
    <w:rsid w:val="00ED29D4"/>
    <w:rsid w:val="00ED3980"/>
    <w:rsid w:val="00ED42E1"/>
    <w:rsid w:val="00ED4C46"/>
    <w:rsid w:val="00EE19FC"/>
    <w:rsid w:val="00EE3E4A"/>
    <w:rsid w:val="00EE5947"/>
    <w:rsid w:val="00EE6848"/>
    <w:rsid w:val="00EE6864"/>
    <w:rsid w:val="00EE6C4D"/>
    <w:rsid w:val="00EF0201"/>
    <w:rsid w:val="00EF1284"/>
    <w:rsid w:val="00EF2861"/>
    <w:rsid w:val="00EF309B"/>
    <w:rsid w:val="00EF3A9E"/>
    <w:rsid w:val="00EF4403"/>
    <w:rsid w:val="00EF5304"/>
    <w:rsid w:val="00EF53B6"/>
    <w:rsid w:val="00EF56A6"/>
    <w:rsid w:val="00EF7E01"/>
    <w:rsid w:val="00F00F00"/>
    <w:rsid w:val="00F00F96"/>
    <w:rsid w:val="00F018A6"/>
    <w:rsid w:val="00F01AB1"/>
    <w:rsid w:val="00F02736"/>
    <w:rsid w:val="00F04A74"/>
    <w:rsid w:val="00F06C2F"/>
    <w:rsid w:val="00F10AA0"/>
    <w:rsid w:val="00F11B80"/>
    <w:rsid w:val="00F11FC5"/>
    <w:rsid w:val="00F1234A"/>
    <w:rsid w:val="00F1266F"/>
    <w:rsid w:val="00F13398"/>
    <w:rsid w:val="00F13BFE"/>
    <w:rsid w:val="00F151E4"/>
    <w:rsid w:val="00F16367"/>
    <w:rsid w:val="00F16621"/>
    <w:rsid w:val="00F171D1"/>
    <w:rsid w:val="00F17FB8"/>
    <w:rsid w:val="00F211DA"/>
    <w:rsid w:val="00F22A80"/>
    <w:rsid w:val="00F23B25"/>
    <w:rsid w:val="00F24320"/>
    <w:rsid w:val="00F269C2"/>
    <w:rsid w:val="00F2799E"/>
    <w:rsid w:val="00F34178"/>
    <w:rsid w:val="00F35CA3"/>
    <w:rsid w:val="00F36084"/>
    <w:rsid w:val="00F36D55"/>
    <w:rsid w:val="00F37BDA"/>
    <w:rsid w:val="00F37C6B"/>
    <w:rsid w:val="00F40543"/>
    <w:rsid w:val="00F407DB"/>
    <w:rsid w:val="00F40E7E"/>
    <w:rsid w:val="00F42549"/>
    <w:rsid w:val="00F43457"/>
    <w:rsid w:val="00F45924"/>
    <w:rsid w:val="00F469A6"/>
    <w:rsid w:val="00F4746E"/>
    <w:rsid w:val="00F51EB0"/>
    <w:rsid w:val="00F538DB"/>
    <w:rsid w:val="00F53D3D"/>
    <w:rsid w:val="00F53E34"/>
    <w:rsid w:val="00F53EF4"/>
    <w:rsid w:val="00F54369"/>
    <w:rsid w:val="00F60B7F"/>
    <w:rsid w:val="00F61257"/>
    <w:rsid w:val="00F621C0"/>
    <w:rsid w:val="00F628F5"/>
    <w:rsid w:val="00F63300"/>
    <w:rsid w:val="00F63ABE"/>
    <w:rsid w:val="00F642AD"/>
    <w:rsid w:val="00F64BDC"/>
    <w:rsid w:val="00F664FC"/>
    <w:rsid w:val="00F6732E"/>
    <w:rsid w:val="00F7073B"/>
    <w:rsid w:val="00F72085"/>
    <w:rsid w:val="00F748BF"/>
    <w:rsid w:val="00F7730F"/>
    <w:rsid w:val="00F8105E"/>
    <w:rsid w:val="00F81B88"/>
    <w:rsid w:val="00F83E4C"/>
    <w:rsid w:val="00F84449"/>
    <w:rsid w:val="00F84922"/>
    <w:rsid w:val="00F85619"/>
    <w:rsid w:val="00F87007"/>
    <w:rsid w:val="00F8709E"/>
    <w:rsid w:val="00F9140C"/>
    <w:rsid w:val="00F9171A"/>
    <w:rsid w:val="00F923A3"/>
    <w:rsid w:val="00F92537"/>
    <w:rsid w:val="00F934D7"/>
    <w:rsid w:val="00F93CC0"/>
    <w:rsid w:val="00F9558C"/>
    <w:rsid w:val="00F957F7"/>
    <w:rsid w:val="00F95E45"/>
    <w:rsid w:val="00F9601C"/>
    <w:rsid w:val="00F96689"/>
    <w:rsid w:val="00F96B79"/>
    <w:rsid w:val="00FA1A6E"/>
    <w:rsid w:val="00FA3DBB"/>
    <w:rsid w:val="00FA59AC"/>
    <w:rsid w:val="00FA62DF"/>
    <w:rsid w:val="00FA7CCC"/>
    <w:rsid w:val="00FA7E54"/>
    <w:rsid w:val="00FB007C"/>
    <w:rsid w:val="00FB2AF2"/>
    <w:rsid w:val="00FB4562"/>
    <w:rsid w:val="00FB6DD2"/>
    <w:rsid w:val="00FC627D"/>
    <w:rsid w:val="00FC7106"/>
    <w:rsid w:val="00FD0045"/>
    <w:rsid w:val="00FD14BD"/>
    <w:rsid w:val="00FD199A"/>
    <w:rsid w:val="00FD2875"/>
    <w:rsid w:val="00FD4EE1"/>
    <w:rsid w:val="00FD5DF3"/>
    <w:rsid w:val="00FD64AF"/>
    <w:rsid w:val="00FD797C"/>
    <w:rsid w:val="00FD7B72"/>
    <w:rsid w:val="00FE1622"/>
    <w:rsid w:val="00FE3DE4"/>
    <w:rsid w:val="00FE3E00"/>
    <w:rsid w:val="00FE68C0"/>
    <w:rsid w:val="00FF2FF9"/>
    <w:rsid w:val="00FF344F"/>
    <w:rsid w:val="00FF3A6C"/>
    <w:rsid w:val="00FF41F8"/>
    <w:rsid w:val="00FF4B7E"/>
    <w:rsid w:val="00FF5AEF"/>
    <w:rsid w:val="00FF5E83"/>
    <w:rsid w:val="00FF6B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E09"/>
    <w:rPr>
      <w:rFonts w:hint="cs"/>
      <w:sz w:val="24"/>
      <w:szCs w:val="24"/>
      <w:lang w:eastAsia="he-IL"/>
    </w:rPr>
  </w:style>
  <w:style w:type="paragraph" w:styleId="1">
    <w:name w:val="heading 1"/>
    <w:basedOn w:val="a"/>
    <w:next w:val="a"/>
    <w:link w:val="10"/>
    <w:qFormat/>
    <w:rsid w:val="00E0201D"/>
    <w:pPr>
      <w:keepNext/>
      <w:keepLines/>
      <w:spacing w:before="480"/>
      <w:outlineLvl w:val="0"/>
    </w:pPr>
    <w:rPr>
      <w:rFonts w:asciiTheme="majorHAnsi" w:eastAsiaTheme="majorEastAsia" w:hAnsiTheme="majorHAnsi" w:cs="David"/>
      <w:b/>
      <w:bCs/>
      <w:sz w:val="28"/>
      <w:szCs w:val="28"/>
    </w:rPr>
  </w:style>
  <w:style w:type="paragraph" w:styleId="4">
    <w:name w:val="heading 4"/>
    <w:basedOn w:val="a"/>
    <w:next w:val="a"/>
    <w:qFormat/>
    <w:rsid w:val="002C5E09"/>
    <w:pPr>
      <w:keepNext/>
      <w:jc w:val="center"/>
      <w:outlineLvl w:val="3"/>
    </w:pPr>
    <w:rPr>
      <w:rFonts w:cs="David" w:hint="default"/>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C5E09"/>
    <w:pPr>
      <w:bidi/>
      <w:spacing w:after="120" w:line="480" w:lineRule="auto"/>
      <w:ind w:left="-57" w:hanging="1"/>
      <w:jc w:val="both"/>
    </w:pPr>
    <w:rPr>
      <w:rFonts w:cs="David" w:hint="default"/>
      <w:sz w:val="22"/>
    </w:rPr>
  </w:style>
  <w:style w:type="paragraph" w:styleId="a4">
    <w:name w:val="footnote text"/>
    <w:basedOn w:val="a"/>
    <w:semiHidden/>
    <w:rsid w:val="002C5E09"/>
    <w:pPr>
      <w:bidi/>
      <w:spacing w:after="120" w:line="320" w:lineRule="exact"/>
      <w:ind w:left="-57" w:firstLine="283"/>
      <w:jc w:val="both"/>
    </w:pPr>
    <w:rPr>
      <w:rFonts w:cs="David" w:hint="default"/>
      <w:iCs/>
      <w:sz w:val="20"/>
      <w:szCs w:val="20"/>
    </w:rPr>
  </w:style>
  <w:style w:type="character" w:styleId="a5">
    <w:name w:val="footnote reference"/>
    <w:semiHidden/>
    <w:rsid w:val="002C5E09"/>
    <w:rPr>
      <w:vertAlign w:val="superscript"/>
    </w:rPr>
  </w:style>
  <w:style w:type="table" w:styleId="a6">
    <w:name w:val="Table Grid"/>
    <w:basedOn w:val="a1"/>
    <w:rsid w:val="00C17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endnote text"/>
    <w:basedOn w:val="a"/>
    <w:semiHidden/>
    <w:rsid w:val="00915673"/>
    <w:rPr>
      <w:sz w:val="20"/>
      <w:szCs w:val="20"/>
    </w:rPr>
  </w:style>
  <w:style w:type="character" w:styleId="a8">
    <w:name w:val="endnote reference"/>
    <w:semiHidden/>
    <w:rsid w:val="00915673"/>
    <w:rPr>
      <w:vertAlign w:val="superscript"/>
    </w:rPr>
  </w:style>
  <w:style w:type="paragraph" w:styleId="a9">
    <w:name w:val="Balloon Text"/>
    <w:basedOn w:val="a"/>
    <w:semiHidden/>
    <w:rsid w:val="00F9140C"/>
    <w:rPr>
      <w:rFonts w:ascii="Tahoma" w:hAnsi="Tahoma" w:cs="Tahoma"/>
      <w:sz w:val="16"/>
      <w:szCs w:val="16"/>
    </w:rPr>
  </w:style>
  <w:style w:type="paragraph" w:styleId="aa">
    <w:name w:val="header"/>
    <w:basedOn w:val="a"/>
    <w:rsid w:val="00F9140C"/>
    <w:pPr>
      <w:tabs>
        <w:tab w:val="center" w:pos="4153"/>
        <w:tab w:val="right" w:pos="8306"/>
      </w:tabs>
    </w:pPr>
  </w:style>
  <w:style w:type="paragraph" w:styleId="ab">
    <w:name w:val="footer"/>
    <w:basedOn w:val="a"/>
    <w:link w:val="ac"/>
    <w:uiPriority w:val="99"/>
    <w:rsid w:val="00F9140C"/>
    <w:pPr>
      <w:tabs>
        <w:tab w:val="center" w:pos="4153"/>
        <w:tab w:val="right" w:pos="8306"/>
      </w:tabs>
    </w:pPr>
  </w:style>
  <w:style w:type="character" w:styleId="Hyperlink">
    <w:name w:val="Hyperlink"/>
    <w:rsid w:val="006D0FCF"/>
    <w:rPr>
      <w:color w:val="0000FF"/>
      <w:u w:val="single"/>
    </w:rPr>
  </w:style>
  <w:style w:type="character" w:styleId="ad">
    <w:name w:val="annotation reference"/>
    <w:rsid w:val="003C1AEC"/>
    <w:rPr>
      <w:sz w:val="16"/>
      <w:szCs w:val="16"/>
    </w:rPr>
  </w:style>
  <w:style w:type="paragraph" w:styleId="ae">
    <w:name w:val="annotation text"/>
    <w:basedOn w:val="a"/>
    <w:link w:val="af"/>
    <w:rsid w:val="003C1AEC"/>
    <w:rPr>
      <w:sz w:val="20"/>
      <w:szCs w:val="20"/>
    </w:rPr>
  </w:style>
  <w:style w:type="character" w:customStyle="1" w:styleId="af">
    <w:name w:val="טקסט הערה תו"/>
    <w:link w:val="ae"/>
    <w:rsid w:val="003C1AEC"/>
    <w:rPr>
      <w:lang w:eastAsia="he-IL"/>
    </w:rPr>
  </w:style>
  <w:style w:type="paragraph" w:styleId="af0">
    <w:name w:val="annotation subject"/>
    <w:basedOn w:val="ae"/>
    <w:next w:val="ae"/>
    <w:link w:val="af1"/>
    <w:rsid w:val="003C1AEC"/>
    <w:rPr>
      <w:b/>
      <w:bCs/>
    </w:rPr>
  </w:style>
  <w:style w:type="character" w:customStyle="1" w:styleId="af1">
    <w:name w:val="נושא הערה תו"/>
    <w:link w:val="af0"/>
    <w:rsid w:val="003C1AEC"/>
    <w:rPr>
      <w:b/>
      <w:bCs/>
      <w:lang w:eastAsia="he-IL"/>
    </w:rPr>
  </w:style>
  <w:style w:type="character" w:styleId="FollowedHyperlink">
    <w:name w:val="FollowedHyperlink"/>
    <w:rsid w:val="007075D2"/>
    <w:rPr>
      <w:color w:val="606420"/>
      <w:u w:val="single"/>
    </w:rPr>
  </w:style>
  <w:style w:type="character" w:customStyle="1" w:styleId="ac">
    <w:name w:val="כותרת תחתונה תו"/>
    <w:basedOn w:val="a0"/>
    <w:link w:val="ab"/>
    <w:uiPriority w:val="99"/>
    <w:rsid w:val="00ED29D4"/>
    <w:rPr>
      <w:sz w:val="24"/>
      <w:szCs w:val="24"/>
      <w:lang w:eastAsia="he-IL"/>
    </w:rPr>
  </w:style>
  <w:style w:type="character" w:customStyle="1" w:styleId="10">
    <w:name w:val="כותרת 1 תו"/>
    <w:basedOn w:val="a0"/>
    <w:link w:val="1"/>
    <w:rsid w:val="00E0201D"/>
    <w:rPr>
      <w:rFonts w:asciiTheme="majorHAnsi" w:eastAsiaTheme="majorEastAsia" w:hAnsiTheme="majorHAnsi" w:cs="David"/>
      <w:b/>
      <w:bCs/>
      <w:sz w:val="28"/>
      <w:szCs w:val="28"/>
      <w:lang w:eastAsia="he-IL"/>
    </w:rPr>
  </w:style>
  <w:style w:type="character" w:customStyle="1" w:styleId="apple-converted-space">
    <w:name w:val="apple-converted-space"/>
    <w:basedOn w:val="a0"/>
    <w:rsid w:val="003C10EF"/>
  </w:style>
  <w:style w:type="paragraph" w:styleId="af2">
    <w:name w:val="Revision"/>
    <w:hidden/>
    <w:uiPriority w:val="99"/>
    <w:semiHidden/>
    <w:rsid w:val="00AC0061"/>
    <w:rPr>
      <w:rFonts w:hint="cs"/>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4753">
      <w:bodyDiv w:val="1"/>
      <w:marLeft w:val="0"/>
      <w:marRight w:val="0"/>
      <w:marTop w:val="0"/>
      <w:marBottom w:val="0"/>
      <w:divBdr>
        <w:top w:val="none" w:sz="0" w:space="0" w:color="auto"/>
        <w:left w:val="none" w:sz="0" w:space="0" w:color="auto"/>
        <w:bottom w:val="none" w:sz="0" w:space="0" w:color="auto"/>
        <w:right w:val="none" w:sz="0" w:space="0" w:color="auto"/>
      </w:divBdr>
    </w:div>
    <w:div w:id="294601704">
      <w:bodyDiv w:val="1"/>
      <w:marLeft w:val="0"/>
      <w:marRight w:val="0"/>
      <w:marTop w:val="0"/>
      <w:marBottom w:val="0"/>
      <w:divBdr>
        <w:top w:val="none" w:sz="0" w:space="0" w:color="auto"/>
        <w:left w:val="none" w:sz="0" w:space="0" w:color="auto"/>
        <w:bottom w:val="none" w:sz="0" w:space="0" w:color="auto"/>
        <w:right w:val="none" w:sz="0" w:space="0" w:color="auto"/>
      </w:divBdr>
    </w:div>
    <w:div w:id="639070740">
      <w:bodyDiv w:val="1"/>
      <w:marLeft w:val="0"/>
      <w:marRight w:val="0"/>
      <w:marTop w:val="0"/>
      <w:marBottom w:val="0"/>
      <w:divBdr>
        <w:top w:val="none" w:sz="0" w:space="0" w:color="auto"/>
        <w:left w:val="none" w:sz="0" w:space="0" w:color="auto"/>
        <w:bottom w:val="none" w:sz="0" w:space="0" w:color="auto"/>
        <w:right w:val="none" w:sz="0" w:space="0" w:color="auto"/>
      </w:divBdr>
    </w:div>
    <w:div w:id="751044558">
      <w:bodyDiv w:val="1"/>
      <w:marLeft w:val="0"/>
      <w:marRight w:val="0"/>
      <w:marTop w:val="0"/>
      <w:marBottom w:val="0"/>
      <w:divBdr>
        <w:top w:val="none" w:sz="0" w:space="0" w:color="auto"/>
        <w:left w:val="none" w:sz="0" w:space="0" w:color="auto"/>
        <w:bottom w:val="none" w:sz="0" w:space="0" w:color="auto"/>
        <w:right w:val="none" w:sz="0" w:space="0" w:color="auto"/>
      </w:divBdr>
    </w:div>
    <w:div w:id="760296212">
      <w:bodyDiv w:val="1"/>
      <w:marLeft w:val="0"/>
      <w:marRight w:val="0"/>
      <w:marTop w:val="0"/>
      <w:marBottom w:val="0"/>
      <w:divBdr>
        <w:top w:val="none" w:sz="0" w:space="0" w:color="auto"/>
        <w:left w:val="none" w:sz="0" w:space="0" w:color="auto"/>
        <w:bottom w:val="none" w:sz="0" w:space="0" w:color="auto"/>
        <w:right w:val="none" w:sz="0" w:space="0" w:color="auto"/>
      </w:divBdr>
    </w:div>
    <w:div w:id="1211042335">
      <w:bodyDiv w:val="1"/>
      <w:marLeft w:val="0"/>
      <w:marRight w:val="0"/>
      <w:marTop w:val="0"/>
      <w:marBottom w:val="0"/>
      <w:divBdr>
        <w:top w:val="none" w:sz="0" w:space="0" w:color="auto"/>
        <w:left w:val="none" w:sz="0" w:space="0" w:color="auto"/>
        <w:bottom w:val="none" w:sz="0" w:space="0" w:color="auto"/>
        <w:right w:val="none" w:sz="0" w:space="0" w:color="auto"/>
      </w:divBdr>
    </w:div>
    <w:div w:id="1322856944">
      <w:bodyDiv w:val="1"/>
      <w:marLeft w:val="0"/>
      <w:marRight w:val="0"/>
      <w:marTop w:val="0"/>
      <w:marBottom w:val="0"/>
      <w:divBdr>
        <w:top w:val="none" w:sz="0" w:space="0" w:color="auto"/>
        <w:left w:val="none" w:sz="0" w:space="0" w:color="auto"/>
        <w:bottom w:val="none" w:sz="0" w:space="0" w:color="auto"/>
        <w:right w:val="none" w:sz="0" w:space="0" w:color="auto"/>
      </w:divBdr>
    </w:div>
    <w:div w:id="1439564806">
      <w:bodyDiv w:val="1"/>
      <w:marLeft w:val="0"/>
      <w:marRight w:val="0"/>
      <w:marTop w:val="0"/>
      <w:marBottom w:val="0"/>
      <w:divBdr>
        <w:top w:val="none" w:sz="0" w:space="0" w:color="auto"/>
        <w:left w:val="none" w:sz="0" w:space="0" w:color="auto"/>
        <w:bottom w:val="none" w:sz="0" w:space="0" w:color="auto"/>
        <w:right w:val="none" w:sz="0" w:space="0" w:color="auto"/>
      </w:divBdr>
    </w:div>
    <w:div w:id="1679116332">
      <w:bodyDiv w:val="1"/>
      <w:marLeft w:val="0"/>
      <w:marRight w:val="0"/>
      <w:marTop w:val="0"/>
      <w:marBottom w:val="0"/>
      <w:divBdr>
        <w:top w:val="none" w:sz="0" w:space="0" w:color="auto"/>
        <w:left w:val="none" w:sz="0" w:space="0" w:color="auto"/>
        <w:bottom w:val="none" w:sz="0" w:space="0" w:color="auto"/>
        <w:right w:val="none" w:sz="0" w:space="0" w:color="auto"/>
      </w:divBdr>
    </w:div>
    <w:div w:id="1700739522">
      <w:bodyDiv w:val="1"/>
      <w:marLeft w:val="0"/>
      <w:marRight w:val="0"/>
      <w:marTop w:val="0"/>
      <w:marBottom w:val="0"/>
      <w:divBdr>
        <w:top w:val="none" w:sz="0" w:space="0" w:color="auto"/>
        <w:left w:val="none" w:sz="0" w:space="0" w:color="auto"/>
        <w:bottom w:val="none" w:sz="0" w:space="0" w:color="auto"/>
        <w:right w:val="none" w:sz="0" w:space="0" w:color="auto"/>
      </w:divBdr>
    </w:div>
    <w:div w:id="1739740656">
      <w:bodyDiv w:val="1"/>
      <w:marLeft w:val="0"/>
      <w:marRight w:val="0"/>
      <w:marTop w:val="0"/>
      <w:marBottom w:val="0"/>
      <w:divBdr>
        <w:top w:val="none" w:sz="0" w:space="0" w:color="auto"/>
        <w:left w:val="none" w:sz="0" w:space="0" w:color="auto"/>
        <w:bottom w:val="none" w:sz="0" w:space="0" w:color="auto"/>
        <w:right w:val="none" w:sz="0" w:space="0" w:color="auto"/>
      </w:divBdr>
    </w:div>
    <w:div w:id="1828783601">
      <w:bodyDiv w:val="1"/>
      <w:marLeft w:val="0"/>
      <w:marRight w:val="0"/>
      <w:marTop w:val="0"/>
      <w:marBottom w:val="0"/>
      <w:divBdr>
        <w:top w:val="none" w:sz="0" w:space="0" w:color="auto"/>
        <w:left w:val="none" w:sz="0" w:space="0" w:color="auto"/>
        <w:bottom w:val="none" w:sz="0" w:space="0" w:color="auto"/>
        <w:right w:val="none" w:sz="0" w:space="0" w:color="auto"/>
      </w:divBdr>
    </w:div>
    <w:div w:id="1887985875">
      <w:bodyDiv w:val="1"/>
      <w:marLeft w:val="0"/>
      <w:marRight w:val="0"/>
      <w:marTop w:val="0"/>
      <w:marBottom w:val="0"/>
      <w:divBdr>
        <w:top w:val="none" w:sz="0" w:space="0" w:color="auto"/>
        <w:left w:val="none" w:sz="0" w:space="0" w:color="auto"/>
        <w:bottom w:val="none" w:sz="0" w:space="0" w:color="auto"/>
        <w:right w:val="none" w:sz="0" w:space="0" w:color="auto"/>
      </w:divBdr>
    </w:div>
    <w:div w:id="1951204660">
      <w:bodyDiv w:val="1"/>
      <w:marLeft w:val="0"/>
      <w:marRight w:val="0"/>
      <w:marTop w:val="0"/>
      <w:marBottom w:val="0"/>
      <w:divBdr>
        <w:top w:val="none" w:sz="0" w:space="0" w:color="auto"/>
        <w:left w:val="none" w:sz="0" w:space="0" w:color="auto"/>
        <w:bottom w:val="none" w:sz="0" w:space="0" w:color="auto"/>
        <w:right w:val="none" w:sz="0" w:space="0" w:color="auto"/>
      </w:divBdr>
    </w:div>
    <w:div w:id="200038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i.org.il/he/Research/Pages/ind.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485210-DB1C-4D69-B400-EC4A590E8C39}"/>
</file>

<file path=customXml/itemProps2.xml><?xml version="1.0" encoding="utf-8"?>
<ds:datastoreItem xmlns:ds="http://schemas.openxmlformats.org/officeDocument/2006/customXml" ds:itemID="{B0AA9C9A-8472-473C-B331-6159B71C5460}"/>
</file>

<file path=customXml/itemProps3.xml><?xml version="1.0" encoding="utf-8"?>
<ds:datastoreItem xmlns:ds="http://schemas.openxmlformats.org/officeDocument/2006/customXml" ds:itemID="{D0A6F8DF-93D8-4156-B48A-7C7C23C25FC4}"/>
</file>

<file path=customXml/itemProps4.xml><?xml version="1.0" encoding="utf-8"?>
<ds:datastoreItem xmlns:ds="http://schemas.openxmlformats.org/officeDocument/2006/customXml" ds:itemID="{171B08D4-61EE-47AE-B456-055C7D876A25}"/>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2168</Characters>
  <Application>Microsoft Office Word</Application>
  <DocSecurity>0</DocSecurity>
  <Lines>18</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2596</CharactersWithSpaces>
  <SharedDoc>false</SharedDoc>
  <HLinks>
    <vt:vector size="6" baseType="variant">
      <vt:variant>
        <vt:i4>4653060</vt:i4>
      </vt:variant>
      <vt:variant>
        <vt:i4>3</vt:i4>
      </vt:variant>
      <vt:variant>
        <vt:i4>0</vt:i4>
      </vt:variant>
      <vt:variant>
        <vt:i4>5</vt:i4>
      </vt:variant>
      <vt:variant>
        <vt:lpwstr>http://www.boi.org.il/he/Research/Pages/ind.aspx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2020-08-02T14:11:00Z</dcterms:created>
  <dcterms:modified xsi:type="dcterms:W3CDTF">2020-08-02T14:34:00Z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