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3D1F2A" w:rsidRPr="003D1F2A" w:rsidTr="003F2FD1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F2A" w:rsidRPr="003D1F2A" w:rsidRDefault="003D1F2A" w:rsidP="003F2FD1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3D1F2A">
              <w:rPr>
                <w:rFonts w:cs="David"/>
                <w:b/>
                <w:bCs/>
                <w:sz w:val="24"/>
                <w:szCs w:val="24"/>
                <w:rtl/>
              </w:rPr>
              <w:t>בנ</w:t>
            </w:r>
            <w:r w:rsidRPr="003D1F2A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ק </w:t>
            </w:r>
            <w:r w:rsidRPr="003D1F2A">
              <w:rPr>
                <w:rFonts w:cs="David"/>
                <w:b/>
                <w:bCs/>
                <w:sz w:val="24"/>
                <w:szCs w:val="24"/>
                <w:rtl/>
              </w:rPr>
              <w:t>יש</w:t>
            </w:r>
            <w:r w:rsidRPr="003D1F2A">
              <w:rPr>
                <w:rFonts w:cs="David" w:hint="cs"/>
                <w:b/>
                <w:bCs/>
                <w:sz w:val="24"/>
                <w:szCs w:val="24"/>
                <w:rtl/>
              </w:rPr>
              <w:t>ראל</w:t>
            </w:r>
          </w:p>
          <w:p w:rsidR="003D1F2A" w:rsidRPr="003D1F2A" w:rsidRDefault="003D1F2A" w:rsidP="003F2FD1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3D1F2A">
              <w:rPr>
                <w:rFonts w:cs="David"/>
                <w:sz w:val="24"/>
                <w:szCs w:val="24"/>
                <w:rtl/>
              </w:rPr>
              <w:t>דו</w:t>
            </w:r>
            <w:r w:rsidRPr="003D1F2A">
              <w:rPr>
                <w:rFonts w:cs="David" w:hint="cs"/>
                <w:sz w:val="24"/>
                <w:szCs w:val="24"/>
                <w:rtl/>
              </w:rPr>
              <w:t>בר</w:t>
            </w:r>
            <w:r w:rsidRPr="003D1F2A">
              <w:rPr>
                <w:rFonts w:cs="David"/>
                <w:sz w:val="24"/>
                <w:szCs w:val="24"/>
                <w:rtl/>
              </w:rPr>
              <w:t>ות</w:t>
            </w:r>
            <w:r w:rsidRPr="003D1F2A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D1F2A" w:rsidRPr="003D1F2A" w:rsidRDefault="003D1F2A" w:rsidP="003F2FD1">
            <w:pPr>
              <w:jc w:val="center"/>
              <w:rPr>
                <w:sz w:val="24"/>
                <w:szCs w:val="24"/>
              </w:rPr>
            </w:pPr>
            <w:r w:rsidRPr="003D1F2A">
              <w:rPr>
                <w:noProof/>
                <w:sz w:val="24"/>
                <w:szCs w:val="24"/>
              </w:rPr>
              <w:drawing>
                <wp:inline distT="0" distB="0" distL="0" distR="0" wp14:anchorId="718C07F3" wp14:editId="2419E5BF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F2A" w:rsidRPr="003D1F2A" w:rsidRDefault="003D1F2A" w:rsidP="003F2FD1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3D1F2A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D1F2A">
              <w:rPr>
                <w:rFonts w:cs="David" w:hint="cs"/>
                <w:sz w:val="24"/>
                <w:szCs w:val="24"/>
                <w:rtl/>
              </w:rPr>
              <w:t>ירושלים, א' באדר ב'</w:t>
            </w:r>
            <w:r w:rsidRPr="003D1F2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D1F2A">
              <w:rPr>
                <w:rFonts w:cs="David" w:hint="cs"/>
                <w:sz w:val="24"/>
                <w:szCs w:val="24"/>
                <w:rtl/>
              </w:rPr>
              <w:t>ה</w:t>
            </w:r>
            <w:r w:rsidRPr="003D1F2A">
              <w:rPr>
                <w:rFonts w:cs="David"/>
                <w:sz w:val="24"/>
                <w:szCs w:val="24"/>
                <w:rtl/>
              </w:rPr>
              <w:t>תשע"</w:t>
            </w:r>
            <w:r w:rsidRPr="003D1F2A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3D1F2A" w:rsidRPr="003D1F2A" w:rsidRDefault="003D1F2A" w:rsidP="003F2FD1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3D1F2A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3D1F2A">
              <w:rPr>
                <w:rFonts w:cs="David" w:hint="cs"/>
                <w:sz w:val="24"/>
                <w:szCs w:val="24"/>
                <w:rtl/>
              </w:rPr>
              <w:t>3 במרץ 2014</w:t>
            </w:r>
          </w:p>
        </w:tc>
      </w:tr>
    </w:tbl>
    <w:p w:rsidR="003D1F2A" w:rsidRDefault="003D1F2A" w:rsidP="003D1F2A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6B05E4" w:rsidRPr="003D1F2A" w:rsidRDefault="003D1F2A" w:rsidP="003D1F2A">
      <w:pPr>
        <w:spacing w:line="360" w:lineRule="auto"/>
        <w:ind w:left="-483" w:right="-284"/>
        <w:jc w:val="center"/>
        <w:rPr>
          <w:rFonts w:ascii="Times New Roman" w:hAnsi="Times New Roman" w:cs="David"/>
          <w:b/>
          <w:bCs/>
          <w:sz w:val="28"/>
          <w:szCs w:val="28"/>
          <w:u w:val="single"/>
          <w:rtl/>
        </w:rPr>
      </w:pPr>
      <w:r w:rsidRPr="003D1F2A">
        <w:rPr>
          <w:rFonts w:ascii="Times New Roman" w:hAnsi="Times New Roman" w:cs="David" w:hint="cs"/>
          <w:sz w:val="26"/>
          <w:szCs w:val="26"/>
          <w:u w:val="single"/>
          <w:rtl/>
        </w:rPr>
        <w:t>קטע מדוח בנק ישראל שיתפרסם בקרוב</w:t>
      </w:r>
      <w:r w:rsidR="006B05E4" w:rsidRPr="003D1F2A">
        <w:rPr>
          <w:rFonts w:ascii="Times New Roman" w:hAnsi="Times New Roman" w:cs="David" w:hint="cs"/>
          <w:sz w:val="26"/>
          <w:szCs w:val="26"/>
          <w:u w:val="single"/>
          <w:rtl/>
        </w:rPr>
        <w:t>:</w:t>
      </w:r>
      <w:r w:rsidR="006B05E4" w:rsidRPr="003D1F2A">
        <w:rPr>
          <w:rFonts w:ascii="Times New Roman" w:hAnsi="Times New Roman" w:cs="David" w:hint="cs"/>
          <w:b/>
          <w:bCs/>
          <w:sz w:val="28"/>
          <w:szCs w:val="28"/>
          <w:u w:val="single"/>
          <w:rtl/>
        </w:rPr>
        <w:t xml:space="preserve"> תמורות באי-שוויון בין המחוזות בישראל</w:t>
      </w:r>
      <w:r w:rsidR="00516BE8" w:rsidRPr="003D1F2A">
        <w:rPr>
          <w:rFonts w:ascii="Times New Roman" w:hAnsi="Times New Roman" w:cs="David" w:hint="cs"/>
          <w:b/>
          <w:bCs/>
          <w:sz w:val="28"/>
          <w:szCs w:val="28"/>
          <w:u w:val="single"/>
          <w:rtl/>
        </w:rPr>
        <w:t xml:space="preserve"> ובתוכם</w:t>
      </w:r>
    </w:p>
    <w:p w:rsidR="002E74DC" w:rsidRPr="00DB6B82" w:rsidRDefault="002E74DC" w:rsidP="00E201F8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4972EE">
        <w:rPr>
          <w:rFonts w:ascii="Times New Roman" w:hAnsi="Times New Roman" w:cs="David" w:hint="cs"/>
          <w:sz w:val="24"/>
          <w:szCs w:val="24"/>
          <w:rtl/>
        </w:rPr>
        <w:t>בעשור האחרון כתוצאה מתהליכי אגלומרציה גדל בהתמדה ריכוז האוכלוסייה במחוז המרכז, בשעה שבכל יתר המחוזות בארץ נרשם מאזן הגירה שלילי</w:t>
      </w:r>
      <w:r w:rsidRPr="004972EE">
        <w:rPr>
          <w:rStyle w:val="ad"/>
          <w:rFonts w:ascii="Times New Roman" w:hAnsi="Times New Roman" w:cs="David"/>
          <w:sz w:val="24"/>
          <w:szCs w:val="24"/>
          <w:rtl/>
        </w:rPr>
        <w:footnoteReference w:id="1"/>
      </w:r>
      <w:r w:rsidRPr="004972EE">
        <w:rPr>
          <w:rFonts w:ascii="Times New Roman" w:hAnsi="Times New Roman" w:cs="David" w:hint="cs"/>
          <w:sz w:val="24"/>
          <w:szCs w:val="24"/>
          <w:rtl/>
        </w:rPr>
        <w:t>. תהליך</w:t>
      </w:r>
      <w:r>
        <w:rPr>
          <w:rFonts w:ascii="Times New Roman" w:hAnsi="Times New Roman" w:cs="David" w:hint="cs"/>
          <w:sz w:val="24"/>
          <w:szCs w:val="24"/>
          <w:rtl/>
        </w:rPr>
        <w:t xml:space="preserve"> זה היה מלווה בריכוז משרות איכותיות יותר במרכז (פרק</w:t>
      </w:r>
      <w:r w:rsidR="00476AD9">
        <w:rPr>
          <w:rFonts w:ascii="Times New Roman" w:hAnsi="Times New Roman" w:cs="David"/>
          <w:sz w:val="24"/>
          <w:szCs w:val="24"/>
        </w:rPr>
        <w:t xml:space="preserve"> </w:t>
      </w:r>
      <w:r w:rsidR="00476AD9">
        <w:rPr>
          <w:rFonts w:ascii="Times New Roman" w:hAnsi="Times New Roman" w:cs="David" w:hint="cs"/>
          <w:sz w:val="24"/>
          <w:szCs w:val="24"/>
          <w:rtl/>
        </w:rPr>
        <w:t>ה'</w:t>
      </w:r>
      <w:r>
        <w:rPr>
          <w:rFonts w:ascii="Times New Roman" w:hAnsi="Times New Roman" w:cs="David" w:hint="cs"/>
          <w:sz w:val="24"/>
          <w:szCs w:val="24"/>
          <w:rtl/>
        </w:rPr>
        <w:t xml:space="preserve">...) והביא לעלית מחירי הדיור </w:t>
      </w:r>
      <w:r w:rsidR="00E201F8">
        <w:rPr>
          <w:rFonts w:ascii="Times New Roman" w:hAnsi="Times New Roman" w:cs="David" w:hint="cs"/>
          <w:sz w:val="24"/>
          <w:szCs w:val="24"/>
          <w:rtl/>
        </w:rPr>
        <w:t>שם</w:t>
      </w:r>
      <w:r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B94A7D">
        <w:rPr>
          <w:rFonts w:ascii="Times New Roman" w:hAnsi="Times New Roman" w:cs="David" w:hint="cs"/>
          <w:sz w:val="24"/>
          <w:szCs w:val="24"/>
          <w:rtl/>
        </w:rPr>
        <w:t>בתיבה זו נבחן האם כתוצאה מתהליכים אלו גדלו הפערים הכלכליים בין המרכז לפריפריה והאם נוצר ריבוד חברתי כלכלי.</w:t>
      </w:r>
    </w:p>
    <w:p w:rsidR="006B05E4" w:rsidRPr="00DB6B82" w:rsidRDefault="006B05E4" w:rsidP="003D1F2A">
      <w:pPr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תיבה זו </w:t>
      </w:r>
      <w:r w:rsidR="00D56D4A">
        <w:rPr>
          <w:rFonts w:ascii="Times New Roman" w:hAnsi="Times New Roman" w:cs="David" w:hint="cs"/>
          <w:sz w:val="24"/>
          <w:szCs w:val="24"/>
          <w:rtl/>
        </w:rPr>
        <w:t>עונה</w:t>
      </w:r>
      <w:r w:rsidR="00D56D4A" w:rsidRPr="00DB6B82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12FF9">
        <w:rPr>
          <w:rFonts w:ascii="Times New Roman" w:hAnsi="Times New Roman" w:cs="David" w:hint="cs"/>
          <w:sz w:val="24"/>
          <w:szCs w:val="24"/>
          <w:rtl/>
        </w:rPr>
        <w:t xml:space="preserve">על </w:t>
      </w:r>
      <w:r w:rsidR="00D56D4A">
        <w:rPr>
          <w:rFonts w:ascii="Times New Roman" w:hAnsi="Times New Roman" w:cs="David" w:hint="cs"/>
          <w:sz w:val="24"/>
          <w:szCs w:val="24"/>
          <w:rtl/>
        </w:rPr>
        <w:t xml:space="preserve">שאלות אלו </w:t>
      </w:r>
      <w:r w:rsidR="00D56D4A" w:rsidRPr="00DB6B82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56D4A">
        <w:rPr>
          <w:rFonts w:ascii="Times New Roman" w:hAnsi="Times New Roman" w:cs="David" w:hint="cs"/>
          <w:sz w:val="24"/>
          <w:szCs w:val="24"/>
          <w:rtl/>
        </w:rPr>
        <w:t xml:space="preserve">על ידי בחינת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התפתחות </w:t>
      </w:r>
      <w:r w:rsidR="00D56D4A">
        <w:rPr>
          <w:rFonts w:ascii="Times New Roman" w:hAnsi="Times New Roman" w:cs="David" w:hint="cs"/>
          <w:sz w:val="24"/>
          <w:szCs w:val="24"/>
          <w:rtl/>
        </w:rPr>
        <w:t>ה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אי-שוויון </w:t>
      </w:r>
      <w:r w:rsidR="008D79A6">
        <w:rPr>
          <w:rFonts w:ascii="Times New Roman" w:hAnsi="Times New Roman" w:cs="David" w:hint="cs"/>
          <w:sz w:val="24"/>
          <w:szCs w:val="24"/>
          <w:rtl/>
        </w:rPr>
        <w:t xml:space="preserve">בהכנסות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בעזרת מדד </w:t>
      </w:r>
      <w:proofErr w:type="spellStart"/>
      <w:r w:rsidRPr="00DB6B82">
        <w:rPr>
          <w:rFonts w:ascii="Times New Roman" w:hAnsi="Times New Roman" w:cs="David" w:hint="cs"/>
          <w:sz w:val="24"/>
          <w:szCs w:val="24"/>
          <w:rtl/>
        </w:rPr>
        <w:t>תייל</w:t>
      </w:r>
      <w:proofErr w:type="spellEnd"/>
      <w:r w:rsidR="008D79A6">
        <w:rPr>
          <w:rFonts w:ascii="Times New Roman" w:hAnsi="Times New Roman" w:cs="David" w:hint="cs"/>
          <w:sz w:val="24"/>
          <w:szCs w:val="24"/>
          <w:rtl/>
        </w:rPr>
        <w:t>.</w:t>
      </w:r>
      <w:r w:rsidR="00F50C6C">
        <w:rPr>
          <w:rFonts w:ascii="Times New Roman" w:hAnsi="Times New Roman" w:cs="David" w:hint="cs"/>
          <w:sz w:val="24"/>
          <w:szCs w:val="24"/>
          <w:rtl/>
        </w:rPr>
        <w:t xml:space="preserve"> זהו כלי מקובל לניתוחים מסוג זה, והוא </w:t>
      </w:r>
      <w:r w:rsidRPr="00DB6B82">
        <w:rPr>
          <w:rFonts w:ascii="Times New Roman" w:hAnsi="Times New Roman" w:cs="David" w:hint="cs"/>
          <w:sz w:val="24"/>
          <w:szCs w:val="24"/>
          <w:rtl/>
        </w:rPr>
        <w:t>מאפשר</w:t>
      </w:r>
      <w:r w:rsidRPr="00DB6B82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B6B82">
        <w:rPr>
          <w:rFonts w:ascii="Times New Roman" w:hAnsi="Times New Roman" w:cs="David" w:hint="cs"/>
          <w:sz w:val="24"/>
          <w:szCs w:val="24"/>
          <w:rtl/>
        </w:rPr>
        <w:t>לחלק את האוכלוס</w:t>
      </w:r>
      <w:r w:rsidR="00020A72">
        <w:rPr>
          <w:rFonts w:ascii="Times New Roman" w:hAnsi="Times New Roman" w:cs="David" w:hint="cs"/>
          <w:sz w:val="24"/>
          <w:szCs w:val="24"/>
          <w:rtl/>
        </w:rPr>
        <w:t>י</w:t>
      </w:r>
      <w:r w:rsidRPr="00DB6B82">
        <w:rPr>
          <w:rFonts w:ascii="Times New Roman" w:hAnsi="Times New Roman" w:cs="David" w:hint="cs"/>
          <w:sz w:val="24"/>
          <w:szCs w:val="24"/>
          <w:rtl/>
        </w:rPr>
        <w:t>יה לקבוצות ו</w:t>
      </w:r>
      <w:r w:rsidRPr="00DB6B82">
        <w:rPr>
          <w:rFonts w:ascii="Times New Roman" w:hAnsi="Times New Roman" w:cs="David"/>
          <w:sz w:val="24"/>
          <w:szCs w:val="24"/>
          <w:rtl/>
        </w:rPr>
        <w:t xml:space="preserve">לפרק את </w:t>
      </w:r>
      <w:r w:rsidR="00D56D4A">
        <w:rPr>
          <w:rFonts w:ascii="Times New Roman" w:hAnsi="Times New Roman" w:cs="David" w:hint="cs"/>
          <w:sz w:val="24"/>
          <w:szCs w:val="24"/>
          <w:rtl/>
        </w:rPr>
        <w:t>ה</w:t>
      </w:r>
      <w:r w:rsidRPr="00DB6B82">
        <w:rPr>
          <w:rFonts w:ascii="Times New Roman" w:hAnsi="Times New Roman" w:cs="David"/>
          <w:sz w:val="24"/>
          <w:szCs w:val="24"/>
          <w:rtl/>
        </w:rPr>
        <w:t>אי</w:t>
      </w:r>
      <w:r w:rsidRPr="00DB6B82">
        <w:rPr>
          <w:rFonts w:ascii="Times New Roman" w:hAnsi="Times New Roman" w:cs="David" w:hint="cs"/>
          <w:sz w:val="24"/>
          <w:szCs w:val="24"/>
          <w:rtl/>
        </w:rPr>
        <w:t>-</w:t>
      </w:r>
      <w:r w:rsidRPr="00DB6B82">
        <w:rPr>
          <w:rFonts w:ascii="Times New Roman" w:hAnsi="Times New Roman" w:cs="David"/>
          <w:sz w:val="24"/>
          <w:szCs w:val="24"/>
          <w:rtl/>
        </w:rPr>
        <w:t>שוויון הכולל למרכיב של אי</w:t>
      </w:r>
      <w:r w:rsidRPr="00DB6B82">
        <w:rPr>
          <w:rFonts w:ascii="Times New Roman" w:hAnsi="Times New Roman" w:cs="David" w:hint="cs"/>
          <w:sz w:val="24"/>
          <w:szCs w:val="24"/>
          <w:rtl/>
        </w:rPr>
        <w:t>-</w:t>
      </w:r>
      <w:r w:rsidRPr="00DB6B82">
        <w:rPr>
          <w:rFonts w:ascii="Times New Roman" w:hAnsi="Times New Roman" w:cs="David"/>
          <w:sz w:val="24"/>
          <w:szCs w:val="24"/>
          <w:rtl/>
        </w:rPr>
        <w:t>שוויון בין הקבוצות ולמרכיב של אי</w:t>
      </w:r>
      <w:r w:rsidRPr="00DB6B82">
        <w:rPr>
          <w:rFonts w:ascii="Times New Roman" w:hAnsi="Times New Roman" w:cs="David" w:hint="cs"/>
          <w:sz w:val="24"/>
          <w:szCs w:val="24"/>
          <w:rtl/>
        </w:rPr>
        <w:t>-</w:t>
      </w:r>
      <w:r w:rsidRPr="00DB6B82">
        <w:rPr>
          <w:rFonts w:ascii="Times New Roman" w:hAnsi="Times New Roman" w:cs="David"/>
          <w:sz w:val="24"/>
          <w:szCs w:val="24"/>
          <w:rtl/>
        </w:rPr>
        <w:t xml:space="preserve">שוויון </w:t>
      </w:r>
      <w:r w:rsidRPr="00DB6B82">
        <w:rPr>
          <w:rFonts w:ascii="Times New Roman" w:hAnsi="Times New Roman" w:cs="David" w:hint="cs"/>
          <w:sz w:val="24"/>
          <w:szCs w:val="24"/>
          <w:rtl/>
        </w:rPr>
        <w:t>בתוכן</w:t>
      </w:r>
      <w:r w:rsidR="009F6ECA">
        <w:rPr>
          <w:rFonts w:ascii="Times New Roman" w:hAnsi="Times New Roman" w:cs="David" w:hint="cs"/>
          <w:sz w:val="24"/>
          <w:szCs w:val="24"/>
          <w:rtl/>
        </w:rPr>
        <w:t>.</w:t>
      </w:r>
      <w:r w:rsidR="009F6ECA">
        <w:rPr>
          <w:rStyle w:val="ad"/>
          <w:rFonts w:ascii="Times New Roman" w:hAnsi="Times New Roman"/>
          <w:sz w:val="24"/>
          <w:szCs w:val="24"/>
          <w:rtl/>
        </w:rPr>
        <w:footnoteReference w:id="2"/>
      </w:r>
      <w:r w:rsidRPr="00DB6B82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שימוש במדד </w:t>
      </w:r>
      <w:proofErr w:type="spellStart"/>
      <w:r w:rsidRPr="00DB6B82">
        <w:rPr>
          <w:rFonts w:ascii="Times New Roman" w:hAnsi="Times New Roman" w:cs="David" w:hint="cs"/>
          <w:sz w:val="24"/>
          <w:szCs w:val="24"/>
          <w:rtl/>
        </w:rPr>
        <w:t>תייל</w:t>
      </w:r>
      <w:proofErr w:type="spellEnd"/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6746E9">
        <w:rPr>
          <w:rFonts w:ascii="Times New Roman" w:hAnsi="Times New Roman" w:cs="David" w:hint="cs"/>
          <w:sz w:val="24"/>
          <w:szCs w:val="24"/>
          <w:rtl/>
        </w:rPr>
        <w:t>בנוגע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למחוזות מאפשר להציג שני מדדים: הראשון מתייחס לפערים שבין המחוזות ומחושב על </w:t>
      </w:r>
      <w:r w:rsidR="00F50C6C">
        <w:rPr>
          <w:rFonts w:ascii="Times New Roman" w:hAnsi="Times New Roman" w:cs="David" w:hint="cs"/>
          <w:sz w:val="24"/>
          <w:szCs w:val="24"/>
          <w:rtl/>
        </w:rPr>
        <w:t>סמך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ההכנסה הממוצעת בכל מחוז, ואילו השני מתייחס לפערים שבתוך המחוזות ומחושב על </w:t>
      </w:r>
      <w:r w:rsidR="00F50C6C">
        <w:rPr>
          <w:rFonts w:ascii="Times New Roman" w:hAnsi="Times New Roman" w:cs="David" w:hint="cs"/>
          <w:sz w:val="24"/>
          <w:szCs w:val="24"/>
          <w:rtl/>
        </w:rPr>
        <w:t>סמך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F50C6C">
        <w:rPr>
          <w:rFonts w:ascii="Times New Roman" w:hAnsi="Times New Roman" w:cs="David" w:hint="cs"/>
          <w:sz w:val="24"/>
          <w:szCs w:val="24"/>
          <w:rtl/>
        </w:rPr>
        <w:t>ה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ממוצע </w:t>
      </w:r>
      <w:r w:rsidR="00F50C6C">
        <w:rPr>
          <w:rFonts w:ascii="Times New Roman" w:hAnsi="Times New Roman" w:cs="David" w:hint="cs"/>
          <w:sz w:val="24"/>
          <w:szCs w:val="24"/>
          <w:rtl/>
        </w:rPr>
        <w:t>ה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משוקלל של רמת אי-השוויון בכל אחד </w:t>
      </w:r>
      <w:r w:rsidR="00020A72">
        <w:rPr>
          <w:rFonts w:ascii="Times New Roman" w:hAnsi="Times New Roman" w:cs="David" w:hint="cs"/>
          <w:sz w:val="24"/>
          <w:szCs w:val="24"/>
          <w:rtl/>
        </w:rPr>
        <w:t>מהם</w:t>
      </w:r>
      <w:r w:rsidRPr="00DB6B82">
        <w:rPr>
          <w:rFonts w:ascii="Times New Roman" w:hAnsi="Times New Roman" w:cs="David" w:hint="cs"/>
          <w:sz w:val="24"/>
          <w:szCs w:val="24"/>
          <w:rtl/>
        </w:rPr>
        <w:t>. סכום שני המדדים הללו מבטא את אי-השוויון הכולל באוכלוסי</w:t>
      </w:r>
      <w:r w:rsidR="00F50C6C">
        <w:rPr>
          <w:rFonts w:ascii="Times New Roman" w:hAnsi="Times New Roman" w:cs="David" w:hint="cs"/>
          <w:sz w:val="24"/>
          <w:szCs w:val="24"/>
          <w:rtl/>
        </w:rPr>
        <w:t>י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ה. </w:t>
      </w:r>
    </w:p>
    <w:p w:rsidR="006B05E4" w:rsidRDefault="006B05E4" w:rsidP="003D1F2A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איור 1 </w:t>
      </w:r>
      <w:r w:rsidR="009D3F91">
        <w:rPr>
          <w:rFonts w:ascii="Times New Roman" w:hAnsi="Times New Roman" w:cs="David" w:hint="cs"/>
          <w:sz w:val="24"/>
          <w:szCs w:val="24"/>
          <w:rtl/>
        </w:rPr>
        <w:t>מתייחס ל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הכנסה הכלכלית </w:t>
      </w:r>
      <w:r w:rsidR="008D79A6" w:rsidRPr="00E031ED">
        <w:rPr>
          <w:rFonts w:ascii="Times New Roman" w:hAnsi="Times New Roman" w:cs="David"/>
          <w:sz w:val="24"/>
          <w:szCs w:val="24"/>
          <w:rtl/>
        </w:rPr>
        <w:t>(</w:t>
      </w:r>
      <w:r w:rsidR="008D79A6">
        <w:rPr>
          <w:rFonts w:ascii="Times New Roman" w:hAnsi="Times New Roman" w:cs="David" w:hint="cs"/>
          <w:sz w:val="24"/>
          <w:szCs w:val="24"/>
          <w:rtl/>
        </w:rPr>
        <w:t>הכנסה מעבודה שכירה או עצמאית, מעסק, מפנסיות ומהון</w:t>
      </w:r>
      <w:r w:rsidR="009D3F91">
        <w:rPr>
          <w:rFonts w:ascii="Times New Roman" w:hAnsi="Times New Roman" w:cs="David" w:hint="cs"/>
          <w:sz w:val="24"/>
          <w:szCs w:val="24"/>
          <w:rtl/>
        </w:rPr>
        <w:t>,</w:t>
      </w:r>
      <w:r w:rsidR="008D79A6">
        <w:rPr>
          <w:rFonts w:ascii="Times New Roman" w:hAnsi="Times New Roman" w:cs="David" w:hint="cs"/>
          <w:sz w:val="24"/>
          <w:szCs w:val="24"/>
          <w:rtl/>
        </w:rPr>
        <w:t xml:space="preserve"> לפני ניכוי</w:t>
      </w:r>
      <w:r w:rsidR="009D3F91">
        <w:rPr>
          <w:rFonts w:ascii="Times New Roman" w:hAnsi="Times New Roman" w:cs="David" w:hint="cs"/>
          <w:sz w:val="24"/>
          <w:szCs w:val="24"/>
          <w:rtl/>
        </w:rPr>
        <w:t>י</w:t>
      </w:r>
      <w:r w:rsidR="008D79A6">
        <w:rPr>
          <w:rFonts w:ascii="Times New Roman" w:hAnsi="Times New Roman" w:cs="David" w:hint="cs"/>
          <w:sz w:val="24"/>
          <w:szCs w:val="24"/>
          <w:rtl/>
        </w:rPr>
        <w:t xml:space="preserve"> מס ותשלומי העברה של הממשלה)</w:t>
      </w:r>
      <w:r w:rsidR="009D3F91">
        <w:rPr>
          <w:rFonts w:ascii="Times New Roman" w:hAnsi="Times New Roman" w:cs="David" w:hint="cs"/>
          <w:sz w:val="24"/>
          <w:szCs w:val="24"/>
          <w:rtl/>
        </w:rPr>
        <w:t xml:space="preserve">, והוא מתאר כיצד מדד </w:t>
      </w:r>
      <w:proofErr w:type="spellStart"/>
      <w:r w:rsidR="009D3F91">
        <w:rPr>
          <w:rFonts w:ascii="Times New Roman" w:hAnsi="Times New Roman" w:cs="David" w:hint="cs"/>
          <w:sz w:val="24"/>
          <w:szCs w:val="24"/>
          <w:rtl/>
        </w:rPr>
        <w:t>תייל</w:t>
      </w:r>
      <w:proofErr w:type="spellEnd"/>
      <w:r w:rsidR="009D3F91">
        <w:rPr>
          <w:rFonts w:ascii="Times New Roman" w:hAnsi="Times New Roman" w:cs="David" w:hint="cs"/>
          <w:sz w:val="24"/>
          <w:szCs w:val="24"/>
          <w:rtl/>
        </w:rPr>
        <w:t xml:space="preserve"> לאי-שוויון בהכנסה זו</w:t>
      </w:r>
      <w:r w:rsidR="008D79A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11A81">
        <w:rPr>
          <w:rFonts w:ascii="Times New Roman" w:hAnsi="Times New Roman" w:cs="David" w:hint="cs"/>
          <w:sz w:val="24"/>
          <w:szCs w:val="24"/>
          <w:rtl/>
        </w:rPr>
        <w:t xml:space="preserve">התפתח </w:t>
      </w:r>
      <w:r w:rsidRPr="00DB6B82">
        <w:rPr>
          <w:rFonts w:ascii="Times New Roman" w:hAnsi="Times New Roman" w:cs="David" w:hint="cs"/>
          <w:sz w:val="24"/>
          <w:szCs w:val="24"/>
          <w:rtl/>
        </w:rPr>
        <w:t>בין 1998</w:t>
      </w:r>
      <w:r w:rsidR="00411A81">
        <w:rPr>
          <w:rFonts w:ascii="Times New Roman" w:hAnsi="Times New Roman" w:cs="David" w:hint="cs"/>
          <w:sz w:val="24"/>
          <w:szCs w:val="24"/>
          <w:rtl/>
        </w:rPr>
        <w:t xml:space="preserve"> ל-2011</w:t>
      </w:r>
      <w:r w:rsidRPr="00DB6B82">
        <w:rPr>
          <w:rFonts w:ascii="Times New Roman" w:hAnsi="Times New Roman" w:cs="David" w:hint="cs"/>
          <w:sz w:val="24"/>
          <w:szCs w:val="24"/>
          <w:rtl/>
        </w:rPr>
        <w:t>. מן האיור ניתן ללמוד כי</w:t>
      </w:r>
      <w:r w:rsidRPr="00DB6B82">
        <w:rPr>
          <w:rFonts w:ascii="Times New Roman" w:hAnsi="Times New Roman" w:cs="David"/>
          <w:sz w:val="24"/>
          <w:szCs w:val="24"/>
        </w:rPr>
        <w:t xml:space="preserve"> </w:t>
      </w:r>
      <w:r w:rsidR="00D56D4A">
        <w:rPr>
          <w:rFonts w:ascii="Times New Roman" w:hAnsi="Times New Roman" w:cs="David" w:hint="cs"/>
          <w:sz w:val="24"/>
          <w:szCs w:val="24"/>
          <w:rtl/>
        </w:rPr>
        <w:t>ה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אי-שוויון הכולל באוכלוסייה (הקו </w:t>
      </w:r>
      <w:r w:rsidR="008D79A6">
        <w:rPr>
          <w:rFonts w:ascii="Times New Roman" w:hAnsi="Times New Roman" w:cs="David" w:hint="cs"/>
          <w:sz w:val="24"/>
          <w:szCs w:val="24"/>
          <w:rtl/>
        </w:rPr>
        <w:t>הירוק</w:t>
      </w:r>
      <w:r w:rsidRPr="00DB6B82">
        <w:rPr>
          <w:rFonts w:ascii="Times New Roman" w:hAnsi="Times New Roman" w:cs="David" w:hint="cs"/>
          <w:sz w:val="24"/>
          <w:szCs w:val="24"/>
          <w:rtl/>
        </w:rPr>
        <w:t>) ירד בשנים האחרונות. פירוקו</w:t>
      </w:r>
      <w:r w:rsidRPr="00DB6B82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B6B82">
        <w:rPr>
          <w:rFonts w:ascii="Times New Roman" w:hAnsi="Times New Roman" w:cs="David" w:hint="cs"/>
          <w:sz w:val="24"/>
          <w:szCs w:val="24"/>
          <w:rtl/>
        </w:rPr>
        <w:t>של</w:t>
      </w:r>
      <w:r w:rsidRPr="00DB6B82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56D4A">
        <w:rPr>
          <w:rFonts w:ascii="Times New Roman" w:hAnsi="Times New Roman" w:cs="David" w:hint="cs"/>
          <w:sz w:val="24"/>
          <w:szCs w:val="24"/>
          <w:rtl/>
        </w:rPr>
        <w:t>ה</w:t>
      </w:r>
      <w:r w:rsidRPr="00DB6B82">
        <w:rPr>
          <w:rFonts w:ascii="Times New Roman" w:hAnsi="Times New Roman" w:cs="David" w:hint="cs"/>
          <w:sz w:val="24"/>
          <w:szCs w:val="24"/>
          <w:rtl/>
        </w:rPr>
        <w:t>אי-שוויון</w:t>
      </w:r>
      <w:r w:rsidRPr="00DB6B82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B6B82">
        <w:rPr>
          <w:rFonts w:ascii="Times New Roman" w:hAnsi="Times New Roman" w:cs="David" w:hint="cs"/>
          <w:sz w:val="24"/>
          <w:szCs w:val="24"/>
          <w:rtl/>
        </w:rPr>
        <w:t>הכולל לפי</w:t>
      </w:r>
      <w:r w:rsidRPr="00DB6B82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B6B82">
        <w:rPr>
          <w:rFonts w:ascii="Times New Roman" w:hAnsi="Times New Roman" w:cs="David" w:hint="cs"/>
          <w:sz w:val="24"/>
          <w:szCs w:val="24"/>
          <w:rtl/>
        </w:rPr>
        <w:t>מחוזות גיאוגרפיים</w:t>
      </w:r>
      <w:r w:rsidRPr="00DB6B82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B6B82">
        <w:rPr>
          <w:rFonts w:ascii="Times New Roman" w:hAnsi="Times New Roman" w:cs="David" w:hint="cs"/>
          <w:sz w:val="24"/>
          <w:szCs w:val="24"/>
          <w:rtl/>
        </w:rPr>
        <w:t>מעלה</w:t>
      </w:r>
      <w:r w:rsidRPr="00DB6B82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B6B82">
        <w:rPr>
          <w:rFonts w:ascii="Times New Roman" w:hAnsi="Times New Roman" w:cs="David" w:hint="cs"/>
          <w:sz w:val="24"/>
          <w:szCs w:val="24"/>
          <w:rtl/>
        </w:rPr>
        <w:t>כי</w:t>
      </w:r>
      <w:r w:rsidRPr="00DB6B82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B6B82">
        <w:rPr>
          <w:rFonts w:ascii="Times New Roman" w:hAnsi="Times New Roman" w:cs="David" w:hint="cs"/>
          <w:sz w:val="24"/>
          <w:szCs w:val="24"/>
          <w:rtl/>
        </w:rPr>
        <w:t>במהלך התקופה התרחב</w:t>
      </w:r>
      <w:r w:rsidRPr="00DB6B82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56D4A">
        <w:rPr>
          <w:rFonts w:ascii="Times New Roman" w:hAnsi="Times New Roman" w:cs="David" w:hint="cs"/>
          <w:sz w:val="24"/>
          <w:szCs w:val="24"/>
          <w:rtl/>
        </w:rPr>
        <w:t>ה</w:t>
      </w:r>
      <w:r w:rsidRPr="00DB6B82">
        <w:rPr>
          <w:rFonts w:ascii="Times New Roman" w:hAnsi="Times New Roman" w:cs="David" w:hint="cs"/>
          <w:sz w:val="24"/>
          <w:szCs w:val="24"/>
          <w:rtl/>
        </w:rPr>
        <w:t>אי-שוויון בין</w:t>
      </w:r>
      <w:r w:rsidRPr="00DB6B82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המחוזות ואילו </w:t>
      </w:r>
      <w:r w:rsidR="00D56D4A">
        <w:rPr>
          <w:rFonts w:ascii="Times New Roman" w:hAnsi="Times New Roman" w:cs="David" w:hint="cs"/>
          <w:sz w:val="24"/>
          <w:szCs w:val="24"/>
          <w:rtl/>
        </w:rPr>
        <w:t>ה</w:t>
      </w:r>
      <w:r w:rsidRPr="00DB6B82">
        <w:rPr>
          <w:rFonts w:ascii="Times New Roman" w:hAnsi="Times New Roman" w:cs="David" w:hint="cs"/>
          <w:sz w:val="24"/>
          <w:szCs w:val="24"/>
          <w:rtl/>
        </w:rPr>
        <w:t>אי</w:t>
      </w:r>
      <w:r w:rsidR="00411A81">
        <w:rPr>
          <w:rFonts w:ascii="Times New Roman" w:hAnsi="Times New Roman" w:cs="David" w:hint="cs"/>
          <w:sz w:val="24"/>
          <w:szCs w:val="24"/>
          <w:rtl/>
        </w:rPr>
        <w:t>-</w:t>
      </w:r>
      <w:r w:rsidRPr="00DB6B82">
        <w:rPr>
          <w:rFonts w:ascii="Times New Roman" w:hAnsi="Times New Roman" w:cs="David" w:hint="cs"/>
          <w:sz w:val="24"/>
          <w:szCs w:val="24"/>
          <w:rtl/>
        </w:rPr>
        <w:t>שוויון בתוכם הצטמצם</w:t>
      </w:r>
      <w:r w:rsidR="00D56D4A">
        <w:rPr>
          <w:rFonts w:ascii="Times New Roman" w:hAnsi="Times New Roman" w:cs="David" w:hint="cs"/>
          <w:sz w:val="24"/>
          <w:szCs w:val="24"/>
          <w:rtl/>
        </w:rPr>
        <w:t>.</w:t>
      </w:r>
      <w:r w:rsidRPr="00DB6B82">
        <w:rPr>
          <w:rStyle w:val="ad"/>
          <w:rFonts w:ascii="Times New Roman" w:hAnsi="Times New Roman" w:cs="David"/>
          <w:sz w:val="24"/>
          <w:szCs w:val="24"/>
          <w:rtl/>
        </w:rPr>
        <w:footnoteReference w:id="3"/>
      </w:r>
      <w:r w:rsidR="00A03F2B">
        <w:rPr>
          <w:rFonts w:ascii="Times New Roman" w:hAnsi="Times New Roman" w:cs="David" w:hint="cs"/>
          <w:sz w:val="24"/>
          <w:szCs w:val="24"/>
          <w:rtl/>
        </w:rPr>
        <w:t xml:space="preserve"> שתי תוצאות אלה עשויות להצביע על התרחבות הפערים בין המרכז לפריפריה</w:t>
      </w:r>
      <w:r w:rsidR="00411A81">
        <w:rPr>
          <w:rFonts w:ascii="Times New Roman" w:hAnsi="Times New Roman" w:cs="David" w:hint="cs"/>
          <w:sz w:val="24"/>
          <w:szCs w:val="24"/>
          <w:rtl/>
        </w:rPr>
        <w:t>.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6445DB">
        <w:rPr>
          <w:rFonts w:ascii="Times New Roman" w:hAnsi="Times New Roman" w:cs="David" w:hint="cs"/>
          <w:sz w:val="24"/>
          <w:szCs w:val="24"/>
          <w:rtl/>
        </w:rPr>
        <w:t>מלבד תהליכי האגלומרציה הכלכלית</w:t>
      </w:r>
      <w:r w:rsidR="00621FE4">
        <w:rPr>
          <w:rFonts w:ascii="Times New Roman" w:hAnsi="Times New Roman" w:cs="David" w:hint="cs"/>
          <w:sz w:val="24"/>
          <w:szCs w:val="24"/>
          <w:rtl/>
        </w:rPr>
        <w:t>, במסגרת התוכנית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621FE4">
        <w:rPr>
          <w:rFonts w:ascii="Times New Roman" w:hAnsi="Times New Roman" w:cs="David" w:hint="cs"/>
          <w:sz w:val="24"/>
          <w:szCs w:val="24"/>
          <w:rtl/>
        </w:rPr>
        <w:t xml:space="preserve">להבראת כלכלת ישראל, </w:t>
      </w:r>
      <w:r w:rsidR="006445DB" w:rsidRPr="00DB6B82">
        <w:rPr>
          <w:rFonts w:ascii="Times New Roman" w:hAnsi="Times New Roman" w:cs="David" w:hint="cs"/>
          <w:sz w:val="24"/>
          <w:szCs w:val="24"/>
          <w:rtl/>
        </w:rPr>
        <w:t xml:space="preserve">צמצמה הממשלה בשנת 2003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את היקף ההטבות במס </w:t>
      </w:r>
      <w:r w:rsidR="00783984">
        <w:rPr>
          <w:rFonts w:ascii="Times New Roman" w:hAnsi="Times New Roman" w:cs="David" w:hint="cs"/>
          <w:sz w:val="24"/>
          <w:szCs w:val="24"/>
          <w:rtl/>
        </w:rPr>
        <w:t>שי</w:t>
      </w:r>
      <w:r w:rsidRPr="00DB6B82">
        <w:rPr>
          <w:rFonts w:ascii="Times New Roman" w:hAnsi="Times New Roman" w:cs="David" w:hint="cs"/>
          <w:sz w:val="24"/>
          <w:szCs w:val="24"/>
          <w:rtl/>
        </w:rPr>
        <w:t>ישובים רבים בפריפריה</w:t>
      </w:r>
      <w:r w:rsidR="00783984">
        <w:rPr>
          <w:rFonts w:ascii="Times New Roman" w:hAnsi="Times New Roman" w:cs="David" w:hint="cs"/>
          <w:sz w:val="24"/>
          <w:szCs w:val="24"/>
          <w:rtl/>
        </w:rPr>
        <w:t xml:space="preserve"> נהנו מהן.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לי</w:t>
      </w:r>
      <w:r w:rsidR="00783984">
        <w:rPr>
          <w:rFonts w:ascii="Times New Roman" w:hAnsi="Times New Roman" w:cs="David" w:hint="cs"/>
          <w:sz w:val="24"/>
          <w:szCs w:val="24"/>
          <w:rtl/>
        </w:rPr>
        <w:t>י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שובי הצפון </w:t>
      </w:r>
      <w:r w:rsidR="00777526">
        <w:rPr>
          <w:rFonts w:ascii="Times New Roman" w:hAnsi="Times New Roman" w:cs="David" w:hint="cs"/>
          <w:sz w:val="24"/>
          <w:szCs w:val="24"/>
          <w:rtl/>
        </w:rPr>
        <w:t>ההטבות צומצמו ו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למאות </w:t>
      </w:r>
      <w:r w:rsidR="00783984">
        <w:rPr>
          <w:rFonts w:ascii="Times New Roman" w:hAnsi="Times New Roman" w:cs="David" w:hint="cs"/>
          <w:sz w:val="24"/>
          <w:szCs w:val="24"/>
          <w:rtl/>
        </w:rPr>
        <w:t>י</w:t>
      </w:r>
      <w:r w:rsidRPr="00DB6B82">
        <w:rPr>
          <w:rFonts w:ascii="Times New Roman" w:hAnsi="Times New Roman" w:cs="David" w:hint="cs"/>
          <w:sz w:val="24"/>
          <w:szCs w:val="24"/>
          <w:rtl/>
        </w:rPr>
        <w:t>ישובים בנגב</w:t>
      </w:r>
      <w:r w:rsidR="00777526">
        <w:rPr>
          <w:rFonts w:ascii="Times New Roman" w:hAnsi="Times New Roman" w:cs="David" w:hint="cs"/>
          <w:sz w:val="24"/>
          <w:szCs w:val="24"/>
          <w:rtl/>
        </w:rPr>
        <w:t xml:space="preserve"> הן בוטלו</w:t>
      </w:r>
      <w:r w:rsidRPr="00DB6B82">
        <w:rPr>
          <w:rStyle w:val="ad"/>
          <w:rFonts w:ascii="Times New Roman" w:hAnsi="Times New Roman" w:cs="David"/>
          <w:sz w:val="24"/>
          <w:szCs w:val="24"/>
          <w:rtl/>
        </w:rPr>
        <w:footnoteReference w:id="4"/>
      </w:r>
      <w:r w:rsidR="00931E17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="00391861" w:rsidRPr="002A1A87">
        <w:rPr>
          <w:rFonts w:ascii="Times New Roman" w:hAnsi="Times New Roman" w:cs="David" w:hint="cs"/>
          <w:sz w:val="24"/>
          <w:szCs w:val="24"/>
          <w:rtl/>
        </w:rPr>
        <w:t>ו</w:t>
      </w:r>
      <w:r w:rsidR="00391861">
        <w:rPr>
          <w:rFonts w:ascii="Times New Roman" w:hAnsi="Times New Roman" w:cs="David" w:hint="cs"/>
          <w:sz w:val="24"/>
          <w:szCs w:val="24"/>
          <w:rtl/>
        </w:rPr>
        <w:t>יתכן</w:t>
      </w:r>
      <w:r w:rsidR="00391861" w:rsidRPr="002A1A87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31E17" w:rsidRPr="002A1A87">
        <w:rPr>
          <w:rFonts w:ascii="Times New Roman" w:hAnsi="Times New Roman" w:cs="David" w:hint="cs"/>
          <w:sz w:val="24"/>
          <w:szCs w:val="24"/>
          <w:rtl/>
        </w:rPr>
        <w:t xml:space="preserve">כי </w:t>
      </w:r>
      <w:r w:rsidR="00931E17" w:rsidRPr="007D4FAC">
        <w:rPr>
          <w:rFonts w:ascii="Times New Roman" w:hAnsi="Times New Roman" w:cs="David" w:hint="cs"/>
          <w:sz w:val="24"/>
          <w:szCs w:val="24"/>
          <w:rtl/>
        </w:rPr>
        <w:t>הדבר</w:t>
      </w:r>
      <w:r w:rsidR="00931E17" w:rsidRPr="007D4FAC">
        <w:rPr>
          <w:rFonts w:ascii="Times New Roman" w:hAnsi="Times New Roman" w:cs="David"/>
          <w:sz w:val="24"/>
          <w:szCs w:val="24"/>
          <w:rtl/>
        </w:rPr>
        <w:t xml:space="preserve"> </w:t>
      </w:r>
      <w:r w:rsidR="00931E17" w:rsidRPr="004972EE">
        <w:rPr>
          <w:rFonts w:ascii="Times New Roman" w:hAnsi="Times New Roman" w:cs="David" w:hint="cs"/>
          <w:sz w:val="24"/>
          <w:szCs w:val="24"/>
          <w:rtl/>
        </w:rPr>
        <w:t>ש</w:t>
      </w:r>
      <w:r w:rsidR="007D4FAC" w:rsidRPr="004972EE">
        <w:rPr>
          <w:rFonts w:ascii="Times New Roman" w:hAnsi="Times New Roman" w:cs="David" w:hint="cs"/>
          <w:sz w:val="24"/>
          <w:szCs w:val="24"/>
          <w:rtl/>
        </w:rPr>
        <w:t>ו</w:t>
      </w:r>
      <w:r w:rsidR="00931E17" w:rsidRPr="004972EE">
        <w:rPr>
          <w:rFonts w:ascii="Times New Roman" w:hAnsi="Times New Roman" w:cs="David" w:hint="cs"/>
          <w:sz w:val="24"/>
          <w:szCs w:val="24"/>
          <w:rtl/>
        </w:rPr>
        <w:t xml:space="preserve">חק </w:t>
      </w:r>
      <w:r w:rsidRPr="004972EE">
        <w:rPr>
          <w:rFonts w:ascii="Times New Roman" w:hAnsi="Times New Roman" w:cs="David" w:hint="cs"/>
          <w:sz w:val="24"/>
          <w:szCs w:val="24"/>
          <w:rtl/>
        </w:rPr>
        <w:t>את</w:t>
      </w:r>
      <w:r w:rsidRPr="004972EE">
        <w:rPr>
          <w:rFonts w:ascii="Times New Roman" w:hAnsi="Times New Roman" w:cs="David"/>
          <w:sz w:val="24"/>
          <w:szCs w:val="24"/>
          <w:rtl/>
        </w:rPr>
        <w:t xml:space="preserve"> יכולתה של הפריפריה לשמר בתוכה אוכלוסיות חזקות ולמשוך </w:t>
      </w:r>
      <w:r w:rsidR="00621FE4" w:rsidRPr="004972EE">
        <w:rPr>
          <w:rFonts w:ascii="Times New Roman" w:hAnsi="Times New Roman" w:cs="David" w:hint="cs"/>
          <w:sz w:val="24"/>
          <w:szCs w:val="24"/>
          <w:rtl/>
        </w:rPr>
        <w:t>אותן</w:t>
      </w:r>
      <w:r w:rsidR="00621FE4" w:rsidRPr="004972E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972EE">
        <w:rPr>
          <w:rFonts w:ascii="Times New Roman" w:hAnsi="Times New Roman" w:cs="David" w:hint="cs"/>
          <w:sz w:val="24"/>
          <w:szCs w:val="24"/>
          <w:rtl/>
        </w:rPr>
        <w:t>אליה</w:t>
      </w:r>
      <w:r w:rsidRPr="004972E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972EE">
        <w:rPr>
          <w:rFonts w:ascii="Times New Roman" w:hAnsi="Times New Roman" w:cs="David" w:hint="cs"/>
          <w:sz w:val="24"/>
          <w:szCs w:val="24"/>
          <w:rtl/>
        </w:rPr>
        <w:t>ממרכז</w:t>
      </w:r>
      <w:r w:rsidRPr="004972E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972EE">
        <w:rPr>
          <w:rFonts w:ascii="Times New Roman" w:hAnsi="Times New Roman" w:cs="David" w:hint="cs"/>
          <w:sz w:val="24"/>
          <w:szCs w:val="24"/>
          <w:rtl/>
        </w:rPr>
        <w:t>הארץ</w:t>
      </w:r>
      <w:r w:rsidRPr="004972EE">
        <w:rPr>
          <w:rFonts w:ascii="Times New Roman" w:hAnsi="Times New Roman" w:cs="David"/>
          <w:sz w:val="24"/>
          <w:szCs w:val="24"/>
          <w:rtl/>
        </w:rPr>
        <w:t>.</w:t>
      </w:r>
      <w:r w:rsidRPr="004972EE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56D4A" w:rsidRPr="004972EE">
        <w:rPr>
          <w:rFonts w:ascii="Times New Roman" w:hAnsi="Times New Roman" w:cs="David" w:hint="cs"/>
          <w:sz w:val="24"/>
          <w:szCs w:val="24"/>
          <w:rtl/>
        </w:rPr>
        <w:t>ה</w:t>
      </w:r>
      <w:r w:rsidRPr="004972EE">
        <w:rPr>
          <w:rFonts w:ascii="Times New Roman" w:hAnsi="Times New Roman" w:cs="David" w:hint="cs"/>
          <w:sz w:val="24"/>
          <w:szCs w:val="24"/>
          <w:rtl/>
        </w:rPr>
        <w:t>אי</w:t>
      </w:r>
      <w:r w:rsidRPr="004972EE">
        <w:rPr>
          <w:rFonts w:ascii="Times New Roman" w:hAnsi="Times New Roman" w:cs="David"/>
          <w:sz w:val="24"/>
          <w:szCs w:val="24"/>
          <w:rtl/>
        </w:rPr>
        <w:t>-שוויון</w:t>
      </w:r>
      <w:r w:rsidR="00931E17" w:rsidRPr="004972EE">
        <w:rPr>
          <w:rFonts w:ascii="Times New Roman" w:hAnsi="Times New Roman" w:cs="David"/>
          <w:sz w:val="24"/>
          <w:szCs w:val="24"/>
          <w:rtl/>
        </w:rPr>
        <w:t xml:space="preserve"> בהכנסה הכלכלית</w:t>
      </w:r>
      <w:r w:rsidRPr="004972EE">
        <w:rPr>
          <w:rFonts w:ascii="Times New Roman" w:hAnsi="Times New Roman" w:cs="David"/>
          <w:sz w:val="24"/>
          <w:szCs w:val="24"/>
          <w:rtl/>
        </w:rPr>
        <w:t xml:space="preserve"> בין המחוזות</w:t>
      </w:r>
      <w:r w:rsidR="008E682F" w:rsidRPr="004972E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4972EE">
        <w:rPr>
          <w:rFonts w:ascii="Times New Roman" w:hAnsi="Times New Roman" w:cs="David" w:hint="cs"/>
          <w:sz w:val="24"/>
          <w:szCs w:val="24"/>
          <w:rtl/>
        </w:rPr>
        <w:t>עלה</w:t>
      </w:r>
      <w:r w:rsidRPr="004972E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445DB" w:rsidRPr="004972EE">
        <w:rPr>
          <w:rFonts w:ascii="Times New Roman" w:hAnsi="Times New Roman" w:cs="David" w:hint="cs"/>
          <w:sz w:val="24"/>
          <w:szCs w:val="24"/>
          <w:rtl/>
        </w:rPr>
        <w:t>עד</w:t>
      </w:r>
      <w:r w:rsidR="006445DB" w:rsidRPr="004972EE">
        <w:rPr>
          <w:rFonts w:ascii="Times New Roman" w:hAnsi="Times New Roman" w:cs="David"/>
          <w:sz w:val="24"/>
          <w:szCs w:val="24"/>
          <w:rtl/>
        </w:rPr>
        <w:t xml:space="preserve"> 2010</w:t>
      </w:r>
      <w:r w:rsidR="00A22223" w:rsidRPr="004972EE">
        <w:rPr>
          <w:rFonts w:ascii="Times New Roman" w:hAnsi="Times New Roman" w:cs="David" w:hint="cs"/>
          <w:sz w:val="24"/>
          <w:szCs w:val="24"/>
          <w:rtl/>
        </w:rPr>
        <w:t xml:space="preserve"> ולאחר תקופה ארוכה של עליה ירד ב-2011 ; עדיין מוקדם להעריך אם יש שינוי במגמה או </w:t>
      </w:r>
      <w:r w:rsidR="00A22223" w:rsidRPr="004972EE">
        <w:rPr>
          <w:rFonts w:ascii="Times New Roman" w:hAnsi="Times New Roman" w:cs="David" w:hint="cs"/>
          <w:sz w:val="24"/>
          <w:szCs w:val="24"/>
          <w:rtl/>
        </w:rPr>
        <w:lastRenderedPageBreak/>
        <w:t>שמדובר בסטיה זמנית.</w:t>
      </w:r>
      <w:r w:rsidR="00A22223" w:rsidRPr="004972EE">
        <w:rPr>
          <w:rStyle w:val="ad"/>
          <w:rFonts w:ascii="Times New Roman" w:hAnsi="Times New Roman" w:cs="David"/>
          <w:sz w:val="24"/>
          <w:szCs w:val="24"/>
          <w:rtl/>
        </w:rPr>
        <w:footnoteReference w:id="5"/>
      </w:r>
      <w:r w:rsidR="00A22223" w:rsidRPr="004972EE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56D4A" w:rsidRPr="004972EE">
        <w:rPr>
          <w:rFonts w:ascii="Times New Roman" w:hAnsi="Times New Roman" w:cs="David" w:hint="cs"/>
          <w:sz w:val="24"/>
          <w:szCs w:val="24"/>
          <w:rtl/>
        </w:rPr>
        <w:t>ה</w:t>
      </w:r>
      <w:r w:rsidRPr="004972EE">
        <w:rPr>
          <w:rFonts w:ascii="Times New Roman" w:hAnsi="Times New Roman" w:cs="David" w:hint="cs"/>
          <w:sz w:val="24"/>
          <w:szCs w:val="24"/>
          <w:rtl/>
        </w:rPr>
        <w:t xml:space="preserve">אי-שוויון בתוך המחוזות היה יציב בתחילה </w:t>
      </w:r>
      <w:r w:rsidR="00621FE4" w:rsidRPr="004972EE">
        <w:rPr>
          <w:rFonts w:ascii="Times New Roman" w:hAnsi="Times New Roman" w:cs="David" w:hint="cs"/>
          <w:sz w:val="24"/>
          <w:szCs w:val="24"/>
          <w:rtl/>
        </w:rPr>
        <w:t xml:space="preserve">ומ-2006 </w:t>
      </w:r>
      <w:r w:rsidRPr="004972EE">
        <w:rPr>
          <w:rFonts w:ascii="Times New Roman" w:hAnsi="Times New Roman" w:cs="David" w:hint="cs"/>
          <w:sz w:val="24"/>
          <w:szCs w:val="24"/>
          <w:rtl/>
        </w:rPr>
        <w:t>החל לרדת בהדרגה</w:t>
      </w:r>
      <w:r w:rsidR="00621FE4" w:rsidRPr="004972EE">
        <w:rPr>
          <w:rFonts w:ascii="Times New Roman" w:hAnsi="Times New Roman" w:cs="David" w:hint="cs"/>
          <w:sz w:val="24"/>
          <w:szCs w:val="24"/>
          <w:rtl/>
        </w:rPr>
        <w:t>.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9F6ECA" w:rsidRPr="00E70537" w:rsidRDefault="00887FA2" w:rsidP="00F30AC0">
      <w:pPr>
        <w:spacing w:line="360" w:lineRule="auto"/>
        <w:ind w:firstLine="84"/>
        <w:jc w:val="center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noProof/>
          <w:sz w:val="24"/>
          <w:szCs w:val="24"/>
        </w:rPr>
        <w:drawing>
          <wp:inline distT="0" distB="0" distL="0" distR="0" wp14:anchorId="6FE85166" wp14:editId="3E87A94B">
            <wp:extent cx="2621280" cy="4999355"/>
            <wp:effectExtent l="0" t="0" r="762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499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5E4" w:rsidRPr="00DB6B82" w:rsidRDefault="006B05E4" w:rsidP="00F30A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איור 2 מציג את </w:t>
      </w:r>
      <w:r w:rsidR="0077013A">
        <w:rPr>
          <w:rFonts w:ascii="Times New Roman" w:hAnsi="Times New Roman" w:cs="David" w:hint="cs"/>
          <w:sz w:val="24"/>
          <w:szCs w:val="24"/>
          <w:rtl/>
        </w:rPr>
        <w:t xml:space="preserve">ההגירה הפנימית בין המחוזות ואת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התרחבות הפערים </w:t>
      </w:r>
      <w:r w:rsidR="0077013A">
        <w:rPr>
          <w:rFonts w:ascii="Times New Roman" w:hAnsi="Times New Roman" w:cs="David" w:hint="cs"/>
          <w:sz w:val="24"/>
          <w:szCs w:val="24"/>
          <w:rtl/>
        </w:rPr>
        <w:t>ביניהם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בהכנסה הכלכלית הממוצעת לנפש תקנית (במחירים קבועים). </w:t>
      </w:r>
      <w:r w:rsidRPr="002A1A87">
        <w:rPr>
          <w:rFonts w:ascii="Times New Roman" w:hAnsi="Times New Roman" w:cs="David" w:hint="cs"/>
          <w:sz w:val="24"/>
          <w:szCs w:val="24"/>
          <w:rtl/>
        </w:rPr>
        <w:t>במחוזות המרכז ותל</w:t>
      </w:r>
      <w:r w:rsidR="008E682F" w:rsidRPr="007D4FAC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D4FAC">
        <w:rPr>
          <w:rFonts w:ascii="Times New Roman" w:hAnsi="Times New Roman" w:cs="David" w:hint="cs"/>
          <w:sz w:val="24"/>
          <w:szCs w:val="24"/>
          <w:rtl/>
        </w:rPr>
        <w:t>אביב</w:t>
      </w:r>
      <w:r w:rsidRPr="007D4FAC">
        <w:rPr>
          <w:rFonts w:ascii="Times New Roman" w:hAnsi="Times New Roman" w:cs="David"/>
          <w:sz w:val="24"/>
          <w:szCs w:val="24"/>
          <w:rtl/>
        </w:rPr>
        <w:t xml:space="preserve"> </w:t>
      </w:r>
      <w:r w:rsidR="007D4FAC" w:rsidRPr="00D126AE">
        <w:rPr>
          <w:rFonts w:ascii="Times New Roman" w:hAnsi="Times New Roman" w:cs="David" w:hint="cs"/>
          <w:sz w:val="24"/>
          <w:szCs w:val="24"/>
          <w:rtl/>
        </w:rPr>
        <w:t>ההכנסה</w:t>
      </w:r>
      <w:r w:rsidR="007D4FAC" w:rsidRPr="00D126A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A1A87">
        <w:rPr>
          <w:rFonts w:ascii="Times New Roman" w:hAnsi="Times New Roman" w:cs="David" w:hint="cs"/>
          <w:sz w:val="24"/>
          <w:szCs w:val="24"/>
          <w:rtl/>
        </w:rPr>
        <w:t xml:space="preserve">עלתה </w:t>
      </w:r>
      <w:r w:rsidR="007D4FAC" w:rsidRPr="00D126AE">
        <w:rPr>
          <w:rFonts w:ascii="Times New Roman" w:hAnsi="Times New Roman" w:cs="David" w:hint="cs"/>
          <w:sz w:val="24"/>
          <w:szCs w:val="24"/>
          <w:rtl/>
        </w:rPr>
        <w:t>על</w:t>
      </w:r>
      <w:r w:rsidR="007D4FAC" w:rsidRPr="00D126A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7D4FAC" w:rsidRPr="00D126AE">
        <w:rPr>
          <w:rFonts w:ascii="Times New Roman" w:hAnsi="Times New Roman" w:cs="David" w:hint="cs"/>
          <w:sz w:val="24"/>
          <w:szCs w:val="24"/>
          <w:rtl/>
        </w:rPr>
        <w:t>הממוצע</w:t>
      </w:r>
      <w:r w:rsidR="007D4FAC" w:rsidRPr="00D126AE" w:rsidDel="007D4FAC">
        <w:rPr>
          <w:rFonts w:ascii="Times New Roman" w:hAnsi="Times New Roman" w:cs="David"/>
          <w:sz w:val="24"/>
          <w:szCs w:val="24"/>
          <w:rtl/>
        </w:rPr>
        <w:t xml:space="preserve"> </w:t>
      </w:r>
      <w:r w:rsidR="008E682F" w:rsidRPr="007D4FAC">
        <w:rPr>
          <w:rFonts w:ascii="Times New Roman" w:hAnsi="Times New Roman" w:cs="David" w:hint="cs"/>
          <w:sz w:val="24"/>
          <w:szCs w:val="24"/>
          <w:rtl/>
        </w:rPr>
        <w:t>בכ</w:t>
      </w:r>
      <w:r w:rsidR="008E682F" w:rsidRPr="007D4FAC">
        <w:rPr>
          <w:rFonts w:ascii="Times New Roman" w:hAnsi="Times New Roman" w:cs="David"/>
          <w:sz w:val="24"/>
          <w:szCs w:val="24"/>
          <w:rtl/>
        </w:rPr>
        <w:t xml:space="preserve">-5%—6% </w:t>
      </w:r>
      <w:r w:rsidRPr="007D4FAC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7D4FAC">
        <w:rPr>
          <w:rFonts w:ascii="Times New Roman" w:hAnsi="Times New Roman" w:cs="David" w:hint="cs"/>
          <w:sz w:val="24"/>
          <w:szCs w:val="24"/>
          <w:rtl/>
        </w:rPr>
        <w:t>במחוז</w:t>
      </w:r>
      <w:r w:rsidRPr="007D4FAC">
        <w:rPr>
          <w:rFonts w:ascii="Times New Roman" w:hAnsi="Times New Roman" w:cs="David"/>
          <w:sz w:val="24"/>
          <w:szCs w:val="24"/>
          <w:rtl/>
        </w:rPr>
        <w:t xml:space="preserve"> חיפה </w:t>
      </w:r>
      <w:r w:rsidR="008E682F" w:rsidRPr="007D4FAC">
        <w:rPr>
          <w:rFonts w:ascii="Times New Roman" w:hAnsi="Times New Roman" w:cs="David"/>
          <w:sz w:val="24"/>
          <w:szCs w:val="24"/>
          <w:rtl/>
        </w:rPr>
        <w:t xml:space="preserve">– </w:t>
      </w:r>
      <w:r w:rsidRPr="007D4FAC">
        <w:rPr>
          <w:rFonts w:ascii="Times New Roman" w:hAnsi="Times New Roman" w:cs="David" w:hint="cs"/>
          <w:sz w:val="24"/>
          <w:szCs w:val="24"/>
          <w:rtl/>
        </w:rPr>
        <w:t>ב</w:t>
      </w:r>
      <w:r w:rsidRPr="007D4FAC">
        <w:rPr>
          <w:rFonts w:ascii="Times New Roman" w:hAnsi="Times New Roman" w:cs="David"/>
          <w:sz w:val="24"/>
          <w:szCs w:val="24"/>
          <w:rtl/>
        </w:rPr>
        <w:t>-2</w:t>
      </w:r>
      <w:r w:rsidR="008E682F" w:rsidRPr="007D4FAC">
        <w:rPr>
          <w:rFonts w:ascii="Times New Roman" w:hAnsi="Times New Roman" w:cs="David"/>
          <w:sz w:val="24"/>
          <w:szCs w:val="24"/>
          <w:rtl/>
        </w:rPr>
        <w:t>%,</w:t>
      </w:r>
      <w:r w:rsidRPr="007D4FAC">
        <w:rPr>
          <w:rFonts w:ascii="Times New Roman" w:hAnsi="Times New Roman" w:cs="David"/>
          <w:sz w:val="24"/>
          <w:szCs w:val="24"/>
          <w:rtl/>
        </w:rPr>
        <w:t xml:space="preserve"> ובמחוז הצפון </w:t>
      </w:r>
      <w:r w:rsidR="008E682F" w:rsidRPr="007D4FAC">
        <w:rPr>
          <w:rFonts w:ascii="Times New Roman" w:hAnsi="Times New Roman" w:cs="David"/>
          <w:sz w:val="24"/>
          <w:szCs w:val="24"/>
          <w:rtl/>
        </w:rPr>
        <w:t xml:space="preserve">– </w:t>
      </w:r>
      <w:r w:rsidRPr="007D4FAC">
        <w:rPr>
          <w:rFonts w:ascii="Times New Roman" w:hAnsi="Times New Roman" w:cs="David" w:hint="cs"/>
          <w:sz w:val="24"/>
          <w:szCs w:val="24"/>
          <w:rtl/>
        </w:rPr>
        <w:t>ב</w:t>
      </w:r>
      <w:r w:rsidR="008E682F" w:rsidRPr="007D4FAC">
        <w:rPr>
          <w:rFonts w:ascii="Times New Roman" w:hAnsi="Times New Roman" w:cs="David"/>
          <w:sz w:val="24"/>
          <w:szCs w:val="24"/>
          <w:rtl/>
        </w:rPr>
        <w:t>-0.</w:t>
      </w:r>
      <w:r w:rsidR="009D0B8C" w:rsidRPr="007D4FAC">
        <w:rPr>
          <w:rFonts w:ascii="Times New Roman" w:hAnsi="Times New Roman" w:cs="David"/>
          <w:sz w:val="24"/>
          <w:szCs w:val="24"/>
          <w:rtl/>
        </w:rPr>
        <w:t>6</w:t>
      </w:r>
      <w:r w:rsidR="008E682F" w:rsidRPr="007D4FAC">
        <w:rPr>
          <w:rFonts w:ascii="Times New Roman" w:hAnsi="Times New Roman" w:cs="David"/>
          <w:sz w:val="24"/>
          <w:szCs w:val="24"/>
          <w:rtl/>
        </w:rPr>
        <w:t>%</w:t>
      </w:r>
      <w:r w:rsidRPr="007D4FAC">
        <w:rPr>
          <w:rFonts w:ascii="Times New Roman" w:hAnsi="Times New Roman" w:cs="David"/>
          <w:sz w:val="24"/>
          <w:szCs w:val="24"/>
          <w:rtl/>
        </w:rPr>
        <w:t xml:space="preserve"> בלבד.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במחוז הדרום </w:t>
      </w:r>
      <w:r w:rsidR="008E682F">
        <w:rPr>
          <w:rFonts w:ascii="Times New Roman" w:hAnsi="Times New Roman" w:cs="David" w:hint="cs"/>
          <w:sz w:val="24"/>
          <w:szCs w:val="24"/>
          <w:rtl/>
        </w:rPr>
        <w:t xml:space="preserve">גדלה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ההכנסה בשיעור דומה לממוצע, ובמחוז ירושלים </w:t>
      </w:r>
      <w:r w:rsidR="00A110BC">
        <w:rPr>
          <w:rFonts w:ascii="Times New Roman" w:hAnsi="Times New Roman" w:cs="David"/>
          <w:sz w:val="24"/>
          <w:szCs w:val="24"/>
          <w:rtl/>
        </w:rPr>
        <w:t>–</w:t>
      </w:r>
      <w:r w:rsidR="00A110BC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DB6B82">
        <w:rPr>
          <w:rFonts w:ascii="Times New Roman" w:hAnsi="Times New Roman" w:cs="David" w:hint="cs"/>
          <w:sz w:val="24"/>
          <w:szCs w:val="24"/>
          <w:rtl/>
        </w:rPr>
        <w:t>ב-8</w:t>
      </w:r>
      <w:r w:rsidR="008E682F">
        <w:rPr>
          <w:rFonts w:ascii="Times New Roman" w:hAnsi="Times New Roman" w:cs="David" w:hint="cs"/>
          <w:sz w:val="24"/>
          <w:szCs w:val="24"/>
          <w:rtl/>
        </w:rPr>
        <w:t>%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פחות מהממוצע. מחוזות תל</w:t>
      </w:r>
      <w:r w:rsidR="00F22C8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אביב והמרכז המשיכו להוביל </w:t>
      </w:r>
      <w:r w:rsidR="00F22C81">
        <w:rPr>
          <w:rFonts w:ascii="Times New Roman" w:hAnsi="Times New Roman" w:cs="David"/>
          <w:sz w:val="24"/>
          <w:szCs w:val="24"/>
          <w:rtl/>
        </w:rPr>
        <w:t>–</w:t>
      </w:r>
      <w:r w:rsidR="00F22C81">
        <w:rPr>
          <w:rFonts w:ascii="Times New Roman" w:hAnsi="Times New Roman" w:cs="David" w:hint="cs"/>
          <w:sz w:val="24"/>
          <w:szCs w:val="24"/>
          <w:rtl/>
        </w:rPr>
        <w:t xml:space="preserve"> ה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הכנסה </w:t>
      </w:r>
      <w:r w:rsidR="00F22C81">
        <w:rPr>
          <w:rFonts w:ascii="Times New Roman" w:hAnsi="Times New Roman" w:cs="David" w:hint="cs"/>
          <w:sz w:val="24"/>
          <w:szCs w:val="24"/>
          <w:rtl/>
        </w:rPr>
        <w:t>ה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ממוצעת </w:t>
      </w:r>
      <w:r w:rsidR="00F22C81">
        <w:rPr>
          <w:rFonts w:ascii="Times New Roman" w:hAnsi="Times New Roman" w:cs="David" w:hint="cs"/>
          <w:sz w:val="24"/>
          <w:szCs w:val="24"/>
          <w:rtl/>
        </w:rPr>
        <w:t xml:space="preserve">בהם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גבוהה משמעותית </w:t>
      </w:r>
      <w:r w:rsidR="00F22C81">
        <w:rPr>
          <w:rFonts w:ascii="Times New Roman" w:hAnsi="Times New Roman" w:cs="David" w:hint="cs"/>
          <w:sz w:val="24"/>
          <w:szCs w:val="24"/>
          <w:rtl/>
        </w:rPr>
        <w:t>מההכנסה ב</w:t>
      </w:r>
      <w:r w:rsidRPr="00DB6B82">
        <w:rPr>
          <w:rFonts w:ascii="Times New Roman" w:hAnsi="Times New Roman" w:cs="David" w:hint="cs"/>
          <w:sz w:val="24"/>
          <w:szCs w:val="24"/>
          <w:rtl/>
        </w:rPr>
        <w:t>כל יתר המחוזות</w:t>
      </w:r>
      <w:r w:rsidR="00F22C8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F22C81">
        <w:rPr>
          <w:rFonts w:ascii="Times New Roman" w:hAnsi="Times New Roman" w:cs="David"/>
          <w:sz w:val="24"/>
          <w:szCs w:val="24"/>
          <w:rtl/>
        </w:rPr>
        <w:t>–</w:t>
      </w:r>
      <w:r w:rsidR="00F22C81">
        <w:rPr>
          <w:rFonts w:ascii="Times New Roman" w:hAnsi="Times New Roman" w:cs="David" w:hint="cs"/>
          <w:sz w:val="24"/>
          <w:szCs w:val="24"/>
          <w:rtl/>
        </w:rPr>
        <w:t xml:space="preserve"> ו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מחוז הצפון </w:t>
      </w:r>
      <w:r w:rsidR="00F22C81">
        <w:rPr>
          <w:rFonts w:ascii="Times New Roman" w:hAnsi="Times New Roman" w:cs="David" w:hint="cs"/>
          <w:sz w:val="24"/>
          <w:szCs w:val="24"/>
          <w:rtl/>
        </w:rPr>
        <w:t>נותר בתחתית הסולם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. </w:t>
      </w:r>
    </w:p>
    <w:p w:rsidR="006B05E4" w:rsidRPr="00DB6B82" w:rsidRDefault="006B05E4" w:rsidP="00F30AC0">
      <w:pPr>
        <w:spacing w:after="120" w:line="360" w:lineRule="auto"/>
        <w:ind w:hanging="58"/>
        <w:jc w:val="center"/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6B05E4" w:rsidRDefault="009F3424" w:rsidP="009F3424">
      <w:pPr>
        <w:spacing w:after="120" w:line="360" w:lineRule="auto"/>
        <w:ind w:firstLine="720"/>
        <w:rPr>
          <w:rFonts w:ascii="Times New Roman" w:hAnsi="Times New Roman" w:cs="David"/>
          <w:b/>
          <w:bCs/>
          <w:sz w:val="24"/>
          <w:szCs w:val="24"/>
          <w:rtl/>
        </w:rPr>
      </w:pPr>
      <w:r w:rsidRPr="009F3424">
        <w:rPr>
          <w:noProof/>
          <w:rtl/>
        </w:rPr>
        <w:lastRenderedPageBreak/>
        <w:drawing>
          <wp:inline distT="0" distB="0" distL="0" distR="0" wp14:anchorId="55496591" wp14:editId="7BCA4104">
            <wp:extent cx="5274310" cy="4761809"/>
            <wp:effectExtent l="19050" t="19050" r="21590" b="2032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618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B05E4" w:rsidRPr="00DB6B82" w:rsidRDefault="006B05E4" w:rsidP="006B05E4">
      <w:pPr>
        <w:spacing w:after="120" w:line="240" w:lineRule="auto"/>
        <w:rPr>
          <w:rFonts w:ascii="Times New Roman" w:hAnsi="Times New Roman" w:cs="David"/>
          <w:sz w:val="20"/>
          <w:szCs w:val="20"/>
          <w:rtl/>
        </w:rPr>
      </w:pPr>
    </w:p>
    <w:p w:rsidR="006B05E4" w:rsidRPr="00DB6B82" w:rsidRDefault="006B05E4" w:rsidP="003D1F2A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איור 3 מתאר את היחס </w:t>
      </w:r>
      <w:r w:rsidR="00B66217">
        <w:rPr>
          <w:rFonts w:ascii="Times New Roman" w:hAnsi="Times New Roman" w:cs="David" w:hint="cs"/>
          <w:sz w:val="24"/>
          <w:szCs w:val="24"/>
          <w:rtl/>
        </w:rPr>
        <w:t>שהתקיים ב-20</w:t>
      </w:r>
      <w:r w:rsidR="00991AB6">
        <w:rPr>
          <w:rFonts w:ascii="Times New Roman" w:hAnsi="Times New Roman" w:cs="David" w:hint="cs"/>
          <w:sz w:val="24"/>
          <w:szCs w:val="24"/>
          <w:rtl/>
        </w:rPr>
        <w:t>11</w:t>
      </w:r>
      <w:r w:rsidR="00B66217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בין חלקם של המחוזות </w:t>
      </w:r>
      <w:proofErr w:type="spellStart"/>
      <w:r w:rsidRPr="00DB6B82">
        <w:rPr>
          <w:rFonts w:ascii="Times New Roman" w:hAnsi="Times New Roman" w:cs="David" w:hint="cs"/>
          <w:sz w:val="24"/>
          <w:szCs w:val="24"/>
          <w:rtl/>
        </w:rPr>
        <w:t>בחמ</w:t>
      </w:r>
      <w:bookmarkStart w:id="0" w:name="_GoBack"/>
      <w:bookmarkEnd w:id="0"/>
      <w:r w:rsidRPr="00DB6B82">
        <w:rPr>
          <w:rFonts w:ascii="Times New Roman" w:hAnsi="Times New Roman" w:cs="David" w:hint="cs"/>
          <w:sz w:val="24"/>
          <w:szCs w:val="24"/>
          <w:rtl/>
        </w:rPr>
        <w:t>ישוני</w:t>
      </w:r>
      <w:proofErr w:type="spellEnd"/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ההכנסה לבין חלקם </w:t>
      </w:r>
      <w:r w:rsidR="0048757D">
        <w:rPr>
          <w:rFonts w:ascii="Times New Roman" w:hAnsi="Times New Roman" w:cs="David" w:hint="cs"/>
          <w:sz w:val="24"/>
          <w:szCs w:val="24"/>
          <w:rtl/>
        </w:rPr>
        <w:t>ב</w:t>
      </w:r>
      <w:r w:rsidRPr="00DB6B82">
        <w:rPr>
          <w:rFonts w:ascii="Times New Roman" w:hAnsi="Times New Roman" w:cs="David" w:hint="cs"/>
          <w:sz w:val="24"/>
          <w:szCs w:val="24"/>
          <w:rtl/>
        </w:rPr>
        <w:t>אוכלוסי</w:t>
      </w:r>
      <w:r w:rsidR="00B66217">
        <w:rPr>
          <w:rFonts w:ascii="Times New Roman" w:hAnsi="Times New Roman" w:cs="David" w:hint="cs"/>
          <w:sz w:val="24"/>
          <w:szCs w:val="24"/>
          <w:rtl/>
        </w:rPr>
        <w:t>י</w:t>
      </w:r>
      <w:r w:rsidRPr="00DB6B82">
        <w:rPr>
          <w:rFonts w:ascii="Times New Roman" w:hAnsi="Times New Roman" w:cs="David" w:hint="cs"/>
          <w:sz w:val="24"/>
          <w:szCs w:val="24"/>
          <w:rtl/>
        </w:rPr>
        <w:t>ה</w:t>
      </w:r>
      <w:r w:rsidR="00B66217">
        <w:rPr>
          <w:rFonts w:ascii="Times New Roman" w:hAnsi="Times New Roman" w:cs="David" w:hint="cs"/>
          <w:sz w:val="24"/>
          <w:szCs w:val="24"/>
          <w:rtl/>
        </w:rPr>
        <w:t>, והוא משווה זאת לנתון המקביל</w:t>
      </w:r>
      <w:r w:rsidR="0048757D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B66217">
        <w:rPr>
          <w:rFonts w:ascii="Times New Roman" w:hAnsi="Times New Roman" w:cs="David" w:hint="cs"/>
          <w:sz w:val="24"/>
          <w:szCs w:val="24"/>
          <w:rtl/>
        </w:rPr>
        <w:t>ב-</w:t>
      </w:r>
      <w:r w:rsidRPr="00DB6B82">
        <w:rPr>
          <w:rFonts w:ascii="Times New Roman" w:hAnsi="Times New Roman" w:cs="David" w:hint="cs"/>
          <w:sz w:val="24"/>
          <w:szCs w:val="24"/>
          <w:rtl/>
        </w:rPr>
        <w:t>1998. לצורך ההשוואה חולקו המחוזות לזוגות לפי מידת הפריפריאליות</w:t>
      </w:r>
      <w:r w:rsidR="00B04EC5">
        <w:rPr>
          <w:rFonts w:ascii="Times New Roman" w:hAnsi="Times New Roman" w:cs="David" w:hint="cs"/>
          <w:sz w:val="24"/>
          <w:szCs w:val="24"/>
          <w:rtl/>
        </w:rPr>
        <w:t>: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מחוזות תל אביב והמרכז</w:t>
      </w:r>
      <w:r w:rsidR="0048757D">
        <w:rPr>
          <w:rFonts w:ascii="Times New Roman" w:hAnsi="Times New Roman" w:cs="David" w:hint="cs"/>
          <w:sz w:val="24"/>
          <w:szCs w:val="24"/>
          <w:rtl/>
        </w:rPr>
        <w:t xml:space="preserve"> אוחדו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="0048757D">
        <w:rPr>
          <w:rFonts w:ascii="Times New Roman" w:hAnsi="Times New Roman" w:cs="David" w:hint="cs"/>
          <w:sz w:val="24"/>
          <w:szCs w:val="24"/>
          <w:rtl/>
        </w:rPr>
        <w:t>וכ</w:t>
      </w:r>
      <w:r w:rsidR="0058579E">
        <w:rPr>
          <w:rFonts w:ascii="Times New Roman" w:hAnsi="Times New Roman" w:cs="David" w:hint="cs"/>
          <w:sz w:val="24"/>
          <w:szCs w:val="24"/>
          <w:rtl/>
        </w:rPr>
        <w:t>ך</w:t>
      </w:r>
      <w:r w:rsidR="0048757D">
        <w:rPr>
          <w:rFonts w:ascii="Times New Roman" w:hAnsi="Times New Roman" w:cs="David" w:hint="cs"/>
          <w:sz w:val="24"/>
          <w:szCs w:val="24"/>
          <w:rtl/>
        </w:rPr>
        <w:t xml:space="preserve"> גם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מחוזות חיפה וירושלים ומחוזות הצפון והדרום. מן האיור עולה כי הפערים בין </w:t>
      </w:r>
      <w:r w:rsidR="00B04EC5">
        <w:rPr>
          <w:rFonts w:ascii="Times New Roman" w:hAnsi="Times New Roman" w:cs="David" w:hint="cs"/>
          <w:sz w:val="24"/>
          <w:szCs w:val="24"/>
          <w:rtl/>
        </w:rPr>
        <w:t>ה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מרכז לפריפריה התרחבו במהלך התקופה: במחוזות תל אביב והמרכז ירד </w:t>
      </w:r>
      <w:r w:rsidR="00B04EC5">
        <w:rPr>
          <w:rFonts w:ascii="Times New Roman" w:hAnsi="Times New Roman" w:cs="David" w:hint="cs"/>
          <w:sz w:val="24"/>
          <w:szCs w:val="24"/>
          <w:rtl/>
        </w:rPr>
        <w:t xml:space="preserve">היחס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בשלושת </w:t>
      </w:r>
      <w:proofErr w:type="spellStart"/>
      <w:r w:rsidRPr="00DB6B82">
        <w:rPr>
          <w:rFonts w:ascii="Times New Roman" w:hAnsi="Times New Roman" w:cs="David" w:hint="cs"/>
          <w:sz w:val="24"/>
          <w:szCs w:val="24"/>
          <w:rtl/>
        </w:rPr>
        <w:t>החמישונים</w:t>
      </w:r>
      <w:proofErr w:type="spellEnd"/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התחתונים ועלה בשני </w:t>
      </w:r>
      <w:proofErr w:type="spellStart"/>
      <w:r w:rsidRPr="00DB6B82">
        <w:rPr>
          <w:rFonts w:ascii="Times New Roman" w:hAnsi="Times New Roman" w:cs="David" w:hint="cs"/>
          <w:sz w:val="24"/>
          <w:szCs w:val="24"/>
          <w:rtl/>
        </w:rPr>
        <w:t>החמישונים</w:t>
      </w:r>
      <w:proofErr w:type="spellEnd"/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העליונים</w:t>
      </w:r>
      <w:r w:rsidR="00B04EC5">
        <w:rPr>
          <w:rFonts w:ascii="Times New Roman" w:hAnsi="Times New Roman" w:cs="David" w:hint="cs"/>
          <w:sz w:val="24"/>
          <w:szCs w:val="24"/>
          <w:rtl/>
        </w:rPr>
        <w:t>,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במחוזות ירושלים וחיפה </w:t>
      </w:r>
      <w:r w:rsidR="00B04EC5">
        <w:rPr>
          <w:rFonts w:ascii="Times New Roman" w:hAnsi="Times New Roman" w:cs="David" w:hint="cs"/>
          <w:sz w:val="24"/>
          <w:szCs w:val="24"/>
          <w:rtl/>
        </w:rPr>
        <w:t xml:space="preserve">הוא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עלה </w:t>
      </w:r>
      <w:proofErr w:type="spellStart"/>
      <w:r w:rsidRPr="00DB6B82">
        <w:rPr>
          <w:rFonts w:ascii="Times New Roman" w:hAnsi="Times New Roman" w:cs="David" w:hint="cs"/>
          <w:sz w:val="24"/>
          <w:szCs w:val="24"/>
          <w:rtl/>
        </w:rPr>
        <w:t>בחמישון</w:t>
      </w:r>
      <w:proofErr w:type="spellEnd"/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הראשון וירד </w:t>
      </w:r>
      <w:proofErr w:type="spellStart"/>
      <w:r w:rsidRPr="00DB6B82">
        <w:rPr>
          <w:rFonts w:ascii="Times New Roman" w:hAnsi="Times New Roman" w:cs="David" w:hint="cs"/>
          <w:sz w:val="24"/>
          <w:szCs w:val="24"/>
          <w:rtl/>
        </w:rPr>
        <w:t>בחמישונים</w:t>
      </w:r>
      <w:proofErr w:type="spellEnd"/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הרביעי והחמישי, </w:t>
      </w:r>
      <w:r w:rsidR="00B04EC5">
        <w:rPr>
          <w:rFonts w:ascii="Times New Roman" w:hAnsi="Times New Roman" w:cs="David" w:hint="cs"/>
          <w:sz w:val="24"/>
          <w:szCs w:val="24"/>
          <w:rtl/>
        </w:rPr>
        <w:t>ו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במחוזות הצפון והדרום </w:t>
      </w:r>
      <w:r w:rsidR="00B04EC5">
        <w:rPr>
          <w:rFonts w:ascii="Times New Roman" w:hAnsi="Times New Roman" w:cs="David" w:hint="cs"/>
          <w:sz w:val="24"/>
          <w:szCs w:val="24"/>
          <w:rtl/>
        </w:rPr>
        <w:t xml:space="preserve">הוא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ירד </w:t>
      </w:r>
      <w:proofErr w:type="spellStart"/>
      <w:r w:rsidRPr="00DB6B82">
        <w:rPr>
          <w:rFonts w:ascii="Times New Roman" w:hAnsi="Times New Roman" w:cs="David" w:hint="cs"/>
          <w:sz w:val="24"/>
          <w:szCs w:val="24"/>
          <w:rtl/>
        </w:rPr>
        <w:t>בחמישון</w:t>
      </w:r>
      <w:proofErr w:type="spellEnd"/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הראשון ועלה </w:t>
      </w:r>
      <w:r w:rsidR="00B04EC5">
        <w:rPr>
          <w:rFonts w:ascii="Times New Roman" w:hAnsi="Times New Roman" w:cs="David" w:hint="cs"/>
          <w:sz w:val="24"/>
          <w:szCs w:val="24"/>
          <w:rtl/>
        </w:rPr>
        <w:t>ב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שני. ברקע השינויים הללו עומדים </w:t>
      </w:r>
      <w:r w:rsidR="00B04EC5">
        <w:rPr>
          <w:rFonts w:ascii="Times New Roman" w:hAnsi="Times New Roman" w:cs="David" w:hint="cs"/>
          <w:sz w:val="24"/>
          <w:szCs w:val="24"/>
          <w:rtl/>
        </w:rPr>
        <w:t xml:space="preserve">הן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ההגירה השלילית שאפיינה </w:t>
      </w:r>
      <w:r w:rsidR="00B04EC5">
        <w:rPr>
          <w:rFonts w:ascii="Times New Roman" w:hAnsi="Times New Roman" w:cs="David" w:hint="cs"/>
          <w:sz w:val="24"/>
          <w:szCs w:val="24"/>
          <w:rtl/>
        </w:rPr>
        <w:t xml:space="preserve">במהלך התקופה </w:t>
      </w:r>
      <w:r w:rsidRPr="00DB6B82">
        <w:rPr>
          <w:rFonts w:ascii="Times New Roman" w:hAnsi="Times New Roman" w:cs="David" w:hint="cs"/>
          <w:sz w:val="24"/>
          <w:szCs w:val="24"/>
          <w:rtl/>
        </w:rPr>
        <w:t>את כל המחוזות פרט למחוז המרכז</w:t>
      </w:r>
      <w:r w:rsidR="00B04EC5">
        <w:rPr>
          <w:rFonts w:ascii="Times New Roman" w:hAnsi="Times New Roman" w:cs="David" w:hint="cs"/>
          <w:sz w:val="24"/>
          <w:szCs w:val="24"/>
          <w:rtl/>
        </w:rPr>
        <w:t>, והן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הגידול בהכנסות, </w:t>
      </w:r>
      <w:r w:rsidR="00B04EC5">
        <w:rPr>
          <w:rFonts w:ascii="Times New Roman" w:hAnsi="Times New Roman" w:cs="David" w:hint="cs"/>
          <w:sz w:val="24"/>
          <w:szCs w:val="24"/>
          <w:rtl/>
        </w:rPr>
        <w:t>ש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היה </w:t>
      </w:r>
      <w:r w:rsidR="00B04EC5">
        <w:rPr>
          <w:rFonts w:ascii="Times New Roman" w:hAnsi="Times New Roman" w:cs="David" w:hint="cs"/>
          <w:sz w:val="24"/>
          <w:szCs w:val="24"/>
          <w:rtl/>
        </w:rPr>
        <w:t xml:space="preserve">כאמור </w:t>
      </w:r>
      <w:r w:rsidRPr="00DB6B82">
        <w:rPr>
          <w:rFonts w:ascii="Times New Roman" w:hAnsi="Times New Roman" w:cs="David" w:hint="cs"/>
          <w:sz w:val="24"/>
          <w:szCs w:val="24"/>
          <w:rtl/>
        </w:rPr>
        <w:t>גבוה יותר במחוזות תל אביב והמרכז (איור 2).</w:t>
      </w:r>
    </w:p>
    <w:p w:rsidR="006B05E4" w:rsidRPr="00DB6B82" w:rsidRDefault="006B05E4" w:rsidP="006B05E4">
      <w:pPr>
        <w:spacing w:line="240" w:lineRule="auto"/>
        <w:jc w:val="center"/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6B05E4" w:rsidRPr="00DB6B82" w:rsidRDefault="006B05E4" w:rsidP="006B05E4">
      <w:pPr>
        <w:spacing w:line="240" w:lineRule="auto"/>
        <w:jc w:val="center"/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6B05E4" w:rsidRPr="00DB6B82" w:rsidRDefault="006B05E4" w:rsidP="006B05E4">
      <w:pPr>
        <w:spacing w:line="240" w:lineRule="auto"/>
        <w:jc w:val="center"/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6B05E4" w:rsidRPr="00DB6B82" w:rsidRDefault="006B05E4" w:rsidP="006B05E4">
      <w:pPr>
        <w:spacing w:after="120" w:line="240" w:lineRule="auto"/>
        <w:jc w:val="center"/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6B05E4" w:rsidRPr="00DB6B82" w:rsidRDefault="006B05E4" w:rsidP="006B05E4">
      <w:pPr>
        <w:spacing w:after="120" w:line="240" w:lineRule="auto"/>
        <w:jc w:val="center"/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6B05E4" w:rsidRPr="00DB6B82" w:rsidRDefault="006B05E4" w:rsidP="006B05E4">
      <w:pPr>
        <w:spacing w:after="120" w:line="240" w:lineRule="auto"/>
        <w:jc w:val="center"/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6B05E4" w:rsidRPr="00DB6B82" w:rsidRDefault="006B05E4" w:rsidP="006B05E4">
      <w:pPr>
        <w:spacing w:after="120" w:line="240" w:lineRule="auto"/>
        <w:jc w:val="center"/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991AB6" w:rsidRDefault="00E70537" w:rsidP="00957C36">
      <w:pPr>
        <w:spacing w:line="360" w:lineRule="auto"/>
        <w:ind w:firstLine="720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noProof/>
          <w:sz w:val="24"/>
          <w:szCs w:val="24"/>
        </w:rPr>
        <w:drawing>
          <wp:inline distT="0" distB="0" distL="0" distR="0" wp14:anchorId="0797FBBF" wp14:editId="6CA17DE4">
            <wp:extent cx="4690973" cy="2999509"/>
            <wp:effectExtent l="0" t="0" r="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785" cy="3000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5E4" w:rsidRDefault="006B05E4" w:rsidP="003D1F2A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איור 4 </w:t>
      </w:r>
      <w:r w:rsidR="00957C36">
        <w:rPr>
          <w:rFonts w:ascii="Times New Roman" w:hAnsi="Times New Roman" w:cs="David" w:hint="cs"/>
          <w:sz w:val="24"/>
          <w:szCs w:val="24"/>
          <w:rtl/>
        </w:rPr>
        <w:t xml:space="preserve">מראה כי בין 1998 ל-2011 ירד </w:t>
      </w:r>
      <w:r w:rsidR="006445DB">
        <w:rPr>
          <w:rFonts w:ascii="Times New Roman" w:hAnsi="Times New Roman" w:cs="David" w:hint="cs"/>
          <w:sz w:val="24"/>
          <w:szCs w:val="24"/>
          <w:rtl/>
        </w:rPr>
        <w:t>ה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אי-שוויון </w:t>
      </w:r>
      <w:r w:rsidR="00957C36">
        <w:rPr>
          <w:rFonts w:ascii="Times New Roman" w:hAnsi="Times New Roman" w:cs="David" w:hint="cs"/>
          <w:sz w:val="24"/>
          <w:szCs w:val="24"/>
          <w:rtl/>
        </w:rPr>
        <w:t xml:space="preserve">בהכנסה הכלכלית </w:t>
      </w:r>
      <w:r w:rsidRPr="00DB6B82">
        <w:rPr>
          <w:rFonts w:ascii="Times New Roman" w:hAnsi="Times New Roman" w:cs="David" w:hint="cs"/>
          <w:sz w:val="24"/>
          <w:szCs w:val="24"/>
          <w:rtl/>
        </w:rPr>
        <w:t>ב</w:t>
      </w:r>
      <w:r w:rsidR="006445DB">
        <w:rPr>
          <w:rFonts w:ascii="Times New Roman" w:hAnsi="Times New Roman" w:cs="David" w:hint="cs"/>
          <w:sz w:val="24"/>
          <w:szCs w:val="24"/>
          <w:rtl/>
        </w:rPr>
        <w:t>רוב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המחוזות</w:t>
      </w:r>
      <w:r w:rsidR="006445DB">
        <w:rPr>
          <w:rFonts w:ascii="Times New Roman" w:hAnsi="Times New Roman" w:cs="David" w:hint="cs"/>
          <w:sz w:val="24"/>
          <w:szCs w:val="24"/>
          <w:rtl/>
        </w:rPr>
        <w:t>.</w:t>
      </w:r>
      <w:r w:rsidRPr="00DB6B82">
        <w:rPr>
          <w:rFonts w:ascii="Times New Roman" w:hAnsi="Times New Roman" w:cs="David" w:hint="cs"/>
          <w:sz w:val="24"/>
          <w:szCs w:val="24"/>
          <w:rtl/>
        </w:rPr>
        <w:t>, מחוז ירושלים</w:t>
      </w:r>
      <w:r w:rsidR="00957C3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6445DB">
        <w:rPr>
          <w:rFonts w:ascii="Times New Roman" w:hAnsi="Times New Roman" w:cs="David" w:hint="cs"/>
          <w:sz w:val="24"/>
          <w:szCs w:val="24"/>
          <w:rtl/>
        </w:rPr>
        <w:t xml:space="preserve">מתאפיין </w:t>
      </w:r>
      <w:r w:rsidR="00957C36">
        <w:rPr>
          <w:rFonts w:ascii="Times New Roman" w:hAnsi="Times New Roman" w:cs="David" w:hint="cs"/>
          <w:sz w:val="24"/>
          <w:szCs w:val="24"/>
          <w:rtl/>
        </w:rPr>
        <w:t xml:space="preserve">לכל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אורך התקופה </w:t>
      </w:r>
      <w:r w:rsidR="00957C36">
        <w:rPr>
          <w:rFonts w:ascii="Times New Roman" w:hAnsi="Times New Roman" w:cs="David" w:hint="cs"/>
          <w:sz w:val="24"/>
          <w:szCs w:val="24"/>
          <w:rtl/>
        </w:rPr>
        <w:t>ב</w:t>
      </w:r>
      <w:r w:rsidRPr="00DB6B82">
        <w:rPr>
          <w:rFonts w:ascii="Times New Roman" w:hAnsi="Times New Roman" w:cs="David" w:hint="cs"/>
          <w:sz w:val="24"/>
          <w:szCs w:val="24"/>
          <w:rtl/>
        </w:rPr>
        <w:t>אי-שוויון הגבוה ביותר</w:t>
      </w:r>
      <w:r w:rsidR="00957C36">
        <w:rPr>
          <w:rFonts w:ascii="Times New Roman" w:hAnsi="Times New Roman" w:cs="David" w:hint="cs"/>
          <w:sz w:val="24"/>
          <w:szCs w:val="24"/>
          <w:rtl/>
        </w:rPr>
        <w:t xml:space="preserve">, משום שבקרב הערבים והחרדים יש רמות נמוכות של </w:t>
      </w:r>
      <w:r w:rsidRPr="00DB6B82">
        <w:rPr>
          <w:rFonts w:ascii="Times New Roman" w:hAnsi="Times New Roman" w:cs="David" w:hint="cs"/>
          <w:sz w:val="24"/>
          <w:szCs w:val="24"/>
          <w:rtl/>
        </w:rPr>
        <w:t>השכלה ו</w:t>
      </w:r>
      <w:r w:rsidRPr="00DB6B82">
        <w:rPr>
          <w:rFonts w:ascii="Times New Roman" w:hAnsi="Times New Roman" w:cs="David"/>
          <w:sz w:val="24"/>
          <w:szCs w:val="24"/>
          <w:rtl/>
        </w:rPr>
        <w:t>שיעורי תעסוקה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Pr="006D5B52">
        <w:rPr>
          <w:rFonts w:ascii="Times New Roman" w:hAnsi="Times New Roman" w:cs="David" w:hint="cs"/>
          <w:sz w:val="24"/>
          <w:szCs w:val="24"/>
          <w:rtl/>
        </w:rPr>
        <w:t>במחוז</w:t>
      </w:r>
      <w:r w:rsidRPr="006D5B52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6D5B52">
        <w:rPr>
          <w:rFonts w:ascii="Times New Roman" w:hAnsi="Times New Roman" w:cs="David" w:hint="cs"/>
          <w:sz w:val="24"/>
          <w:szCs w:val="24"/>
          <w:rtl/>
        </w:rPr>
        <w:t>המרכז</w:t>
      </w:r>
      <w:r w:rsidR="002A1A87" w:rsidRPr="006D5B52">
        <w:rPr>
          <w:rFonts w:ascii="Times New Roman" w:hAnsi="Times New Roman" w:cs="David"/>
          <w:sz w:val="24"/>
          <w:szCs w:val="24"/>
          <w:rtl/>
        </w:rPr>
        <w:t xml:space="preserve">, שהתאפיין בשנים האחרונות </w:t>
      </w:r>
      <w:r w:rsidR="00642943" w:rsidRPr="00D126AE">
        <w:rPr>
          <w:rFonts w:ascii="Times New Roman" w:hAnsi="Times New Roman" w:cs="David" w:hint="cs"/>
          <w:sz w:val="24"/>
          <w:szCs w:val="24"/>
          <w:rtl/>
        </w:rPr>
        <w:t>ברמת</w:t>
      </w:r>
      <w:r w:rsidR="00642943" w:rsidRPr="00D126A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42943" w:rsidRPr="00D126AE">
        <w:rPr>
          <w:rFonts w:ascii="Times New Roman" w:hAnsi="Times New Roman" w:cs="David" w:hint="cs"/>
          <w:sz w:val="24"/>
          <w:szCs w:val="24"/>
          <w:rtl/>
        </w:rPr>
        <w:t>אי</w:t>
      </w:r>
      <w:r w:rsidR="00642943" w:rsidRPr="00D126AE">
        <w:rPr>
          <w:rFonts w:ascii="Times New Roman" w:hAnsi="Times New Roman" w:cs="David"/>
          <w:sz w:val="24"/>
          <w:szCs w:val="24"/>
          <w:rtl/>
        </w:rPr>
        <w:t>-</w:t>
      </w:r>
      <w:r w:rsidR="002A1A87" w:rsidRPr="00D126AE">
        <w:rPr>
          <w:rFonts w:ascii="Times New Roman" w:hAnsi="Times New Roman" w:cs="David" w:hint="cs"/>
          <w:sz w:val="24"/>
          <w:szCs w:val="24"/>
          <w:rtl/>
        </w:rPr>
        <w:t>שוויון</w:t>
      </w:r>
      <w:r w:rsidR="002A1A87" w:rsidRPr="00D126A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2A1A87" w:rsidRPr="00D126AE">
        <w:rPr>
          <w:rFonts w:ascii="Times New Roman" w:hAnsi="Times New Roman" w:cs="David" w:hint="cs"/>
          <w:sz w:val="24"/>
          <w:szCs w:val="24"/>
          <w:rtl/>
        </w:rPr>
        <w:t>נמוכה</w:t>
      </w:r>
      <w:r w:rsidR="002A1A87" w:rsidRPr="00D126AE">
        <w:rPr>
          <w:rFonts w:ascii="Times New Roman" w:hAnsi="Times New Roman" w:cs="David"/>
          <w:sz w:val="24"/>
          <w:szCs w:val="24"/>
          <w:rtl/>
        </w:rPr>
        <w:t xml:space="preserve"> ביחס ליתר המחוזות</w:t>
      </w:r>
      <w:r w:rsidR="002A1A87" w:rsidRPr="006D5B52">
        <w:rPr>
          <w:rFonts w:ascii="Times New Roman" w:hAnsi="Times New Roman" w:cs="David"/>
          <w:sz w:val="24"/>
          <w:szCs w:val="24"/>
          <w:rtl/>
        </w:rPr>
        <w:t>,</w:t>
      </w:r>
      <w:r w:rsidRPr="006D5B52">
        <w:rPr>
          <w:rFonts w:ascii="Times New Roman" w:hAnsi="Times New Roman" w:cs="David"/>
          <w:sz w:val="24"/>
          <w:szCs w:val="24"/>
          <w:rtl/>
        </w:rPr>
        <w:t xml:space="preserve"> ירד </w:t>
      </w:r>
      <w:r w:rsidR="006445DB">
        <w:rPr>
          <w:rFonts w:ascii="Times New Roman" w:hAnsi="Times New Roman" w:cs="David" w:hint="cs"/>
          <w:sz w:val="24"/>
          <w:szCs w:val="24"/>
          <w:rtl/>
        </w:rPr>
        <w:t>ה</w:t>
      </w:r>
      <w:r w:rsidRPr="006D5B52">
        <w:rPr>
          <w:rFonts w:ascii="Times New Roman" w:hAnsi="Times New Roman" w:cs="David"/>
          <w:sz w:val="24"/>
          <w:szCs w:val="24"/>
          <w:rtl/>
        </w:rPr>
        <w:t>אי-שוויון במקביל להגירה החיובית אליו.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57C36">
        <w:rPr>
          <w:rFonts w:ascii="Times New Roman" w:hAnsi="Times New Roman" w:cs="David" w:hint="cs"/>
          <w:sz w:val="24"/>
          <w:szCs w:val="24"/>
          <w:rtl/>
        </w:rPr>
        <w:t>מאחר ש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המחוז </w:t>
      </w:r>
      <w:r w:rsidR="00957C36">
        <w:rPr>
          <w:rFonts w:ascii="Times New Roman" w:hAnsi="Times New Roman" w:cs="David" w:hint="cs"/>
          <w:sz w:val="24"/>
          <w:szCs w:val="24"/>
          <w:rtl/>
        </w:rPr>
        <w:t xml:space="preserve">הגדיל את חלקו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בשני </w:t>
      </w:r>
      <w:proofErr w:type="spellStart"/>
      <w:r w:rsidRPr="00DB6B82">
        <w:rPr>
          <w:rFonts w:ascii="Times New Roman" w:hAnsi="Times New Roman" w:cs="David" w:hint="cs"/>
          <w:sz w:val="24"/>
          <w:szCs w:val="24"/>
          <w:rtl/>
        </w:rPr>
        <w:t>החמישונים</w:t>
      </w:r>
      <w:proofErr w:type="spellEnd"/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העליונים </w:t>
      </w:r>
      <w:r w:rsidR="00957C36"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התפלגות ההכנסות, </w:t>
      </w:r>
      <w:r w:rsidR="00957C36">
        <w:rPr>
          <w:rFonts w:ascii="Times New Roman" w:hAnsi="Times New Roman" w:cs="David" w:hint="cs"/>
          <w:sz w:val="24"/>
          <w:szCs w:val="24"/>
          <w:rtl/>
        </w:rPr>
        <w:t>י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יתכן כי התמורות באי-שוויון מבטאות הגירה של אוכלוסיות חזקות אליו. </w:t>
      </w:r>
      <w:r w:rsidR="006445DB">
        <w:rPr>
          <w:rFonts w:ascii="Times New Roman" w:hAnsi="Times New Roman" w:cs="David" w:hint="cs"/>
          <w:sz w:val="24"/>
          <w:szCs w:val="24"/>
          <w:rtl/>
        </w:rPr>
        <w:t>ממצאים אלו עקביים עם תהליך של ריבוד באוכלוסיה על פי מחוז המגורים.</w:t>
      </w:r>
    </w:p>
    <w:p w:rsidR="00F30AC0" w:rsidRPr="00DB6B82" w:rsidRDefault="00F30AC0" w:rsidP="00D126AE">
      <w:pPr>
        <w:spacing w:line="360" w:lineRule="auto"/>
        <w:ind w:firstLine="720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noProof/>
          <w:sz w:val="24"/>
          <w:szCs w:val="24"/>
        </w:rPr>
        <w:drawing>
          <wp:inline distT="0" distB="0" distL="0" distR="0" wp14:anchorId="0A6773D1" wp14:editId="3DD2C043">
            <wp:extent cx="4532670" cy="2951018"/>
            <wp:effectExtent l="0" t="0" r="1270" b="1905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108" cy="29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AC0" w:rsidRDefault="00F30AC0" w:rsidP="006B05E4">
      <w:pPr>
        <w:spacing w:line="360" w:lineRule="auto"/>
        <w:jc w:val="both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</w:p>
    <w:p w:rsidR="00F30AC0" w:rsidRDefault="00F30AC0" w:rsidP="006B05E4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6B05E4" w:rsidRPr="00DB6B82" w:rsidRDefault="006B05E4" w:rsidP="006B05E4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DB6B82">
        <w:rPr>
          <w:rFonts w:ascii="Times New Roman" w:hAnsi="Times New Roman" w:cs="David" w:hint="cs"/>
          <w:b/>
          <w:bCs/>
          <w:sz w:val="24"/>
          <w:szCs w:val="24"/>
          <w:rtl/>
        </w:rPr>
        <w:lastRenderedPageBreak/>
        <w:t>רשימת מקורות</w:t>
      </w:r>
    </w:p>
    <w:p w:rsidR="006B05E4" w:rsidRPr="00DB6B82" w:rsidRDefault="006B05E4" w:rsidP="002E5F3A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DB6B82">
        <w:rPr>
          <w:rFonts w:ascii="Times New Roman" w:hAnsi="Times New Roman" w:cs="David" w:hint="cs"/>
          <w:sz w:val="24"/>
          <w:szCs w:val="24"/>
          <w:rtl/>
        </w:rPr>
        <w:t>קמחי, אייל ו</w:t>
      </w:r>
      <w:r w:rsidR="002E5F3A">
        <w:rPr>
          <w:rFonts w:ascii="Times New Roman" w:hAnsi="Times New Roman" w:cs="David" w:hint="cs"/>
          <w:sz w:val="24"/>
          <w:szCs w:val="24"/>
          <w:rtl/>
        </w:rPr>
        <w:t xml:space="preserve">מיכל </w:t>
      </w:r>
      <w:r w:rsidRPr="00DB6B82">
        <w:rPr>
          <w:rFonts w:ascii="Times New Roman" w:hAnsi="Times New Roman" w:cs="David" w:hint="cs"/>
          <w:sz w:val="24"/>
          <w:szCs w:val="24"/>
          <w:rtl/>
        </w:rPr>
        <w:t>שפיר-תדהר, "אי</w:t>
      </w:r>
      <w:r w:rsidR="002E5F3A">
        <w:rPr>
          <w:rFonts w:ascii="Times New Roman" w:hAnsi="Times New Roman" w:cs="David" w:hint="cs"/>
          <w:sz w:val="24"/>
          <w:szCs w:val="24"/>
          <w:rtl/>
        </w:rPr>
        <w:t>-</w:t>
      </w:r>
      <w:r w:rsidRPr="00DB6B82">
        <w:rPr>
          <w:rFonts w:ascii="Times New Roman" w:hAnsi="Times New Roman" w:cs="David" w:hint="cs"/>
          <w:sz w:val="24"/>
          <w:szCs w:val="24"/>
          <w:rtl/>
        </w:rPr>
        <w:t>שוויון בהכנסות בין ובתוך קבוצות אוכלוסייה בישראל:</w:t>
      </w:r>
      <w:r w:rsidR="002E5F3A">
        <w:rPr>
          <w:rFonts w:ascii="Times New Roman" w:hAnsi="Times New Roman" w:cs="David" w:hint="cs"/>
          <w:sz w:val="24"/>
          <w:szCs w:val="24"/>
          <w:rtl/>
        </w:rPr>
        <w:t xml:space="preserve"> 1997</w:t>
      </w:r>
      <w:r w:rsidR="002E5F3A">
        <w:rPr>
          <w:rFonts w:ascii="Times New Roman" w:hAnsi="Times New Roman" w:cs="David"/>
          <w:sz w:val="24"/>
          <w:szCs w:val="24"/>
          <w:rtl/>
        </w:rPr>
        <w:t>—</w:t>
      </w:r>
      <w:r w:rsidR="002E5F3A">
        <w:rPr>
          <w:rFonts w:ascii="Times New Roman" w:hAnsi="Times New Roman" w:cs="David" w:hint="cs"/>
          <w:sz w:val="24"/>
          <w:szCs w:val="24"/>
          <w:rtl/>
        </w:rPr>
        <w:t>2010</w:t>
      </w:r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", מרכז </w:t>
      </w:r>
      <w:proofErr w:type="spellStart"/>
      <w:r w:rsidRPr="00DB6B82">
        <w:rPr>
          <w:rFonts w:ascii="Times New Roman" w:hAnsi="Times New Roman" w:cs="David" w:hint="cs"/>
          <w:sz w:val="24"/>
          <w:szCs w:val="24"/>
          <w:rtl/>
        </w:rPr>
        <w:t>טאוב</w:t>
      </w:r>
      <w:proofErr w:type="spellEnd"/>
      <w:r w:rsidRPr="00DB6B82">
        <w:rPr>
          <w:rFonts w:ascii="Times New Roman" w:hAnsi="Times New Roman" w:cs="David" w:hint="cs"/>
          <w:sz w:val="24"/>
          <w:szCs w:val="24"/>
          <w:rtl/>
        </w:rPr>
        <w:t xml:space="preserve"> (ספטמבר 2012). </w:t>
      </w:r>
    </w:p>
    <w:p w:rsidR="006B05E4" w:rsidRPr="00F30AC0" w:rsidRDefault="006B05E4" w:rsidP="006B05E4">
      <w:pPr>
        <w:bidi w:val="0"/>
        <w:spacing w:after="120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rtl/>
        </w:rPr>
      </w:pPr>
      <w:proofErr w:type="gramStart"/>
      <w:r w:rsidRPr="00F30A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Akita, T. (2000).</w:t>
      </w:r>
      <w:proofErr w:type="gramEnd"/>
      <w:r w:rsidRPr="00F30AC0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F30AC0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Decomposing regional income inequality using two-stage nested </w:t>
      </w:r>
      <w:proofErr w:type="spellStart"/>
      <w:r w:rsidRPr="00F30AC0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Theil</w:t>
      </w:r>
      <w:proofErr w:type="spellEnd"/>
      <w:r w:rsidRPr="00F30AC0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decomposition </w:t>
      </w:r>
      <w:proofErr w:type="gramStart"/>
      <w:r w:rsidRPr="00F30AC0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method</w:t>
      </w:r>
      <w:r w:rsidRPr="00F30AC0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F30A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F30A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International University of Japan.</w:t>
      </w:r>
      <w:r w:rsidRPr="00F30AC0">
        <w:rPr>
          <w:rFonts w:ascii="Times New Roman" w:hAnsi="Times New Roman"/>
          <w:color w:val="222222"/>
          <w:sz w:val="24"/>
          <w:szCs w:val="24"/>
          <w:shd w:val="clear" w:color="auto" w:fill="FFFFFF"/>
          <w:rtl/>
        </w:rPr>
        <w:t>‏</w:t>
      </w:r>
    </w:p>
    <w:p w:rsidR="006B05E4" w:rsidRPr="00B9662B" w:rsidRDefault="006B05E4" w:rsidP="006B05E4">
      <w:pPr>
        <w:bidi w:val="0"/>
        <w:spacing w:after="0" w:line="240" w:lineRule="auto"/>
        <w:rPr>
          <w:rFonts w:ascii="Times New Roman" w:hAnsi="Times New Roman" w:cs="David"/>
          <w:sz w:val="24"/>
          <w:szCs w:val="24"/>
        </w:rPr>
      </w:pPr>
      <w:r w:rsidRPr="00F30AC0">
        <w:rPr>
          <w:rFonts w:ascii="Times New Roman" w:eastAsia="Times New Roman" w:hAnsi="Times New Roman"/>
          <w:color w:val="222222"/>
          <w:sz w:val="24"/>
          <w:szCs w:val="24"/>
        </w:rPr>
        <w:t xml:space="preserve">Braun, D. (1988). </w:t>
      </w:r>
      <w:proofErr w:type="gramStart"/>
      <w:r w:rsidRPr="00F30AC0">
        <w:rPr>
          <w:rFonts w:ascii="Times New Roman" w:eastAsia="Times New Roman" w:hAnsi="Times New Roman"/>
          <w:color w:val="222222"/>
          <w:sz w:val="24"/>
          <w:szCs w:val="24"/>
        </w:rPr>
        <w:t>Multiple measurements of US income inequality.</w:t>
      </w:r>
      <w:proofErr w:type="gramEnd"/>
      <w:r w:rsidRPr="00F30AC0">
        <w:rPr>
          <w:rFonts w:ascii="Times New Roman" w:eastAsia="Times New Roman" w:hAnsi="Times New Roman"/>
          <w:sz w:val="24"/>
          <w:szCs w:val="24"/>
        </w:rPr>
        <w:t> </w:t>
      </w:r>
      <w:r w:rsidRPr="00F30AC0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The Review of Economics and Statistics</w:t>
      </w:r>
      <w:r w:rsidRPr="00F30AC0">
        <w:rPr>
          <w:rFonts w:ascii="Times New Roman" w:eastAsia="Times New Roman" w:hAnsi="Times New Roman"/>
          <w:color w:val="222222"/>
          <w:sz w:val="24"/>
          <w:szCs w:val="24"/>
        </w:rPr>
        <w:t>, 398-405.</w:t>
      </w:r>
      <w:r w:rsidRPr="00F30AC0">
        <w:rPr>
          <w:rFonts w:ascii="Times New Roman" w:hAnsi="Times New Roman"/>
          <w:color w:val="222222"/>
          <w:sz w:val="24"/>
          <w:szCs w:val="24"/>
          <w:shd w:val="clear" w:color="auto" w:fill="FFFFFF"/>
          <w:rtl/>
        </w:rPr>
        <w:t>‏</w:t>
      </w:r>
    </w:p>
    <w:tbl>
      <w:tblPr>
        <w:tblW w:w="7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6B05E4" w:rsidRPr="00B9662B" w:rsidTr="00951ABA">
        <w:tc>
          <w:tcPr>
            <w:tcW w:w="0" w:type="auto"/>
            <w:shd w:val="clear" w:color="auto" w:fill="FFFFFF"/>
            <w:vAlign w:val="center"/>
            <w:hideMark/>
          </w:tcPr>
          <w:p w:rsidR="006B05E4" w:rsidRPr="00F30AC0" w:rsidRDefault="006B05E4" w:rsidP="006B05E4">
            <w:pPr>
              <w:bidi w:val="0"/>
              <w:spacing w:after="0" w:line="242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6B05E4" w:rsidRPr="00B9662B" w:rsidTr="00951ABA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6B05E4" w:rsidRPr="00F30AC0" w:rsidRDefault="006B05E4" w:rsidP="006B05E4">
            <w:pPr>
              <w:bidi w:val="0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F30A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Haughton, J., &amp; </w:t>
            </w:r>
            <w:proofErr w:type="spellStart"/>
            <w:r w:rsidRPr="00F30A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Khandker</w:t>
            </w:r>
            <w:proofErr w:type="spellEnd"/>
            <w:r w:rsidRPr="00F30A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, S. R. (2009). </w:t>
            </w:r>
            <w:r w:rsidRPr="00F30AC0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</w:rPr>
              <w:t>Handbook on poverty and inequality</w:t>
            </w:r>
            <w:r w:rsidRPr="00F30A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. World Bank.</w:t>
            </w:r>
          </w:p>
          <w:p w:rsidR="006B05E4" w:rsidRPr="00F30AC0" w:rsidRDefault="006B05E4" w:rsidP="006B05E4">
            <w:pPr>
              <w:bidi w:val="0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  <w:p w:rsidR="006B05E4" w:rsidRPr="00F30AC0" w:rsidRDefault="006B05E4" w:rsidP="006B05E4">
            <w:pPr>
              <w:bidi w:val="0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rtl/>
              </w:rPr>
            </w:pPr>
            <w:proofErr w:type="spellStart"/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Milanovic</w:t>
            </w:r>
            <w:proofErr w:type="spellEnd"/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B. (2005). Half a World: Regional inequality in five great federations.</w:t>
            </w:r>
            <w:r w:rsidR="00411A81" w:rsidRPr="00F30AC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F30AC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the Asia Pacific Economy</w:t>
            </w:r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F30AC0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F30AC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10</w:t>
            </w:r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(4), 408-445.</w:t>
            </w:r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rtl/>
              </w:rPr>
              <w:t>‏</w:t>
            </w:r>
          </w:p>
          <w:p w:rsidR="006B05E4" w:rsidRPr="00F30AC0" w:rsidRDefault="006B05E4" w:rsidP="006B05E4">
            <w:pPr>
              <w:bidi w:val="0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  <w:p w:rsidR="006B05E4" w:rsidRPr="00F30AC0" w:rsidRDefault="006B05E4" w:rsidP="006B05E4">
            <w:pPr>
              <w:bidi w:val="0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rtl/>
              </w:rPr>
            </w:pPr>
            <w:proofErr w:type="spellStart"/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Theil</w:t>
            </w:r>
            <w:proofErr w:type="spellEnd"/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H., &amp; </w:t>
            </w:r>
            <w:proofErr w:type="spellStart"/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Sorooshian</w:t>
            </w:r>
            <w:proofErr w:type="spellEnd"/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C. (1979). Components of the change in regional inequality.</w:t>
            </w:r>
            <w:r w:rsidRPr="00F30AC0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F30AC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Economics Letters</w:t>
            </w:r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F30AC0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F30AC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(2), 191-193.</w:t>
            </w:r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rtl/>
              </w:rPr>
              <w:t>‏</w:t>
            </w:r>
          </w:p>
          <w:p w:rsidR="006B05E4" w:rsidRPr="00F30AC0" w:rsidRDefault="006B05E4" w:rsidP="006B05E4">
            <w:pPr>
              <w:bidi w:val="0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  <w:p w:rsidR="006B05E4" w:rsidRPr="00F30AC0" w:rsidRDefault="006B05E4" w:rsidP="006B05E4">
            <w:pPr>
              <w:bidi w:val="0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Theil</w:t>
            </w:r>
            <w:proofErr w:type="spellEnd"/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H. (1989). The development of international inequality 1960–1985.</w:t>
            </w:r>
            <w:r w:rsidRPr="00F30AC0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F30AC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Econometrics</w:t>
            </w:r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F30AC0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F30AC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42</w:t>
            </w:r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(1), 145-155.</w:t>
            </w:r>
            <w:r w:rsidRPr="00F30AC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rtl/>
              </w:rPr>
              <w:t>‏</w:t>
            </w:r>
          </w:p>
        </w:tc>
      </w:tr>
    </w:tbl>
    <w:p w:rsidR="00372EF5" w:rsidRPr="00C95ACA" w:rsidRDefault="00372EF5" w:rsidP="000C36FA">
      <w:pPr>
        <w:ind w:left="360"/>
        <w:jc w:val="both"/>
        <w:rPr>
          <w:rFonts w:ascii="Times New Roman" w:hAnsi="Times New Roman"/>
          <w:sz w:val="24"/>
          <w:szCs w:val="24"/>
        </w:rPr>
      </w:pPr>
    </w:p>
    <w:sectPr w:rsidR="00372EF5" w:rsidRPr="00C95ACA" w:rsidSect="003D1F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5F" w:rsidRDefault="00D0045F" w:rsidP="00CD4787">
      <w:pPr>
        <w:spacing w:after="0" w:line="240" w:lineRule="auto"/>
      </w:pPr>
      <w:r>
        <w:separator/>
      </w:r>
    </w:p>
  </w:endnote>
  <w:endnote w:type="continuationSeparator" w:id="0">
    <w:p w:rsidR="00D0045F" w:rsidRDefault="00D0045F" w:rsidP="00CD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26" w:rsidRDefault="00C3762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2A" w:rsidRPr="003D1F2A" w:rsidRDefault="003D1F2A" w:rsidP="003D1F2A">
    <w:pPr>
      <w:spacing w:line="360" w:lineRule="auto"/>
      <w:ind w:left="-483" w:right="-284"/>
      <w:jc w:val="center"/>
      <w:rPr>
        <w:rFonts w:ascii="Times New Roman" w:hAnsi="Times New Roman" w:cs="David"/>
        <w:sz w:val="18"/>
        <w:szCs w:val="18"/>
        <w:cs/>
      </w:rPr>
    </w:pPr>
    <w:r>
      <w:rPr>
        <w:rFonts w:ascii="Times New Roman" w:hAnsi="Times New Roman" w:cs="David" w:hint="cs"/>
        <w:sz w:val="18"/>
        <w:szCs w:val="18"/>
        <w:rtl/>
      </w:rPr>
      <w:t>בנק ישראל</w:t>
    </w:r>
    <w:r w:rsidRPr="003D1F2A">
      <w:rPr>
        <w:rFonts w:ascii="Times New Roman" w:hAnsi="Times New Roman" w:cs="David" w:hint="cs"/>
        <w:sz w:val="18"/>
        <w:szCs w:val="18"/>
        <w:rtl/>
      </w:rPr>
      <w:t>: תמורות באי-שוויון בין המחוזות בישראל ובתוכם</w:t>
    </w:r>
    <w:sdt>
      <w:sdtPr>
        <w:rPr>
          <w:rFonts w:cs="David"/>
          <w:sz w:val="18"/>
          <w:szCs w:val="18"/>
          <w:rtl/>
        </w:rPr>
        <w:id w:val="-521320183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sdt>
          <w:sdtPr>
            <w:rPr>
              <w:rFonts w:cs="David"/>
              <w:sz w:val="18"/>
              <w:szCs w:val="18"/>
              <w:rtl/>
            </w:rPr>
            <w:id w:val="655041034"/>
            <w:docPartObj>
              <w:docPartGallery w:val="Page Numbers (Top of Page)"/>
              <w:docPartUnique/>
            </w:docPartObj>
          </w:sdtPr>
          <w:sdtContent>
            <w:r>
              <w:rPr>
                <w:rFonts w:cs="David" w:hint="cs"/>
                <w:sz w:val="18"/>
                <w:szCs w:val="18"/>
                <w:rtl/>
                <w:cs/>
                <w:lang w:val="he-IL"/>
              </w:rPr>
              <w:t xml:space="preserve"> </w:t>
            </w:r>
            <w:r>
              <w:rPr>
                <w:rFonts w:cs="David" w:hint="cs"/>
                <w:sz w:val="18"/>
                <w:szCs w:val="18"/>
                <w:rtl/>
                <w:cs/>
                <w:lang w:val="he-IL"/>
              </w:rPr>
              <w:tab/>
            </w:r>
            <w:r>
              <w:rPr>
                <w:rFonts w:cs="David" w:hint="cs"/>
                <w:sz w:val="18"/>
                <w:szCs w:val="18"/>
                <w:rtl/>
                <w:cs/>
                <w:lang w:val="he-IL"/>
              </w:rPr>
              <w:tab/>
            </w:r>
            <w:r>
              <w:rPr>
                <w:rFonts w:cs="David" w:hint="cs"/>
                <w:sz w:val="18"/>
                <w:szCs w:val="18"/>
                <w:rtl/>
                <w:cs/>
                <w:lang w:val="he-IL"/>
              </w:rPr>
              <w:tab/>
            </w:r>
            <w:r>
              <w:rPr>
                <w:rFonts w:cs="David" w:hint="cs"/>
                <w:sz w:val="18"/>
                <w:szCs w:val="18"/>
                <w:rtl/>
                <w:cs/>
                <w:lang w:val="he-IL"/>
              </w:rPr>
              <w:tab/>
            </w:r>
            <w:r>
              <w:rPr>
                <w:rFonts w:cs="David" w:hint="cs"/>
                <w:sz w:val="18"/>
                <w:szCs w:val="18"/>
                <w:rtl/>
                <w:cs/>
                <w:lang w:val="he-IL"/>
              </w:rPr>
              <w:tab/>
            </w:r>
            <w:r>
              <w:rPr>
                <w:rFonts w:cs="David" w:hint="cs"/>
                <w:sz w:val="18"/>
                <w:szCs w:val="18"/>
                <w:rtl/>
                <w:cs/>
                <w:lang w:val="he-IL"/>
              </w:rPr>
              <w:tab/>
            </w:r>
            <w:r w:rsidRPr="003D1F2A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3D1F2A">
              <w:rPr>
                <w:rFonts w:cs="David"/>
                <w:sz w:val="18"/>
                <w:szCs w:val="18"/>
              </w:rPr>
              <w:fldChar w:fldCharType="begin"/>
            </w:r>
            <w:r w:rsidRPr="003D1F2A">
              <w:rPr>
                <w:rFonts w:cs="David"/>
                <w:sz w:val="18"/>
                <w:szCs w:val="18"/>
                <w:cs/>
              </w:rPr>
              <w:instrText>PAGE</w:instrText>
            </w:r>
            <w:r w:rsidRPr="003D1F2A">
              <w:rPr>
                <w:rFonts w:cs="David"/>
                <w:sz w:val="18"/>
                <w:szCs w:val="18"/>
              </w:rPr>
              <w:fldChar w:fldCharType="separate"/>
            </w:r>
            <w:r w:rsidR="004B1891">
              <w:rPr>
                <w:rFonts w:cs="David"/>
                <w:noProof/>
                <w:sz w:val="18"/>
                <w:szCs w:val="18"/>
                <w:rtl/>
              </w:rPr>
              <w:t>5</w:t>
            </w:r>
            <w:r w:rsidRPr="003D1F2A">
              <w:rPr>
                <w:rFonts w:cs="David"/>
                <w:sz w:val="18"/>
                <w:szCs w:val="18"/>
              </w:rPr>
              <w:fldChar w:fldCharType="end"/>
            </w:r>
            <w:r w:rsidRPr="003D1F2A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3D1F2A">
              <w:rPr>
                <w:rFonts w:cs="David"/>
                <w:sz w:val="18"/>
                <w:szCs w:val="18"/>
              </w:rPr>
              <w:fldChar w:fldCharType="begin"/>
            </w:r>
            <w:r w:rsidRPr="003D1F2A">
              <w:rPr>
                <w:rFonts w:cs="David"/>
                <w:sz w:val="18"/>
                <w:szCs w:val="18"/>
                <w:cs/>
              </w:rPr>
              <w:instrText>NUMPAGES</w:instrText>
            </w:r>
            <w:r w:rsidRPr="003D1F2A">
              <w:rPr>
                <w:rFonts w:cs="David"/>
                <w:sz w:val="18"/>
                <w:szCs w:val="18"/>
              </w:rPr>
              <w:fldChar w:fldCharType="separate"/>
            </w:r>
            <w:r w:rsidR="004B1891">
              <w:rPr>
                <w:rFonts w:cs="David"/>
                <w:noProof/>
                <w:sz w:val="18"/>
                <w:szCs w:val="18"/>
                <w:rtl/>
              </w:rPr>
              <w:t>5</w:t>
            </w:r>
            <w:r w:rsidRPr="003D1F2A">
              <w:rPr>
                <w:rFonts w:cs="David"/>
                <w:sz w:val="18"/>
                <w:szCs w:val="18"/>
              </w:rPr>
              <w:fldChar w:fldCharType="end"/>
            </w:r>
          </w:sdtContent>
        </w:sdt>
      </w:sdtContent>
    </w:sdt>
  </w:p>
  <w:p w:rsidR="00DF1B41" w:rsidRDefault="00DF1B4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26" w:rsidRDefault="00C376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5F" w:rsidRDefault="00D0045F" w:rsidP="00CD4787">
      <w:pPr>
        <w:spacing w:after="0" w:line="240" w:lineRule="auto"/>
      </w:pPr>
      <w:r>
        <w:separator/>
      </w:r>
    </w:p>
  </w:footnote>
  <w:footnote w:type="continuationSeparator" w:id="0">
    <w:p w:rsidR="00D0045F" w:rsidRDefault="00D0045F" w:rsidP="00CD4787">
      <w:pPr>
        <w:spacing w:after="0" w:line="240" w:lineRule="auto"/>
      </w:pPr>
      <w:r>
        <w:continuationSeparator/>
      </w:r>
    </w:p>
  </w:footnote>
  <w:footnote w:id="1">
    <w:p w:rsidR="002E74DC" w:rsidRPr="00DB6B82" w:rsidRDefault="002E74DC" w:rsidP="002E74DC">
      <w:pPr>
        <w:spacing w:after="0"/>
        <w:rPr>
          <w:rStyle w:val="ad"/>
          <w:rFonts w:ascii="Times New Roman" w:hAnsi="Times New Roman" w:cs="David"/>
          <w:sz w:val="20"/>
          <w:szCs w:val="20"/>
        </w:rPr>
      </w:pPr>
      <w:r w:rsidRPr="00DB6B82">
        <w:rPr>
          <w:rStyle w:val="ad"/>
          <w:rFonts w:ascii="Times New Roman" w:hAnsi="Times New Roman" w:cs="David"/>
          <w:sz w:val="20"/>
          <w:szCs w:val="20"/>
        </w:rPr>
        <w:footnoteRef/>
      </w:r>
      <w:r w:rsidRPr="00DB6B82">
        <w:rPr>
          <w:rStyle w:val="ad"/>
          <w:rFonts w:ascii="Times New Roman" w:hAnsi="Times New Roman" w:cs="David"/>
          <w:sz w:val="20"/>
          <w:szCs w:val="20"/>
          <w:rtl/>
        </w:rPr>
        <w:t xml:space="preserve"> </w:t>
      </w:r>
      <w:r>
        <w:rPr>
          <w:rFonts w:ascii="Times New Roman" w:hAnsi="Times New Roman" w:cs="David" w:hint="cs"/>
          <w:sz w:val="20"/>
          <w:szCs w:val="20"/>
          <w:rtl/>
        </w:rPr>
        <w:t xml:space="preserve">כלומר מספר האנשים שעזבו את המחוזות עלה על מספר האנשים שעברו להתגורר בהם. </w:t>
      </w:r>
      <w:r w:rsidRPr="00DB6B82">
        <w:rPr>
          <w:rFonts w:ascii="Times New Roman" w:hAnsi="Times New Roman" w:cs="David" w:hint="cs"/>
          <w:sz w:val="20"/>
          <w:szCs w:val="20"/>
          <w:rtl/>
        </w:rPr>
        <w:t xml:space="preserve">הרחבה </w:t>
      </w:r>
      <w:r>
        <w:rPr>
          <w:rFonts w:ascii="Times New Roman" w:hAnsi="Times New Roman" w:cs="David" w:hint="cs"/>
          <w:sz w:val="20"/>
          <w:szCs w:val="20"/>
          <w:rtl/>
        </w:rPr>
        <w:t>מופיעה ב</w:t>
      </w:r>
      <w:r w:rsidRPr="00DB6B82">
        <w:rPr>
          <w:rFonts w:ascii="Times New Roman" w:hAnsi="Times New Roman" w:cs="David" w:hint="cs"/>
          <w:sz w:val="20"/>
          <w:szCs w:val="20"/>
          <w:rtl/>
        </w:rPr>
        <w:t xml:space="preserve">לוח 2.15, </w:t>
      </w:r>
      <w:r w:rsidRPr="00FB550D">
        <w:rPr>
          <w:rStyle w:val="ad"/>
          <w:rFonts w:ascii="Times New Roman" w:hAnsi="Times New Roman" w:cs="David" w:hint="cs"/>
          <w:b/>
          <w:bCs/>
          <w:sz w:val="20"/>
          <w:szCs w:val="20"/>
          <w:vertAlign w:val="baseline"/>
          <w:rtl/>
        </w:rPr>
        <w:t>השנתון</w:t>
      </w:r>
      <w:r w:rsidRPr="00FB550D">
        <w:rPr>
          <w:rStyle w:val="ad"/>
          <w:rFonts w:ascii="Times New Roman" w:hAnsi="Times New Roman" w:cs="David"/>
          <w:b/>
          <w:bCs/>
          <w:sz w:val="20"/>
          <w:szCs w:val="20"/>
          <w:vertAlign w:val="baseline"/>
          <w:rtl/>
        </w:rPr>
        <w:t xml:space="preserve"> </w:t>
      </w:r>
      <w:r w:rsidRPr="00FB550D">
        <w:rPr>
          <w:rStyle w:val="ad"/>
          <w:rFonts w:ascii="Times New Roman" w:hAnsi="Times New Roman" w:cs="David" w:hint="cs"/>
          <w:b/>
          <w:bCs/>
          <w:sz w:val="20"/>
          <w:szCs w:val="20"/>
          <w:vertAlign w:val="baseline"/>
          <w:rtl/>
        </w:rPr>
        <w:t>הסטטיסטי</w:t>
      </w:r>
      <w:r w:rsidRPr="00FB550D">
        <w:rPr>
          <w:rStyle w:val="ad"/>
          <w:rFonts w:ascii="Times New Roman" w:hAnsi="Times New Roman" w:cs="David"/>
          <w:b/>
          <w:bCs/>
          <w:sz w:val="20"/>
          <w:szCs w:val="20"/>
          <w:vertAlign w:val="baseline"/>
          <w:rtl/>
        </w:rPr>
        <w:t xml:space="preserve"> </w:t>
      </w:r>
      <w:r w:rsidRPr="00FB550D">
        <w:rPr>
          <w:rStyle w:val="ad"/>
          <w:rFonts w:ascii="Times New Roman" w:hAnsi="Times New Roman" w:cs="David" w:hint="cs"/>
          <w:b/>
          <w:bCs/>
          <w:sz w:val="20"/>
          <w:szCs w:val="20"/>
          <w:vertAlign w:val="baseline"/>
          <w:rtl/>
        </w:rPr>
        <w:t>לישראל</w:t>
      </w:r>
      <w:r w:rsidRPr="00A2780D">
        <w:rPr>
          <w:rStyle w:val="ad"/>
          <w:rFonts w:ascii="Times New Roman" w:hAnsi="Times New Roman" w:cs="David" w:hint="cs"/>
          <w:sz w:val="20"/>
          <w:szCs w:val="20"/>
          <w:vertAlign w:val="baseline"/>
          <w:rtl/>
        </w:rPr>
        <w:t>,</w:t>
      </w:r>
      <w:r>
        <w:rPr>
          <w:rStyle w:val="ad"/>
          <w:rFonts w:ascii="Times New Roman" w:hAnsi="Times New Roman" w:cs="David" w:hint="cs"/>
          <w:sz w:val="20"/>
          <w:szCs w:val="20"/>
          <w:vertAlign w:val="baseline"/>
          <w:rtl/>
        </w:rPr>
        <w:t xml:space="preserve"> </w:t>
      </w:r>
      <w:r w:rsidRPr="00A2780D">
        <w:rPr>
          <w:rStyle w:val="ad"/>
          <w:rFonts w:ascii="Times New Roman" w:hAnsi="Times New Roman" w:cs="David" w:hint="cs"/>
          <w:sz w:val="20"/>
          <w:szCs w:val="20"/>
          <w:vertAlign w:val="baseline"/>
          <w:rtl/>
        </w:rPr>
        <w:t>2013</w:t>
      </w:r>
      <w:r w:rsidRPr="00DB6B82">
        <w:rPr>
          <w:rFonts w:ascii="Times New Roman" w:hAnsi="Times New Roman" w:cs="David" w:hint="cs"/>
          <w:sz w:val="20"/>
          <w:szCs w:val="20"/>
          <w:rtl/>
        </w:rPr>
        <w:t>.</w:t>
      </w:r>
    </w:p>
  </w:footnote>
  <w:footnote w:id="2">
    <w:p w:rsidR="009F6ECA" w:rsidRPr="00E031ED" w:rsidRDefault="009F6ECA" w:rsidP="009F6ECA">
      <w:pPr>
        <w:pStyle w:val="ab"/>
        <w:rPr>
          <w:rFonts w:asciiTheme="majorBidi" w:hAnsiTheme="majorBidi" w:cstheme="majorBidi"/>
          <w:rtl/>
        </w:rPr>
      </w:pPr>
      <w:r w:rsidRPr="00E031ED">
        <w:rPr>
          <w:rStyle w:val="ad"/>
          <w:rFonts w:asciiTheme="majorBidi" w:hAnsiTheme="majorBidi" w:cstheme="majorBidi"/>
        </w:rPr>
        <w:footnoteRef/>
      </w:r>
      <w:r w:rsidRPr="00E031ED">
        <w:rPr>
          <w:rFonts w:asciiTheme="majorBidi" w:hAnsiTheme="majorBidi" w:cstheme="majorBidi"/>
          <w:rtl/>
        </w:rPr>
        <w:t xml:space="preserve"> </w:t>
      </w:r>
      <w:proofErr w:type="spellStart"/>
      <w:r w:rsidRPr="00E031ED">
        <w:rPr>
          <w:rFonts w:asciiTheme="majorBidi" w:hAnsiTheme="majorBidi" w:cstheme="majorBidi"/>
        </w:rPr>
        <w:t>Milanovic</w:t>
      </w:r>
      <w:proofErr w:type="spellEnd"/>
      <w:r w:rsidRPr="00E031ED">
        <w:rPr>
          <w:rFonts w:asciiTheme="majorBidi" w:hAnsiTheme="majorBidi" w:cstheme="majorBidi"/>
        </w:rPr>
        <w:t xml:space="preserve">, 2005; </w:t>
      </w:r>
      <w:proofErr w:type="spellStart"/>
      <w:r w:rsidRPr="00E031ED">
        <w:rPr>
          <w:rFonts w:asciiTheme="majorBidi" w:hAnsiTheme="majorBidi" w:cstheme="majorBidi"/>
        </w:rPr>
        <w:t>Theil</w:t>
      </w:r>
      <w:proofErr w:type="spellEnd"/>
      <w:r w:rsidRPr="00E031ED">
        <w:rPr>
          <w:rFonts w:asciiTheme="majorBidi" w:hAnsiTheme="majorBidi" w:cstheme="majorBidi"/>
        </w:rPr>
        <w:t>, 1989; Akita, 2000; Braun, 1988</w:t>
      </w:r>
    </w:p>
  </w:footnote>
  <w:footnote w:id="3">
    <w:p w:rsidR="00DF1B41" w:rsidRPr="00DB6B82" w:rsidRDefault="00DF1B41" w:rsidP="000473CA">
      <w:pPr>
        <w:pStyle w:val="ab"/>
        <w:jc w:val="both"/>
        <w:rPr>
          <w:rFonts w:ascii="Times New Roman" w:hAnsi="Times New Roman"/>
        </w:rPr>
      </w:pPr>
      <w:r w:rsidRPr="00DB6B82">
        <w:rPr>
          <w:rStyle w:val="ad"/>
          <w:rFonts w:ascii="Times New Roman" w:hAnsi="Times New Roman"/>
        </w:rPr>
        <w:footnoteRef/>
      </w:r>
      <w:r w:rsidRPr="00DB6B82">
        <w:rPr>
          <w:rFonts w:ascii="Times New Roman" w:hAnsi="Times New Roman"/>
          <w:rtl/>
        </w:rPr>
        <w:t xml:space="preserve"> </w:t>
      </w:r>
      <w:r w:rsidRPr="00DB6B82">
        <w:rPr>
          <w:rFonts w:ascii="Times New Roman" w:hAnsi="Times New Roman" w:cs="David" w:hint="cs"/>
          <w:rtl/>
        </w:rPr>
        <w:t>סקרי ההכנסות של הלשכה המרכזית לסטטיסטיקה</w:t>
      </w:r>
      <w:r>
        <w:rPr>
          <w:rFonts w:ascii="Times New Roman" w:hAnsi="Times New Roman" w:cs="David" w:hint="cs"/>
          <w:rtl/>
        </w:rPr>
        <w:t xml:space="preserve"> מבחינים</w:t>
      </w:r>
      <w:r w:rsidRPr="00DB6B82">
        <w:rPr>
          <w:rFonts w:ascii="Times New Roman" w:hAnsi="Times New Roman" w:cs="David" w:hint="cs"/>
          <w:rtl/>
        </w:rPr>
        <w:t xml:space="preserve"> בין שבעה מחוזות: ירושלים, הצפון, חיפה, המרכז, תל</w:t>
      </w:r>
      <w:r>
        <w:rPr>
          <w:rFonts w:ascii="Times New Roman" w:hAnsi="Times New Roman" w:cs="David" w:hint="cs"/>
          <w:rtl/>
        </w:rPr>
        <w:t xml:space="preserve"> </w:t>
      </w:r>
      <w:r w:rsidRPr="00DB6B82">
        <w:rPr>
          <w:rFonts w:ascii="Times New Roman" w:hAnsi="Times New Roman" w:cs="David" w:hint="cs"/>
          <w:rtl/>
        </w:rPr>
        <w:t xml:space="preserve">אביב, הדרום ויהודה ושומרון. הנתונים </w:t>
      </w:r>
      <w:r>
        <w:rPr>
          <w:rFonts w:ascii="Times New Roman" w:hAnsi="Times New Roman" w:cs="David" w:hint="cs"/>
          <w:rtl/>
        </w:rPr>
        <w:t xml:space="preserve">על </w:t>
      </w:r>
      <w:r w:rsidRPr="00DB6B82">
        <w:rPr>
          <w:rFonts w:ascii="Times New Roman" w:hAnsi="Times New Roman" w:cs="David" w:hint="cs"/>
          <w:rtl/>
        </w:rPr>
        <w:t>אזור יהודה ושומרון סובלים מהיעדר</w:t>
      </w:r>
      <w:r>
        <w:rPr>
          <w:rFonts w:ascii="Times New Roman" w:hAnsi="Times New Roman" w:cs="David" w:hint="cs"/>
          <w:rtl/>
        </w:rPr>
        <w:t xml:space="preserve"> </w:t>
      </w:r>
      <w:r w:rsidRPr="00DB6B82">
        <w:rPr>
          <w:rFonts w:ascii="Times New Roman" w:hAnsi="Times New Roman" w:cs="David" w:hint="cs"/>
          <w:rtl/>
        </w:rPr>
        <w:t xml:space="preserve">או </w:t>
      </w:r>
      <w:r>
        <w:rPr>
          <w:rFonts w:ascii="Times New Roman" w:hAnsi="Times New Roman" w:cs="David" w:hint="cs"/>
          <w:rtl/>
        </w:rPr>
        <w:t>מ</w:t>
      </w:r>
      <w:r w:rsidRPr="00DB6B82">
        <w:rPr>
          <w:rFonts w:ascii="Times New Roman" w:hAnsi="Times New Roman" w:cs="David" w:hint="cs"/>
          <w:rtl/>
        </w:rPr>
        <w:t>מיעוט תצפיות בחלק מהשנים</w:t>
      </w:r>
      <w:r>
        <w:rPr>
          <w:rFonts w:ascii="Times New Roman" w:hAnsi="Times New Roman" w:cs="David" w:hint="cs"/>
          <w:rtl/>
        </w:rPr>
        <w:t>,</w:t>
      </w:r>
      <w:r w:rsidRPr="00DB6B82">
        <w:rPr>
          <w:rFonts w:ascii="Times New Roman" w:hAnsi="Times New Roman" w:cs="David" w:hint="cs"/>
          <w:rtl/>
        </w:rPr>
        <w:t xml:space="preserve"> ולכן </w:t>
      </w:r>
      <w:r>
        <w:rPr>
          <w:rFonts w:ascii="Times New Roman" w:hAnsi="Times New Roman" w:cs="David" w:hint="cs"/>
          <w:rtl/>
        </w:rPr>
        <w:t>האזור</w:t>
      </w:r>
      <w:r w:rsidRPr="00DB6B82">
        <w:rPr>
          <w:rFonts w:ascii="Times New Roman" w:hAnsi="Times New Roman" w:cs="David" w:hint="cs"/>
          <w:rtl/>
        </w:rPr>
        <w:t xml:space="preserve"> הושמט מהחישובים. סקרי ההכנסות כוללים </w:t>
      </w:r>
      <w:r>
        <w:rPr>
          <w:rFonts w:ascii="Times New Roman" w:hAnsi="Times New Roman" w:cs="David" w:hint="cs"/>
          <w:rtl/>
        </w:rPr>
        <w:t xml:space="preserve">את </w:t>
      </w:r>
      <w:r w:rsidRPr="00DB6B82">
        <w:rPr>
          <w:rFonts w:ascii="Times New Roman" w:hAnsi="Times New Roman" w:cs="David" w:hint="cs"/>
          <w:rtl/>
        </w:rPr>
        <w:t xml:space="preserve">משתנה </w:t>
      </w:r>
      <w:r>
        <w:rPr>
          <w:rFonts w:ascii="Times New Roman" w:hAnsi="Times New Roman" w:cs="David" w:hint="cs"/>
          <w:rtl/>
        </w:rPr>
        <w:t>ה</w:t>
      </w:r>
      <w:r w:rsidRPr="00DB6B82">
        <w:rPr>
          <w:rFonts w:ascii="Times New Roman" w:hAnsi="Times New Roman" w:cs="David" w:hint="cs"/>
          <w:rtl/>
        </w:rPr>
        <w:t xml:space="preserve">חלוקה למחוזות החל משנת 2004. </w:t>
      </w:r>
      <w:r>
        <w:rPr>
          <w:rFonts w:ascii="Times New Roman" w:hAnsi="Times New Roman" w:cs="David" w:hint="cs"/>
          <w:rtl/>
        </w:rPr>
        <w:t>עד אז</w:t>
      </w:r>
      <w:r w:rsidRPr="00DB6B82">
        <w:rPr>
          <w:rFonts w:ascii="Times New Roman" w:hAnsi="Times New Roman" w:cs="David" w:hint="cs"/>
          <w:rtl/>
        </w:rPr>
        <w:t xml:space="preserve"> סווגו התצפיות לפי מחוזות באמצעות התאמה בין סמל ה</w:t>
      </w:r>
      <w:r>
        <w:rPr>
          <w:rFonts w:ascii="Times New Roman" w:hAnsi="Times New Roman" w:cs="David" w:hint="cs"/>
          <w:rtl/>
        </w:rPr>
        <w:t>י</w:t>
      </w:r>
      <w:r w:rsidRPr="00DB6B82">
        <w:rPr>
          <w:rFonts w:ascii="Times New Roman" w:hAnsi="Times New Roman" w:cs="David" w:hint="cs"/>
          <w:rtl/>
        </w:rPr>
        <w:t xml:space="preserve">ישוב למחוז </w:t>
      </w:r>
      <w:r>
        <w:rPr>
          <w:rFonts w:ascii="Times New Roman" w:hAnsi="Times New Roman" w:cs="David" w:hint="cs"/>
          <w:rtl/>
        </w:rPr>
        <w:t xml:space="preserve">שהוא </w:t>
      </w:r>
      <w:r w:rsidRPr="00DB6B82">
        <w:rPr>
          <w:rFonts w:ascii="Times New Roman" w:hAnsi="Times New Roman" w:cs="David" w:hint="cs"/>
          <w:rtl/>
        </w:rPr>
        <w:t>שייך לו.</w:t>
      </w:r>
      <w:r w:rsidRPr="00DB6B82">
        <w:rPr>
          <w:rFonts w:ascii="Times New Roman" w:hAnsi="Times New Roman" w:hint="cs"/>
          <w:rtl/>
        </w:rPr>
        <w:t xml:space="preserve"> </w:t>
      </w:r>
      <w:r w:rsidRPr="00DB6B82">
        <w:rPr>
          <w:rFonts w:ascii="Times New Roman" w:hAnsi="Times New Roman" w:cs="David"/>
          <w:rtl/>
        </w:rPr>
        <w:t>לכ-15</w:t>
      </w:r>
      <w:r>
        <w:rPr>
          <w:rFonts w:ascii="Times New Roman" w:hAnsi="Times New Roman" w:cs="David" w:hint="cs"/>
          <w:rtl/>
        </w:rPr>
        <w:t>%</w:t>
      </w:r>
      <w:r w:rsidRPr="00DB6B82">
        <w:rPr>
          <w:rFonts w:ascii="Times New Roman" w:hAnsi="Times New Roman" w:cs="David"/>
          <w:rtl/>
        </w:rPr>
        <w:t xml:space="preserve"> מהמדגם לא היה </w:t>
      </w:r>
      <w:r>
        <w:rPr>
          <w:rFonts w:ascii="Times New Roman" w:hAnsi="Times New Roman" w:cs="David" w:hint="cs"/>
          <w:rtl/>
        </w:rPr>
        <w:t xml:space="preserve">בשנים אלה </w:t>
      </w:r>
      <w:r w:rsidRPr="00DB6B82">
        <w:rPr>
          <w:rFonts w:ascii="Times New Roman" w:hAnsi="Times New Roman" w:cs="David"/>
          <w:rtl/>
        </w:rPr>
        <w:t xml:space="preserve">סמל </w:t>
      </w:r>
      <w:r>
        <w:rPr>
          <w:rFonts w:ascii="Times New Roman" w:hAnsi="Times New Roman" w:cs="David" w:hint="cs"/>
          <w:rtl/>
        </w:rPr>
        <w:t>י</w:t>
      </w:r>
      <w:r w:rsidRPr="00DB6B82">
        <w:rPr>
          <w:rFonts w:ascii="Times New Roman" w:hAnsi="Times New Roman" w:cs="David"/>
          <w:rtl/>
        </w:rPr>
        <w:t>ישוב</w:t>
      </w:r>
      <w:r>
        <w:rPr>
          <w:rFonts w:ascii="Times New Roman" w:hAnsi="Times New Roman" w:cs="David" w:hint="cs"/>
          <w:rtl/>
        </w:rPr>
        <w:t>.</w:t>
      </w:r>
      <w:r w:rsidRPr="00DB6B82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cs="David" w:hint="cs"/>
          <w:rtl/>
        </w:rPr>
        <w:t>עקב</w:t>
      </w:r>
      <w:r w:rsidRPr="00DB6B82">
        <w:rPr>
          <w:rFonts w:ascii="Times New Roman" w:hAnsi="Times New Roman" w:cs="David" w:hint="cs"/>
          <w:rtl/>
        </w:rPr>
        <w:t xml:space="preserve"> השינויים שחלו</w:t>
      </w:r>
      <w:r>
        <w:rPr>
          <w:rFonts w:ascii="Times New Roman" w:hAnsi="Times New Roman" w:cs="David" w:hint="cs"/>
          <w:rtl/>
        </w:rPr>
        <w:t xml:space="preserve"> ב-2012</w:t>
      </w:r>
      <w:r w:rsidRPr="00DB6B82">
        <w:rPr>
          <w:rFonts w:ascii="Times New Roman" w:hAnsi="Times New Roman" w:cs="David" w:hint="cs"/>
          <w:rtl/>
        </w:rPr>
        <w:t xml:space="preserve"> בסקרי </w:t>
      </w:r>
      <w:r>
        <w:rPr>
          <w:rFonts w:ascii="Times New Roman" w:hAnsi="Times New Roman" w:cs="David" w:hint="cs"/>
          <w:rtl/>
        </w:rPr>
        <w:t>ה</w:t>
      </w:r>
      <w:r w:rsidRPr="00DB6B82">
        <w:rPr>
          <w:rFonts w:ascii="Times New Roman" w:hAnsi="Times New Roman" w:cs="David" w:hint="cs"/>
          <w:rtl/>
        </w:rPr>
        <w:t>הוצאות ו</w:t>
      </w:r>
      <w:r>
        <w:rPr>
          <w:rFonts w:ascii="Times New Roman" w:hAnsi="Times New Roman" w:cs="David" w:hint="cs"/>
          <w:rtl/>
        </w:rPr>
        <w:t>ה</w:t>
      </w:r>
      <w:r w:rsidRPr="00DB6B82">
        <w:rPr>
          <w:rFonts w:ascii="Times New Roman" w:hAnsi="Times New Roman" w:cs="David" w:hint="cs"/>
          <w:rtl/>
        </w:rPr>
        <w:t>הכנסות</w:t>
      </w:r>
      <w:r>
        <w:rPr>
          <w:rFonts w:ascii="Times New Roman" w:hAnsi="Times New Roman" w:cs="David" w:hint="cs"/>
          <w:rtl/>
        </w:rPr>
        <w:t>,</w:t>
      </w:r>
      <w:r w:rsidRPr="00DB6B82">
        <w:rPr>
          <w:rFonts w:ascii="Times New Roman" w:hAnsi="Times New Roman" w:cs="David" w:hint="cs"/>
          <w:rtl/>
        </w:rPr>
        <w:t xml:space="preserve"> לא ניתן לעמוד על ההתפתחויות </w:t>
      </w:r>
      <w:r>
        <w:rPr>
          <w:rFonts w:ascii="Times New Roman" w:hAnsi="Times New Roman" w:cs="David" w:hint="cs"/>
          <w:rtl/>
        </w:rPr>
        <w:t xml:space="preserve">שהתרחשו אחרי </w:t>
      </w:r>
      <w:r w:rsidRPr="00DB6B82">
        <w:rPr>
          <w:rFonts w:ascii="Times New Roman" w:hAnsi="Times New Roman" w:cs="David" w:hint="cs"/>
          <w:rtl/>
        </w:rPr>
        <w:t xml:space="preserve">שנת 2011.   </w:t>
      </w:r>
    </w:p>
  </w:footnote>
  <w:footnote w:id="4">
    <w:p w:rsidR="00DF1B41" w:rsidRPr="00DB6B82" w:rsidRDefault="00DF1B41" w:rsidP="00715F0E">
      <w:pPr>
        <w:spacing w:after="0" w:line="240" w:lineRule="auto"/>
        <w:jc w:val="both"/>
        <w:rPr>
          <w:rStyle w:val="ad"/>
          <w:rFonts w:ascii="Times New Roman" w:hAnsi="Times New Roman" w:cs="David"/>
          <w:sz w:val="28"/>
          <w:szCs w:val="28"/>
          <w:rtl/>
        </w:rPr>
      </w:pPr>
      <w:r w:rsidRPr="00DB6B82">
        <w:rPr>
          <w:rStyle w:val="ad"/>
          <w:rFonts w:ascii="Times New Roman" w:hAnsi="Times New Roman" w:cs="David"/>
          <w:sz w:val="20"/>
          <w:szCs w:val="20"/>
        </w:rPr>
        <w:footnoteRef/>
      </w:r>
      <w:r w:rsidRPr="00DB6B82">
        <w:rPr>
          <w:rStyle w:val="ad"/>
          <w:rFonts w:ascii="Times New Roman" w:hAnsi="Times New Roman" w:cs="David"/>
          <w:sz w:val="20"/>
          <w:szCs w:val="20"/>
          <w:rtl/>
        </w:rPr>
        <w:t xml:space="preserve"> </w:t>
      </w:r>
      <w:r w:rsidRPr="00411A81">
        <w:rPr>
          <w:rStyle w:val="ad"/>
          <w:rFonts w:ascii="Times New Roman" w:hAnsi="Times New Roman" w:cs="David" w:hint="cs"/>
          <w:sz w:val="20"/>
          <w:szCs w:val="20"/>
          <w:vertAlign w:val="baseline"/>
          <w:rtl/>
        </w:rPr>
        <w:t xml:space="preserve">בשנת 2005 נוספו </w:t>
      </w:r>
      <w:r>
        <w:rPr>
          <w:rStyle w:val="ad"/>
          <w:rFonts w:ascii="Times New Roman" w:hAnsi="Times New Roman" w:cs="David" w:hint="cs"/>
          <w:sz w:val="20"/>
          <w:szCs w:val="20"/>
          <w:vertAlign w:val="baseline"/>
          <w:rtl/>
        </w:rPr>
        <w:t xml:space="preserve">כמה יישובים בדרום ובצפון </w:t>
      </w:r>
      <w:r w:rsidRPr="00411A81">
        <w:rPr>
          <w:rStyle w:val="ad"/>
          <w:rFonts w:ascii="Times New Roman" w:hAnsi="Times New Roman" w:cs="David" w:hint="cs"/>
          <w:sz w:val="20"/>
          <w:szCs w:val="20"/>
          <w:vertAlign w:val="baseline"/>
          <w:rtl/>
        </w:rPr>
        <w:t>לרשימת ה</w:t>
      </w:r>
      <w:r>
        <w:rPr>
          <w:rFonts w:ascii="Times New Roman" w:hAnsi="Times New Roman" w:cs="David" w:hint="cs"/>
          <w:sz w:val="20"/>
          <w:szCs w:val="20"/>
          <w:rtl/>
        </w:rPr>
        <w:t>י</w:t>
      </w:r>
      <w:r w:rsidRPr="00411A81">
        <w:rPr>
          <w:rStyle w:val="ad"/>
          <w:rFonts w:ascii="Times New Roman" w:hAnsi="Times New Roman" w:cs="David" w:hint="cs"/>
          <w:sz w:val="20"/>
          <w:szCs w:val="20"/>
          <w:vertAlign w:val="baseline"/>
          <w:rtl/>
        </w:rPr>
        <w:t>ישובים הזכאים להטבות במס. בשנת 2012 נוספה הקלה לתושבי העיר אילת</w:t>
      </w:r>
      <w:r>
        <w:rPr>
          <w:rStyle w:val="ad"/>
          <w:rFonts w:ascii="Times New Roman" w:hAnsi="Times New Roman" w:cs="David" w:hint="cs"/>
          <w:sz w:val="20"/>
          <w:szCs w:val="20"/>
          <w:vertAlign w:val="baseline"/>
          <w:rtl/>
        </w:rPr>
        <w:t>,</w:t>
      </w:r>
      <w:r w:rsidRPr="00411A81">
        <w:rPr>
          <w:rStyle w:val="ad"/>
          <w:rFonts w:ascii="Times New Roman" w:hAnsi="Times New Roman" w:cs="David" w:hint="cs"/>
          <w:sz w:val="20"/>
          <w:szCs w:val="20"/>
          <w:vertAlign w:val="baseline"/>
          <w:rtl/>
        </w:rPr>
        <w:t xml:space="preserve"> במסגרת חוק אז</w:t>
      </w:r>
      <w:r w:rsidRPr="00A2780D">
        <w:rPr>
          <w:rStyle w:val="ad"/>
          <w:rFonts w:ascii="Times New Roman" w:hAnsi="Times New Roman" w:cs="David" w:hint="cs"/>
          <w:sz w:val="20"/>
          <w:szCs w:val="20"/>
          <w:vertAlign w:val="baseline"/>
          <w:rtl/>
        </w:rPr>
        <w:t>ור סחר חופשי.</w:t>
      </w:r>
      <w:r w:rsidRPr="00DB6B82">
        <w:rPr>
          <w:rFonts w:ascii="Times New Roman" w:hAnsi="Times New Roman" w:cs="David" w:hint="cs"/>
          <w:sz w:val="20"/>
          <w:szCs w:val="20"/>
          <w:rtl/>
        </w:rPr>
        <w:t xml:space="preserve"> בשנת 2009 החליטה הממשלה על מתווה להפחתה הדרגתית של הזיכוי </w:t>
      </w:r>
      <w:r w:rsidR="00604CF7">
        <w:rPr>
          <w:rFonts w:ascii="Times New Roman" w:hAnsi="Times New Roman" w:cs="David" w:hint="cs"/>
          <w:sz w:val="20"/>
          <w:szCs w:val="20"/>
          <w:rtl/>
        </w:rPr>
        <w:t>מ</w:t>
      </w:r>
      <w:r w:rsidRPr="00DB6B82">
        <w:rPr>
          <w:rFonts w:ascii="Times New Roman" w:hAnsi="Times New Roman" w:cs="David" w:hint="cs"/>
          <w:sz w:val="20"/>
          <w:szCs w:val="20"/>
          <w:rtl/>
        </w:rPr>
        <w:t>מס הניתן ל</w:t>
      </w:r>
      <w:r>
        <w:rPr>
          <w:rFonts w:ascii="Times New Roman" w:hAnsi="Times New Roman" w:cs="David" w:hint="cs"/>
          <w:sz w:val="20"/>
          <w:szCs w:val="20"/>
          <w:rtl/>
        </w:rPr>
        <w:t>י</w:t>
      </w:r>
      <w:r w:rsidRPr="00DB6B82">
        <w:rPr>
          <w:rFonts w:ascii="Times New Roman" w:hAnsi="Times New Roman" w:cs="David" w:hint="cs"/>
          <w:sz w:val="20"/>
          <w:szCs w:val="20"/>
          <w:rtl/>
        </w:rPr>
        <w:t>ישובים</w:t>
      </w:r>
      <w:r w:rsidR="00604CF7">
        <w:rPr>
          <w:rFonts w:ascii="Times New Roman" w:hAnsi="Times New Roman" w:cs="David" w:hint="cs"/>
          <w:sz w:val="20"/>
          <w:szCs w:val="20"/>
          <w:rtl/>
        </w:rPr>
        <w:t xml:space="preserve">, והוא מתייחס </w:t>
      </w:r>
      <w:r w:rsidRPr="00DB6B82">
        <w:rPr>
          <w:rFonts w:ascii="Times New Roman" w:hAnsi="Times New Roman" w:cs="David" w:hint="cs"/>
          <w:sz w:val="20"/>
          <w:szCs w:val="20"/>
          <w:rtl/>
        </w:rPr>
        <w:t>לשנים</w:t>
      </w:r>
      <w:r w:rsidR="00604CF7">
        <w:rPr>
          <w:rFonts w:ascii="Times New Roman" w:hAnsi="Times New Roman" w:cs="David" w:hint="cs"/>
          <w:sz w:val="20"/>
          <w:szCs w:val="20"/>
          <w:rtl/>
        </w:rPr>
        <w:t xml:space="preserve"> 2012</w:t>
      </w:r>
      <w:r w:rsidR="00604CF7">
        <w:rPr>
          <w:rFonts w:ascii="Times New Roman" w:hAnsi="Times New Roman" w:cs="David"/>
          <w:sz w:val="20"/>
          <w:szCs w:val="20"/>
          <w:rtl/>
        </w:rPr>
        <w:t>—</w:t>
      </w:r>
      <w:r w:rsidR="00604CF7">
        <w:rPr>
          <w:rFonts w:ascii="Times New Roman" w:hAnsi="Times New Roman" w:cs="David" w:hint="cs"/>
          <w:sz w:val="20"/>
          <w:szCs w:val="20"/>
          <w:rtl/>
        </w:rPr>
        <w:t>2016</w:t>
      </w:r>
      <w:r w:rsidRPr="00DB6B82">
        <w:rPr>
          <w:rFonts w:ascii="Times New Roman" w:hAnsi="Times New Roman" w:cs="David" w:hint="cs"/>
          <w:sz w:val="20"/>
          <w:szCs w:val="20"/>
          <w:rtl/>
        </w:rPr>
        <w:t xml:space="preserve">. הרחבה </w:t>
      </w:r>
      <w:r>
        <w:rPr>
          <w:rFonts w:ascii="Times New Roman" w:hAnsi="Times New Roman" w:cs="David" w:hint="cs"/>
          <w:sz w:val="20"/>
          <w:szCs w:val="20"/>
          <w:rtl/>
        </w:rPr>
        <w:t xml:space="preserve">מופיעה </w:t>
      </w:r>
      <w:r w:rsidR="00DB0170">
        <w:rPr>
          <w:rFonts w:ascii="Times New Roman" w:hAnsi="Times New Roman" w:cs="David" w:hint="cs"/>
          <w:sz w:val="20"/>
          <w:szCs w:val="20"/>
          <w:rtl/>
        </w:rPr>
        <w:t xml:space="preserve">בסעיף 11 של </w:t>
      </w:r>
      <w:r w:rsidRPr="00DB6B82">
        <w:rPr>
          <w:rFonts w:ascii="Times New Roman" w:hAnsi="Times New Roman" w:cs="David" w:hint="cs"/>
          <w:sz w:val="20"/>
          <w:szCs w:val="20"/>
          <w:rtl/>
        </w:rPr>
        <w:t>פקודת מס ההכנסה.</w:t>
      </w:r>
      <w:r w:rsidRPr="00DB6B82">
        <w:rPr>
          <w:rFonts w:ascii="Times New Roman" w:hAnsi="Times New Roman" w:cs="David" w:hint="cs"/>
          <w:sz w:val="28"/>
          <w:szCs w:val="28"/>
          <w:rtl/>
        </w:rPr>
        <w:t xml:space="preserve"> </w:t>
      </w:r>
    </w:p>
  </w:footnote>
  <w:footnote w:id="5">
    <w:p w:rsidR="00A22223" w:rsidRPr="00DB6B82" w:rsidRDefault="00A22223" w:rsidP="00A22223">
      <w:pPr>
        <w:pStyle w:val="ab"/>
        <w:jc w:val="both"/>
        <w:rPr>
          <w:rFonts w:ascii="Times New Roman" w:hAnsi="Times New Roman" w:cs="David"/>
          <w:rtl/>
        </w:rPr>
      </w:pPr>
      <w:r w:rsidRPr="00DB6B82">
        <w:rPr>
          <w:rStyle w:val="ad"/>
          <w:rFonts w:ascii="Times New Roman" w:hAnsi="Times New Roman" w:cs="David"/>
        </w:rPr>
        <w:footnoteRef/>
      </w:r>
      <w:r w:rsidRPr="00DB6B82">
        <w:rPr>
          <w:rFonts w:ascii="Times New Roman" w:hAnsi="Times New Roman" w:cs="David"/>
          <w:rtl/>
        </w:rPr>
        <w:t xml:space="preserve"> </w:t>
      </w:r>
      <w:r>
        <w:rPr>
          <w:rFonts w:ascii="Times New Roman" w:hAnsi="Times New Roman" w:cs="David" w:hint="cs"/>
          <w:rtl/>
        </w:rPr>
        <w:t>לשם</w:t>
      </w:r>
      <w:r w:rsidRPr="00DB6B82">
        <w:rPr>
          <w:rFonts w:ascii="Times New Roman" w:hAnsi="Times New Roman" w:cs="David" w:hint="cs"/>
          <w:rtl/>
        </w:rPr>
        <w:t xml:space="preserve"> המחשה של סדרי </w:t>
      </w:r>
      <w:r>
        <w:rPr>
          <w:rFonts w:ascii="Times New Roman" w:hAnsi="Times New Roman" w:cs="David" w:hint="cs"/>
          <w:rtl/>
        </w:rPr>
        <w:t>ה</w:t>
      </w:r>
      <w:r w:rsidRPr="00DB6B82">
        <w:rPr>
          <w:rFonts w:ascii="Times New Roman" w:hAnsi="Times New Roman" w:cs="David" w:hint="cs"/>
          <w:rtl/>
        </w:rPr>
        <w:t xml:space="preserve">גודל במדד </w:t>
      </w:r>
      <w:proofErr w:type="spellStart"/>
      <w:r w:rsidRPr="00DB6B82">
        <w:rPr>
          <w:rFonts w:ascii="Times New Roman" w:hAnsi="Times New Roman" w:cs="David" w:hint="cs"/>
          <w:rtl/>
        </w:rPr>
        <w:t>תייל</w:t>
      </w:r>
      <w:proofErr w:type="spellEnd"/>
      <w:r w:rsidRPr="00DB6B82">
        <w:rPr>
          <w:rFonts w:ascii="Times New Roman" w:hAnsi="Times New Roman" w:cs="David" w:hint="cs"/>
          <w:rtl/>
        </w:rPr>
        <w:t xml:space="preserve">: </w:t>
      </w:r>
      <w:r w:rsidRPr="00DB6B82">
        <w:rPr>
          <w:rFonts w:ascii="Times New Roman" w:hAnsi="Times New Roman" w:cstheme="majorBidi"/>
        </w:rPr>
        <w:t>Akita</w:t>
      </w:r>
      <w:r w:rsidRPr="00DB6B82">
        <w:rPr>
          <w:rFonts w:ascii="Times New Roman" w:hAnsi="Times New Roman" w:cstheme="majorBidi"/>
          <w:rtl/>
        </w:rPr>
        <w:t xml:space="preserve"> </w:t>
      </w:r>
      <w:r w:rsidRPr="00DB6B82">
        <w:rPr>
          <w:rFonts w:ascii="Times New Roman" w:hAnsi="Times New Roman" w:cs="David" w:hint="cs"/>
          <w:rtl/>
        </w:rPr>
        <w:t xml:space="preserve">(2000) מוצא כי בין </w:t>
      </w:r>
      <w:r>
        <w:rPr>
          <w:rFonts w:ascii="Times New Roman" w:hAnsi="Times New Roman" w:cs="David" w:hint="cs"/>
          <w:rtl/>
        </w:rPr>
        <w:t>1990 ל-1994</w:t>
      </w:r>
      <w:r w:rsidRPr="00DB6B82">
        <w:rPr>
          <w:rFonts w:ascii="Times New Roman" w:hAnsi="Times New Roman" w:cs="David" w:hint="cs"/>
          <w:rtl/>
        </w:rPr>
        <w:t xml:space="preserve"> עלה אי-השוויון בין המחוזות בסין בצורה חדה ובשיעור של כ-3 נקודות אחוז (0.029 במספרים מוחלטים). </w:t>
      </w:r>
      <w:proofErr w:type="spellStart"/>
      <w:r w:rsidRPr="00DB6B82">
        <w:rPr>
          <w:rFonts w:ascii="Times New Roman" w:hAnsi="Times New Roman" w:cstheme="majorBidi"/>
        </w:rPr>
        <w:t>Milanovic</w:t>
      </w:r>
      <w:proofErr w:type="spellEnd"/>
      <w:r w:rsidRPr="00DB6B82">
        <w:rPr>
          <w:rFonts w:ascii="Times New Roman" w:hAnsi="Times New Roman" w:cs="David" w:hint="cs"/>
          <w:rtl/>
        </w:rPr>
        <w:t xml:space="preserve"> (2005) בוחן את התפתחות מדד </w:t>
      </w:r>
      <w:proofErr w:type="spellStart"/>
      <w:r w:rsidRPr="00DB6B82">
        <w:rPr>
          <w:rFonts w:ascii="Times New Roman" w:hAnsi="Times New Roman" w:cs="David" w:hint="cs"/>
          <w:rtl/>
        </w:rPr>
        <w:t>תייל</w:t>
      </w:r>
      <w:proofErr w:type="spellEnd"/>
      <w:r w:rsidRPr="00DB6B82">
        <w:rPr>
          <w:rFonts w:ascii="Times New Roman" w:hAnsi="Times New Roman" w:cs="David" w:hint="cs"/>
          <w:rtl/>
        </w:rPr>
        <w:t xml:space="preserve"> לאי-השוויון בין מחוזות במספר מדינות מרכזיות בעולם</w:t>
      </w:r>
      <w:r>
        <w:rPr>
          <w:rFonts w:ascii="Times New Roman" w:hAnsi="Times New Roman" w:cs="David" w:hint="cs"/>
          <w:rtl/>
        </w:rPr>
        <w:t>,</w:t>
      </w:r>
      <w:r w:rsidRPr="00DB6B82">
        <w:rPr>
          <w:rFonts w:ascii="Times New Roman" w:hAnsi="Times New Roman" w:cs="David" w:hint="cs"/>
          <w:rtl/>
        </w:rPr>
        <w:t xml:space="preserve"> ומצביע על </w:t>
      </w:r>
      <w:r>
        <w:rPr>
          <w:rFonts w:ascii="Times New Roman" w:hAnsi="Times New Roman" w:cs="David" w:hint="cs"/>
          <w:rtl/>
        </w:rPr>
        <w:t xml:space="preserve">כך שבין 1990 ל-2000 חלה </w:t>
      </w:r>
      <w:r w:rsidRPr="00DB6B82">
        <w:rPr>
          <w:rFonts w:ascii="Times New Roman" w:hAnsi="Times New Roman" w:cs="David" w:hint="cs"/>
          <w:rtl/>
        </w:rPr>
        <w:t xml:space="preserve">בהודו ובסין </w:t>
      </w:r>
      <w:r>
        <w:rPr>
          <w:rFonts w:ascii="Times New Roman" w:hAnsi="Times New Roman" w:cs="David" w:hint="cs"/>
          <w:rtl/>
        </w:rPr>
        <w:t xml:space="preserve">עלייה </w:t>
      </w:r>
      <w:r>
        <w:rPr>
          <w:rFonts w:ascii="Times New Roman" w:hAnsi="Times New Roman" w:cs="David"/>
          <w:rtl/>
        </w:rPr>
        <w:t>–</w:t>
      </w:r>
      <w:r>
        <w:rPr>
          <w:rFonts w:ascii="Times New Roman" w:hAnsi="Times New Roman" w:cs="David" w:hint="cs"/>
          <w:rtl/>
        </w:rPr>
        <w:t xml:space="preserve"> ו</w:t>
      </w:r>
      <w:r w:rsidRPr="00DB6B82">
        <w:rPr>
          <w:rFonts w:ascii="Times New Roman" w:hAnsi="Times New Roman" w:cs="David" w:hint="cs"/>
          <w:rtl/>
        </w:rPr>
        <w:t xml:space="preserve">בברזיל </w:t>
      </w:r>
      <w:r>
        <w:rPr>
          <w:rFonts w:ascii="Times New Roman" w:hAnsi="Times New Roman" w:cs="David" w:hint="cs"/>
          <w:rtl/>
        </w:rPr>
        <w:t xml:space="preserve">ירידה </w:t>
      </w:r>
      <w:proofErr w:type="gramStart"/>
      <w:r>
        <w:rPr>
          <w:rFonts w:ascii="Times New Roman" w:hAnsi="Times New Roman" w:cs="David"/>
          <w:rtl/>
        </w:rPr>
        <w:t>–</w:t>
      </w:r>
      <w:r>
        <w:rPr>
          <w:rFonts w:ascii="Times New Roman" w:hAnsi="Times New Roman" w:cs="David" w:hint="cs"/>
          <w:rtl/>
        </w:rPr>
        <w:t xml:space="preserve"> </w:t>
      </w:r>
      <w:r w:rsidRPr="00DB6B82">
        <w:rPr>
          <w:rFonts w:ascii="Times New Roman" w:hAnsi="Times New Roman" w:cs="David" w:hint="cs"/>
          <w:rtl/>
        </w:rPr>
        <w:t xml:space="preserve"> של</w:t>
      </w:r>
      <w:proofErr w:type="gramEnd"/>
      <w:r>
        <w:rPr>
          <w:rFonts w:ascii="Times New Roman" w:hAnsi="Times New Roman" w:cs="David" w:hint="cs"/>
          <w:rtl/>
        </w:rPr>
        <w:t xml:space="preserve"> 3</w:t>
      </w:r>
      <w:r>
        <w:rPr>
          <w:rFonts w:ascii="Times New Roman" w:hAnsi="Times New Roman" w:cs="David"/>
          <w:rtl/>
        </w:rPr>
        <w:t>—</w:t>
      </w:r>
      <w:r>
        <w:rPr>
          <w:rFonts w:ascii="Times New Roman" w:hAnsi="Times New Roman" w:cs="David" w:hint="cs"/>
          <w:rtl/>
        </w:rPr>
        <w:t xml:space="preserve">5 </w:t>
      </w:r>
      <w:r w:rsidRPr="00DB6B82">
        <w:rPr>
          <w:rFonts w:ascii="Times New Roman" w:hAnsi="Times New Roman" w:cs="David" w:hint="cs"/>
          <w:rtl/>
        </w:rPr>
        <w:t xml:space="preserve">נקודות אחוז. אי-השוויון בין המחוזות בישראל גדל בין </w:t>
      </w:r>
      <w:r>
        <w:rPr>
          <w:rFonts w:ascii="Times New Roman" w:hAnsi="Times New Roman" w:cs="David" w:hint="cs"/>
          <w:rtl/>
        </w:rPr>
        <w:t>1998 ל-2010</w:t>
      </w:r>
      <w:r w:rsidRPr="00DB6B82">
        <w:rPr>
          <w:rFonts w:ascii="Times New Roman" w:hAnsi="Times New Roman" w:cs="David" w:hint="cs"/>
          <w:rtl/>
        </w:rPr>
        <w:t xml:space="preserve"> ב-</w:t>
      </w:r>
      <w:r w:rsidRPr="009F6ECA">
        <w:rPr>
          <w:rFonts w:ascii="Times New Roman" w:hAnsi="Times New Roman" w:cs="David"/>
          <w:rtl/>
        </w:rPr>
        <w:t xml:space="preserve">1.3 </w:t>
      </w:r>
      <w:r w:rsidRPr="009F6ECA">
        <w:rPr>
          <w:rFonts w:ascii="Times New Roman" w:hAnsi="Times New Roman" w:cs="David" w:hint="cs"/>
          <w:rtl/>
        </w:rPr>
        <w:t>נקודת</w:t>
      </w:r>
      <w:r w:rsidRPr="009F6ECA">
        <w:rPr>
          <w:rFonts w:ascii="Times New Roman" w:hAnsi="Times New Roman" w:cs="David"/>
          <w:rtl/>
        </w:rPr>
        <w:t xml:space="preserve"> </w:t>
      </w:r>
      <w:r w:rsidRPr="009F6ECA">
        <w:rPr>
          <w:rFonts w:ascii="Times New Roman" w:hAnsi="Times New Roman" w:cs="David" w:hint="cs"/>
          <w:rtl/>
        </w:rPr>
        <w:t>אחוז</w:t>
      </w:r>
      <w:r w:rsidRPr="009F6ECA">
        <w:rPr>
          <w:rFonts w:ascii="Times New Roman" w:hAnsi="Times New Roman" w:cs="David"/>
          <w:rtl/>
        </w:rPr>
        <w:t>.</w:t>
      </w:r>
      <w:r w:rsidRPr="00DB6B82">
        <w:rPr>
          <w:rFonts w:ascii="Times New Roman" w:hAnsi="Times New Roman" w:cs="David"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26" w:rsidRDefault="00C376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26" w:rsidRDefault="00C3762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26" w:rsidRDefault="00C376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180"/>
    <w:multiLevelType w:val="hybridMultilevel"/>
    <w:tmpl w:val="66DEE53C"/>
    <w:lvl w:ilvl="0" w:tplc="0409000F">
      <w:start w:val="1"/>
      <w:numFmt w:val="decimal"/>
      <w:lvlText w:val="%1."/>
      <w:lvlJc w:val="left"/>
      <w:pPr>
        <w:ind w:left="6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  <w:rPr>
        <w:rFonts w:cs="Times New Roman"/>
      </w:rPr>
    </w:lvl>
  </w:abstractNum>
  <w:abstractNum w:abstractNumId="1">
    <w:nsid w:val="05292FE5"/>
    <w:multiLevelType w:val="hybridMultilevel"/>
    <w:tmpl w:val="7DF0BCEC"/>
    <w:lvl w:ilvl="0" w:tplc="051AF1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965E5"/>
    <w:multiLevelType w:val="hybridMultilevel"/>
    <w:tmpl w:val="89AC37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115805"/>
    <w:multiLevelType w:val="hybridMultilevel"/>
    <w:tmpl w:val="EE7E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05F05"/>
    <w:multiLevelType w:val="hybridMultilevel"/>
    <w:tmpl w:val="052C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CD5A97"/>
    <w:multiLevelType w:val="hybridMultilevel"/>
    <w:tmpl w:val="49ACDD54"/>
    <w:lvl w:ilvl="0" w:tplc="04090013">
      <w:start w:val="1"/>
      <w:numFmt w:val="hebrew1"/>
      <w:lvlText w:val="%1."/>
      <w:lvlJc w:val="center"/>
      <w:pPr>
        <w:ind w:left="1080" w:hanging="360"/>
      </w:pPr>
      <w:rPr>
        <w:rFonts w:cs="Times New Roman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4024FD3"/>
    <w:multiLevelType w:val="hybridMultilevel"/>
    <w:tmpl w:val="64B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8C36B0"/>
    <w:multiLevelType w:val="hybridMultilevel"/>
    <w:tmpl w:val="875EA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B73D76"/>
    <w:multiLevelType w:val="hybridMultilevel"/>
    <w:tmpl w:val="81A61A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4233A0"/>
    <w:multiLevelType w:val="hybridMultilevel"/>
    <w:tmpl w:val="1C4291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C35A6D"/>
    <w:multiLevelType w:val="hybridMultilevel"/>
    <w:tmpl w:val="5720E6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6C5098"/>
    <w:multiLevelType w:val="hybridMultilevel"/>
    <w:tmpl w:val="1E30739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021246C"/>
    <w:multiLevelType w:val="hybridMultilevel"/>
    <w:tmpl w:val="95A8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10426"/>
    <w:multiLevelType w:val="hybridMultilevel"/>
    <w:tmpl w:val="44920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14165"/>
    <w:multiLevelType w:val="hybridMultilevel"/>
    <w:tmpl w:val="44C0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56AEC"/>
    <w:multiLevelType w:val="hybridMultilevel"/>
    <w:tmpl w:val="A03EE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B2122"/>
    <w:multiLevelType w:val="hybridMultilevel"/>
    <w:tmpl w:val="B94048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D75C8E"/>
    <w:multiLevelType w:val="hybridMultilevel"/>
    <w:tmpl w:val="F15022C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1354FD3"/>
    <w:multiLevelType w:val="hybridMultilevel"/>
    <w:tmpl w:val="BDEC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10E8E"/>
    <w:multiLevelType w:val="hybridMultilevel"/>
    <w:tmpl w:val="E3DAA4D0"/>
    <w:lvl w:ilvl="0" w:tplc="237C9E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E5624"/>
    <w:multiLevelType w:val="hybridMultilevel"/>
    <w:tmpl w:val="C772E52C"/>
    <w:lvl w:ilvl="0" w:tplc="0409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21">
    <w:nsid w:val="46C408A0"/>
    <w:multiLevelType w:val="hybridMultilevel"/>
    <w:tmpl w:val="3C96A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726584"/>
    <w:multiLevelType w:val="hybridMultilevel"/>
    <w:tmpl w:val="999096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E77BB5"/>
    <w:multiLevelType w:val="hybridMultilevel"/>
    <w:tmpl w:val="197E37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FA7510"/>
    <w:multiLevelType w:val="hybridMultilevel"/>
    <w:tmpl w:val="08447A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40040B"/>
    <w:multiLevelType w:val="hybridMultilevel"/>
    <w:tmpl w:val="A6BA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F03F6"/>
    <w:multiLevelType w:val="hybridMultilevel"/>
    <w:tmpl w:val="9C084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A3EE6"/>
    <w:multiLevelType w:val="hybridMultilevel"/>
    <w:tmpl w:val="A47E1A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211BFA"/>
    <w:multiLevelType w:val="hybridMultilevel"/>
    <w:tmpl w:val="F188A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3D3D01"/>
    <w:multiLevelType w:val="hybridMultilevel"/>
    <w:tmpl w:val="0772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C6DE8"/>
    <w:multiLevelType w:val="hybridMultilevel"/>
    <w:tmpl w:val="49A0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244198"/>
    <w:multiLevelType w:val="hybridMultilevel"/>
    <w:tmpl w:val="A1EEC9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C777D"/>
    <w:multiLevelType w:val="hybridMultilevel"/>
    <w:tmpl w:val="7B3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F211A2"/>
    <w:multiLevelType w:val="hybridMultilevel"/>
    <w:tmpl w:val="C4DC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0021AE"/>
    <w:multiLevelType w:val="hybridMultilevel"/>
    <w:tmpl w:val="BFE06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A35E9"/>
    <w:multiLevelType w:val="hybridMultilevel"/>
    <w:tmpl w:val="9586A4FA"/>
    <w:lvl w:ilvl="0" w:tplc="6FA0C35E">
      <w:start w:val="7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ascii="Times New Roman" w:eastAsia="Times New Roman" w:hAnsi="Times New Roman" w:hint="default"/>
      </w:rPr>
    </w:lvl>
    <w:lvl w:ilvl="1" w:tplc="040D0003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36">
    <w:nsid w:val="7A450E24"/>
    <w:multiLevelType w:val="hybridMultilevel"/>
    <w:tmpl w:val="4716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A9130E"/>
    <w:multiLevelType w:val="hybridMultilevel"/>
    <w:tmpl w:val="5720E6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9D1B11"/>
    <w:multiLevelType w:val="hybridMultilevel"/>
    <w:tmpl w:val="420630FA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10"/>
  </w:num>
  <w:num w:numId="4">
    <w:abstractNumId w:val="37"/>
  </w:num>
  <w:num w:numId="5">
    <w:abstractNumId w:val="25"/>
  </w:num>
  <w:num w:numId="6">
    <w:abstractNumId w:val="12"/>
  </w:num>
  <w:num w:numId="7">
    <w:abstractNumId w:val="14"/>
  </w:num>
  <w:num w:numId="8">
    <w:abstractNumId w:val="20"/>
  </w:num>
  <w:num w:numId="9">
    <w:abstractNumId w:val="0"/>
  </w:num>
  <w:num w:numId="10">
    <w:abstractNumId w:val="9"/>
  </w:num>
  <w:num w:numId="11">
    <w:abstractNumId w:val="8"/>
  </w:num>
  <w:num w:numId="12">
    <w:abstractNumId w:val="27"/>
  </w:num>
  <w:num w:numId="13">
    <w:abstractNumId w:val="4"/>
  </w:num>
  <w:num w:numId="14">
    <w:abstractNumId w:val="31"/>
  </w:num>
  <w:num w:numId="15">
    <w:abstractNumId w:val="3"/>
  </w:num>
  <w:num w:numId="16">
    <w:abstractNumId w:val="30"/>
  </w:num>
  <w:num w:numId="17">
    <w:abstractNumId w:val="24"/>
  </w:num>
  <w:num w:numId="18">
    <w:abstractNumId w:val="21"/>
  </w:num>
  <w:num w:numId="19">
    <w:abstractNumId w:val="2"/>
  </w:num>
  <w:num w:numId="20">
    <w:abstractNumId w:val="6"/>
  </w:num>
  <w:num w:numId="21">
    <w:abstractNumId w:val="23"/>
  </w:num>
  <w:num w:numId="22">
    <w:abstractNumId w:val="33"/>
  </w:num>
  <w:num w:numId="23">
    <w:abstractNumId w:val="29"/>
  </w:num>
  <w:num w:numId="24">
    <w:abstractNumId w:val="28"/>
  </w:num>
  <w:num w:numId="25">
    <w:abstractNumId w:val="22"/>
  </w:num>
  <w:num w:numId="26">
    <w:abstractNumId w:val="36"/>
  </w:num>
  <w:num w:numId="27">
    <w:abstractNumId w:val="16"/>
  </w:num>
  <w:num w:numId="28">
    <w:abstractNumId w:val="18"/>
  </w:num>
  <w:num w:numId="29">
    <w:abstractNumId w:val="35"/>
  </w:num>
  <w:num w:numId="30">
    <w:abstractNumId w:val="5"/>
  </w:num>
  <w:num w:numId="31">
    <w:abstractNumId w:val="32"/>
  </w:num>
  <w:num w:numId="32">
    <w:abstractNumId w:val="11"/>
  </w:num>
  <w:num w:numId="33">
    <w:abstractNumId w:val="17"/>
  </w:num>
  <w:num w:numId="34">
    <w:abstractNumId w:val="34"/>
  </w:num>
  <w:num w:numId="35">
    <w:abstractNumId w:val="15"/>
  </w:num>
  <w:num w:numId="36">
    <w:abstractNumId w:val="26"/>
  </w:num>
  <w:num w:numId="37">
    <w:abstractNumId w:val="13"/>
  </w:num>
  <w:num w:numId="38">
    <w:abstractNumId w:val="19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C8"/>
    <w:rsid w:val="00000555"/>
    <w:rsid w:val="00001AA6"/>
    <w:rsid w:val="00001ECC"/>
    <w:rsid w:val="000044AC"/>
    <w:rsid w:val="00006CAB"/>
    <w:rsid w:val="00006F36"/>
    <w:rsid w:val="00007C8F"/>
    <w:rsid w:val="00020A72"/>
    <w:rsid w:val="00026F96"/>
    <w:rsid w:val="00027D82"/>
    <w:rsid w:val="000313CF"/>
    <w:rsid w:val="00035C75"/>
    <w:rsid w:val="00035DFE"/>
    <w:rsid w:val="0004481F"/>
    <w:rsid w:val="000455C4"/>
    <w:rsid w:val="000473CA"/>
    <w:rsid w:val="000509B5"/>
    <w:rsid w:val="00052610"/>
    <w:rsid w:val="0005339A"/>
    <w:rsid w:val="000548BC"/>
    <w:rsid w:val="000655EF"/>
    <w:rsid w:val="000659E5"/>
    <w:rsid w:val="000668B8"/>
    <w:rsid w:val="00072596"/>
    <w:rsid w:val="00076B71"/>
    <w:rsid w:val="00081ADA"/>
    <w:rsid w:val="00083131"/>
    <w:rsid w:val="00086F09"/>
    <w:rsid w:val="000879EE"/>
    <w:rsid w:val="00090AFD"/>
    <w:rsid w:val="00091551"/>
    <w:rsid w:val="000949A8"/>
    <w:rsid w:val="00097B37"/>
    <w:rsid w:val="000A4AE0"/>
    <w:rsid w:val="000A4D3B"/>
    <w:rsid w:val="000A5394"/>
    <w:rsid w:val="000A5421"/>
    <w:rsid w:val="000B09C0"/>
    <w:rsid w:val="000C0454"/>
    <w:rsid w:val="000C0853"/>
    <w:rsid w:val="000C14CC"/>
    <w:rsid w:val="000C36FA"/>
    <w:rsid w:val="000C4020"/>
    <w:rsid w:val="000C427F"/>
    <w:rsid w:val="000C7034"/>
    <w:rsid w:val="000C747D"/>
    <w:rsid w:val="000C7D53"/>
    <w:rsid w:val="000D03F3"/>
    <w:rsid w:val="000D1527"/>
    <w:rsid w:val="000D1D93"/>
    <w:rsid w:val="000D7141"/>
    <w:rsid w:val="000E2992"/>
    <w:rsid w:val="000E2EAC"/>
    <w:rsid w:val="000E2F6F"/>
    <w:rsid w:val="000E4DA4"/>
    <w:rsid w:val="000E6593"/>
    <w:rsid w:val="000E736B"/>
    <w:rsid w:val="000F2B07"/>
    <w:rsid w:val="000F5005"/>
    <w:rsid w:val="000F63EC"/>
    <w:rsid w:val="000F74A0"/>
    <w:rsid w:val="001055E8"/>
    <w:rsid w:val="00106A2C"/>
    <w:rsid w:val="0011277A"/>
    <w:rsid w:val="00112A49"/>
    <w:rsid w:val="00112CAC"/>
    <w:rsid w:val="001130F3"/>
    <w:rsid w:val="00113E5E"/>
    <w:rsid w:val="00115DBF"/>
    <w:rsid w:val="00120250"/>
    <w:rsid w:val="00120930"/>
    <w:rsid w:val="00120C6E"/>
    <w:rsid w:val="00123E13"/>
    <w:rsid w:val="0012757F"/>
    <w:rsid w:val="00141513"/>
    <w:rsid w:val="0014477A"/>
    <w:rsid w:val="00145031"/>
    <w:rsid w:val="00145A82"/>
    <w:rsid w:val="0014618E"/>
    <w:rsid w:val="00152EBF"/>
    <w:rsid w:val="001538A9"/>
    <w:rsid w:val="001546A4"/>
    <w:rsid w:val="00154CD7"/>
    <w:rsid w:val="0015656F"/>
    <w:rsid w:val="00156E2C"/>
    <w:rsid w:val="00157869"/>
    <w:rsid w:val="001616B0"/>
    <w:rsid w:val="001616E0"/>
    <w:rsid w:val="00162428"/>
    <w:rsid w:val="0016315D"/>
    <w:rsid w:val="00163404"/>
    <w:rsid w:val="001646DF"/>
    <w:rsid w:val="001667B5"/>
    <w:rsid w:val="00166F71"/>
    <w:rsid w:val="00167B30"/>
    <w:rsid w:val="0017074E"/>
    <w:rsid w:val="00171DE8"/>
    <w:rsid w:val="00174F7A"/>
    <w:rsid w:val="001771FE"/>
    <w:rsid w:val="001775BA"/>
    <w:rsid w:val="00180A7A"/>
    <w:rsid w:val="00180E48"/>
    <w:rsid w:val="0018239B"/>
    <w:rsid w:val="00184357"/>
    <w:rsid w:val="001843FC"/>
    <w:rsid w:val="0018508C"/>
    <w:rsid w:val="00185CB8"/>
    <w:rsid w:val="0018767B"/>
    <w:rsid w:val="00187B21"/>
    <w:rsid w:val="00192676"/>
    <w:rsid w:val="00194760"/>
    <w:rsid w:val="001A5905"/>
    <w:rsid w:val="001A6CBC"/>
    <w:rsid w:val="001B1174"/>
    <w:rsid w:val="001B142A"/>
    <w:rsid w:val="001B1E3A"/>
    <w:rsid w:val="001B4D23"/>
    <w:rsid w:val="001B5BDD"/>
    <w:rsid w:val="001C0AFE"/>
    <w:rsid w:val="001C1C68"/>
    <w:rsid w:val="001C2426"/>
    <w:rsid w:val="001C4AB2"/>
    <w:rsid w:val="001C5C42"/>
    <w:rsid w:val="001C5CAE"/>
    <w:rsid w:val="001D03AC"/>
    <w:rsid w:val="001D1DEA"/>
    <w:rsid w:val="001D3D62"/>
    <w:rsid w:val="001D4BFC"/>
    <w:rsid w:val="001E1064"/>
    <w:rsid w:val="001E1C15"/>
    <w:rsid w:val="001E38CB"/>
    <w:rsid w:val="001E5174"/>
    <w:rsid w:val="001E5C9E"/>
    <w:rsid w:val="001E6CB2"/>
    <w:rsid w:val="001E7B42"/>
    <w:rsid w:val="001F2DC2"/>
    <w:rsid w:val="001F5769"/>
    <w:rsid w:val="001F62AF"/>
    <w:rsid w:val="0020048D"/>
    <w:rsid w:val="002006A4"/>
    <w:rsid w:val="00207F19"/>
    <w:rsid w:val="002115D0"/>
    <w:rsid w:val="00213467"/>
    <w:rsid w:val="00213F34"/>
    <w:rsid w:val="0021512E"/>
    <w:rsid w:val="00220A34"/>
    <w:rsid w:val="0022127A"/>
    <w:rsid w:val="00224B74"/>
    <w:rsid w:val="0023030A"/>
    <w:rsid w:val="00233CA4"/>
    <w:rsid w:val="00234FD6"/>
    <w:rsid w:val="00235FAC"/>
    <w:rsid w:val="0023639D"/>
    <w:rsid w:val="0024306E"/>
    <w:rsid w:val="002466DF"/>
    <w:rsid w:val="00252157"/>
    <w:rsid w:val="002522CF"/>
    <w:rsid w:val="00252C52"/>
    <w:rsid w:val="00252D41"/>
    <w:rsid w:val="002535B7"/>
    <w:rsid w:val="00253731"/>
    <w:rsid w:val="00253A61"/>
    <w:rsid w:val="00253B07"/>
    <w:rsid w:val="00256AB6"/>
    <w:rsid w:val="00260DCE"/>
    <w:rsid w:val="0026390C"/>
    <w:rsid w:val="00263CB6"/>
    <w:rsid w:val="00263FCA"/>
    <w:rsid w:val="00265159"/>
    <w:rsid w:val="00270DD0"/>
    <w:rsid w:val="00272B67"/>
    <w:rsid w:val="00272C00"/>
    <w:rsid w:val="002760CB"/>
    <w:rsid w:val="00276BC0"/>
    <w:rsid w:val="00276EC7"/>
    <w:rsid w:val="0027768F"/>
    <w:rsid w:val="00281EEA"/>
    <w:rsid w:val="00282BF9"/>
    <w:rsid w:val="0028334A"/>
    <w:rsid w:val="0028514D"/>
    <w:rsid w:val="00286481"/>
    <w:rsid w:val="00287A5C"/>
    <w:rsid w:val="00292FB3"/>
    <w:rsid w:val="0029332C"/>
    <w:rsid w:val="00294553"/>
    <w:rsid w:val="002969C6"/>
    <w:rsid w:val="00296FCE"/>
    <w:rsid w:val="00297898"/>
    <w:rsid w:val="002A0546"/>
    <w:rsid w:val="002A1A87"/>
    <w:rsid w:val="002A1FAD"/>
    <w:rsid w:val="002B246B"/>
    <w:rsid w:val="002B2ED2"/>
    <w:rsid w:val="002B4DBF"/>
    <w:rsid w:val="002C074D"/>
    <w:rsid w:val="002C20A2"/>
    <w:rsid w:val="002C2BA2"/>
    <w:rsid w:val="002C32A4"/>
    <w:rsid w:val="002C426C"/>
    <w:rsid w:val="002C4547"/>
    <w:rsid w:val="002C5E82"/>
    <w:rsid w:val="002C5FA5"/>
    <w:rsid w:val="002C7A9A"/>
    <w:rsid w:val="002D41BB"/>
    <w:rsid w:val="002D4E2F"/>
    <w:rsid w:val="002D5557"/>
    <w:rsid w:val="002D7A6A"/>
    <w:rsid w:val="002E19DC"/>
    <w:rsid w:val="002E1CB7"/>
    <w:rsid w:val="002E2AFF"/>
    <w:rsid w:val="002E39CB"/>
    <w:rsid w:val="002E4EAD"/>
    <w:rsid w:val="002E5695"/>
    <w:rsid w:val="002E5F3A"/>
    <w:rsid w:val="002E74DC"/>
    <w:rsid w:val="002F0B19"/>
    <w:rsid w:val="002F169C"/>
    <w:rsid w:val="002F1F4B"/>
    <w:rsid w:val="002F2F53"/>
    <w:rsid w:val="002F4BD5"/>
    <w:rsid w:val="002F5EEE"/>
    <w:rsid w:val="0030126C"/>
    <w:rsid w:val="00301D1F"/>
    <w:rsid w:val="00303D0D"/>
    <w:rsid w:val="003044EB"/>
    <w:rsid w:val="0030763D"/>
    <w:rsid w:val="003077E5"/>
    <w:rsid w:val="00310CDD"/>
    <w:rsid w:val="00311494"/>
    <w:rsid w:val="003123B4"/>
    <w:rsid w:val="0031472F"/>
    <w:rsid w:val="00315669"/>
    <w:rsid w:val="00322987"/>
    <w:rsid w:val="00322BF6"/>
    <w:rsid w:val="003323F7"/>
    <w:rsid w:val="003324B5"/>
    <w:rsid w:val="00332F15"/>
    <w:rsid w:val="00333860"/>
    <w:rsid w:val="00333963"/>
    <w:rsid w:val="00334980"/>
    <w:rsid w:val="00337C2E"/>
    <w:rsid w:val="00342A48"/>
    <w:rsid w:val="00342BB1"/>
    <w:rsid w:val="00343099"/>
    <w:rsid w:val="003473C5"/>
    <w:rsid w:val="00347ADB"/>
    <w:rsid w:val="00347CCC"/>
    <w:rsid w:val="00347F28"/>
    <w:rsid w:val="00350CD8"/>
    <w:rsid w:val="00350F67"/>
    <w:rsid w:val="003521D7"/>
    <w:rsid w:val="003572C2"/>
    <w:rsid w:val="00360355"/>
    <w:rsid w:val="003622B4"/>
    <w:rsid w:val="003712DB"/>
    <w:rsid w:val="003723BB"/>
    <w:rsid w:val="00372567"/>
    <w:rsid w:val="00372EF5"/>
    <w:rsid w:val="00373C80"/>
    <w:rsid w:val="003769BE"/>
    <w:rsid w:val="003812B5"/>
    <w:rsid w:val="00381B05"/>
    <w:rsid w:val="00381FCA"/>
    <w:rsid w:val="00384041"/>
    <w:rsid w:val="003863C2"/>
    <w:rsid w:val="00390FB0"/>
    <w:rsid w:val="00391861"/>
    <w:rsid w:val="00392339"/>
    <w:rsid w:val="00393D17"/>
    <w:rsid w:val="00395E72"/>
    <w:rsid w:val="00396341"/>
    <w:rsid w:val="00396C8C"/>
    <w:rsid w:val="003A3270"/>
    <w:rsid w:val="003A4A3F"/>
    <w:rsid w:val="003A72D6"/>
    <w:rsid w:val="003A7BA1"/>
    <w:rsid w:val="003B3C58"/>
    <w:rsid w:val="003C019C"/>
    <w:rsid w:val="003C3E01"/>
    <w:rsid w:val="003D0B99"/>
    <w:rsid w:val="003D1D7C"/>
    <w:rsid w:val="003D1F2A"/>
    <w:rsid w:val="003D36CB"/>
    <w:rsid w:val="003D59F9"/>
    <w:rsid w:val="003E09A0"/>
    <w:rsid w:val="003E2160"/>
    <w:rsid w:val="003E22A3"/>
    <w:rsid w:val="003E366A"/>
    <w:rsid w:val="003E394D"/>
    <w:rsid w:val="003E404A"/>
    <w:rsid w:val="003E4EBF"/>
    <w:rsid w:val="003E5A7F"/>
    <w:rsid w:val="003F226A"/>
    <w:rsid w:val="003F2E26"/>
    <w:rsid w:val="003F455B"/>
    <w:rsid w:val="003F49B5"/>
    <w:rsid w:val="003F54D9"/>
    <w:rsid w:val="003F63B8"/>
    <w:rsid w:val="003F6FB2"/>
    <w:rsid w:val="00400916"/>
    <w:rsid w:val="00400E84"/>
    <w:rsid w:val="00401287"/>
    <w:rsid w:val="004039AD"/>
    <w:rsid w:val="00403D0D"/>
    <w:rsid w:val="004055F7"/>
    <w:rsid w:val="004057FA"/>
    <w:rsid w:val="0040793E"/>
    <w:rsid w:val="004079FE"/>
    <w:rsid w:val="00411A81"/>
    <w:rsid w:val="0041558C"/>
    <w:rsid w:val="00415A80"/>
    <w:rsid w:val="0042018E"/>
    <w:rsid w:val="00424A79"/>
    <w:rsid w:val="00425066"/>
    <w:rsid w:val="004268BB"/>
    <w:rsid w:val="0043075E"/>
    <w:rsid w:val="0043086F"/>
    <w:rsid w:val="00430E58"/>
    <w:rsid w:val="00432694"/>
    <w:rsid w:val="0043556A"/>
    <w:rsid w:val="00435587"/>
    <w:rsid w:val="0043611D"/>
    <w:rsid w:val="00442D42"/>
    <w:rsid w:val="00446A7F"/>
    <w:rsid w:val="00452120"/>
    <w:rsid w:val="00454874"/>
    <w:rsid w:val="004567A3"/>
    <w:rsid w:val="00457E14"/>
    <w:rsid w:val="0046329E"/>
    <w:rsid w:val="0046631B"/>
    <w:rsid w:val="0046684E"/>
    <w:rsid w:val="00471EDA"/>
    <w:rsid w:val="00472462"/>
    <w:rsid w:val="00473195"/>
    <w:rsid w:val="004731BF"/>
    <w:rsid w:val="00474F72"/>
    <w:rsid w:val="0047513D"/>
    <w:rsid w:val="00475C49"/>
    <w:rsid w:val="00476AD9"/>
    <w:rsid w:val="0047749E"/>
    <w:rsid w:val="004815BB"/>
    <w:rsid w:val="00482B42"/>
    <w:rsid w:val="00483A62"/>
    <w:rsid w:val="00483D86"/>
    <w:rsid w:val="0048757D"/>
    <w:rsid w:val="004901A2"/>
    <w:rsid w:val="004903F2"/>
    <w:rsid w:val="0049102F"/>
    <w:rsid w:val="00492B91"/>
    <w:rsid w:val="004936CE"/>
    <w:rsid w:val="004939D8"/>
    <w:rsid w:val="004970CC"/>
    <w:rsid w:val="004972EE"/>
    <w:rsid w:val="00497C51"/>
    <w:rsid w:val="004A3909"/>
    <w:rsid w:val="004A3C32"/>
    <w:rsid w:val="004A4FE7"/>
    <w:rsid w:val="004A58F4"/>
    <w:rsid w:val="004A61F6"/>
    <w:rsid w:val="004A6CB6"/>
    <w:rsid w:val="004A73BB"/>
    <w:rsid w:val="004B1891"/>
    <w:rsid w:val="004B20E3"/>
    <w:rsid w:val="004B2475"/>
    <w:rsid w:val="004B25B5"/>
    <w:rsid w:val="004B31CE"/>
    <w:rsid w:val="004B5C77"/>
    <w:rsid w:val="004B7D12"/>
    <w:rsid w:val="004C0C11"/>
    <w:rsid w:val="004C0D09"/>
    <w:rsid w:val="004C166A"/>
    <w:rsid w:val="004C1FAC"/>
    <w:rsid w:val="004C27CF"/>
    <w:rsid w:val="004C4454"/>
    <w:rsid w:val="004C4A38"/>
    <w:rsid w:val="004C546C"/>
    <w:rsid w:val="004C5B0A"/>
    <w:rsid w:val="004C63BD"/>
    <w:rsid w:val="004D035A"/>
    <w:rsid w:val="004D15E4"/>
    <w:rsid w:val="004D2C45"/>
    <w:rsid w:val="004D33C4"/>
    <w:rsid w:val="004D3E35"/>
    <w:rsid w:val="004E346E"/>
    <w:rsid w:val="004E5A8A"/>
    <w:rsid w:val="004F2E3A"/>
    <w:rsid w:val="004F54C8"/>
    <w:rsid w:val="005026CE"/>
    <w:rsid w:val="00502D02"/>
    <w:rsid w:val="00504212"/>
    <w:rsid w:val="00504404"/>
    <w:rsid w:val="0051013F"/>
    <w:rsid w:val="00512241"/>
    <w:rsid w:val="00512653"/>
    <w:rsid w:val="0051414A"/>
    <w:rsid w:val="00514B13"/>
    <w:rsid w:val="00516BE8"/>
    <w:rsid w:val="005175B8"/>
    <w:rsid w:val="00517EE3"/>
    <w:rsid w:val="00522CFF"/>
    <w:rsid w:val="005347FB"/>
    <w:rsid w:val="00536967"/>
    <w:rsid w:val="005377C9"/>
    <w:rsid w:val="00540936"/>
    <w:rsid w:val="00543C7D"/>
    <w:rsid w:val="0054468F"/>
    <w:rsid w:val="00547858"/>
    <w:rsid w:val="00547F94"/>
    <w:rsid w:val="005526BE"/>
    <w:rsid w:val="00552FDA"/>
    <w:rsid w:val="00553FF7"/>
    <w:rsid w:val="00555002"/>
    <w:rsid w:val="0055515B"/>
    <w:rsid w:val="00556C5F"/>
    <w:rsid w:val="005602AF"/>
    <w:rsid w:val="00560600"/>
    <w:rsid w:val="0056063F"/>
    <w:rsid w:val="00562514"/>
    <w:rsid w:val="0056355A"/>
    <w:rsid w:val="005640E8"/>
    <w:rsid w:val="00565CF2"/>
    <w:rsid w:val="00566B51"/>
    <w:rsid w:val="00566B67"/>
    <w:rsid w:val="00570859"/>
    <w:rsid w:val="005710E0"/>
    <w:rsid w:val="00572473"/>
    <w:rsid w:val="00572981"/>
    <w:rsid w:val="005743CF"/>
    <w:rsid w:val="00576ECE"/>
    <w:rsid w:val="005771CA"/>
    <w:rsid w:val="00577330"/>
    <w:rsid w:val="00584F36"/>
    <w:rsid w:val="0058579E"/>
    <w:rsid w:val="00587097"/>
    <w:rsid w:val="005914FA"/>
    <w:rsid w:val="00592781"/>
    <w:rsid w:val="00593544"/>
    <w:rsid w:val="00594787"/>
    <w:rsid w:val="00594E16"/>
    <w:rsid w:val="00595798"/>
    <w:rsid w:val="00595F17"/>
    <w:rsid w:val="0059771F"/>
    <w:rsid w:val="005A13EB"/>
    <w:rsid w:val="005A47F3"/>
    <w:rsid w:val="005B423E"/>
    <w:rsid w:val="005B560C"/>
    <w:rsid w:val="005B6E64"/>
    <w:rsid w:val="005C1E0A"/>
    <w:rsid w:val="005C1E1D"/>
    <w:rsid w:val="005C27FF"/>
    <w:rsid w:val="005C35AF"/>
    <w:rsid w:val="005C740E"/>
    <w:rsid w:val="005D4815"/>
    <w:rsid w:val="005E2307"/>
    <w:rsid w:val="005E4DA1"/>
    <w:rsid w:val="005E636E"/>
    <w:rsid w:val="005E6700"/>
    <w:rsid w:val="005E77BD"/>
    <w:rsid w:val="005F0030"/>
    <w:rsid w:val="005F0585"/>
    <w:rsid w:val="005F0B96"/>
    <w:rsid w:val="005F31AA"/>
    <w:rsid w:val="005F54F9"/>
    <w:rsid w:val="005F6752"/>
    <w:rsid w:val="00600FD5"/>
    <w:rsid w:val="00601929"/>
    <w:rsid w:val="0060195E"/>
    <w:rsid w:val="0060387A"/>
    <w:rsid w:val="00604CF7"/>
    <w:rsid w:val="00604D2F"/>
    <w:rsid w:val="006050C8"/>
    <w:rsid w:val="00605609"/>
    <w:rsid w:val="006074E9"/>
    <w:rsid w:val="00611C03"/>
    <w:rsid w:val="00620D54"/>
    <w:rsid w:val="00621FE4"/>
    <w:rsid w:val="006262B9"/>
    <w:rsid w:val="00626972"/>
    <w:rsid w:val="00631F4C"/>
    <w:rsid w:val="006321BA"/>
    <w:rsid w:val="00632FA0"/>
    <w:rsid w:val="00633163"/>
    <w:rsid w:val="006337AF"/>
    <w:rsid w:val="006355DC"/>
    <w:rsid w:val="00641930"/>
    <w:rsid w:val="006420F9"/>
    <w:rsid w:val="00642943"/>
    <w:rsid w:val="006434E2"/>
    <w:rsid w:val="006435A4"/>
    <w:rsid w:val="006438CA"/>
    <w:rsid w:val="006442C0"/>
    <w:rsid w:val="006445DB"/>
    <w:rsid w:val="00644CB2"/>
    <w:rsid w:val="006471B4"/>
    <w:rsid w:val="006477B3"/>
    <w:rsid w:val="00650083"/>
    <w:rsid w:val="0065052F"/>
    <w:rsid w:val="00650F2D"/>
    <w:rsid w:val="006517B4"/>
    <w:rsid w:val="006521BC"/>
    <w:rsid w:val="006531AB"/>
    <w:rsid w:val="0065360B"/>
    <w:rsid w:val="00655639"/>
    <w:rsid w:val="0065565D"/>
    <w:rsid w:val="006564DF"/>
    <w:rsid w:val="0065658A"/>
    <w:rsid w:val="00660200"/>
    <w:rsid w:val="00662F31"/>
    <w:rsid w:val="0066382E"/>
    <w:rsid w:val="00665FA4"/>
    <w:rsid w:val="00666C50"/>
    <w:rsid w:val="00670606"/>
    <w:rsid w:val="00671C2E"/>
    <w:rsid w:val="006727B9"/>
    <w:rsid w:val="006738F5"/>
    <w:rsid w:val="006746CE"/>
    <w:rsid w:val="006746E9"/>
    <w:rsid w:val="00676834"/>
    <w:rsid w:val="00680684"/>
    <w:rsid w:val="00683182"/>
    <w:rsid w:val="00684D3D"/>
    <w:rsid w:val="006854D1"/>
    <w:rsid w:val="0068554B"/>
    <w:rsid w:val="0068618D"/>
    <w:rsid w:val="00686928"/>
    <w:rsid w:val="00686991"/>
    <w:rsid w:val="0068741F"/>
    <w:rsid w:val="006906DA"/>
    <w:rsid w:val="00694E47"/>
    <w:rsid w:val="00696068"/>
    <w:rsid w:val="00696C77"/>
    <w:rsid w:val="00697DFD"/>
    <w:rsid w:val="006A02A7"/>
    <w:rsid w:val="006A0727"/>
    <w:rsid w:val="006A0F69"/>
    <w:rsid w:val="006A1B0F"/>
    <w:rsid w:val="006B0064"/>
    <w:rsid w:val="006B05E4"/>
    <w:rsid w:val="006B076B"/>
    <w:rsid w:val="006B24EC"/>
    <w:rsid w:val="006B3BC4"/>
    <w:rsid w:val="006B47B1"/>
    <w:rsid w:val="006B4D35"/>
    <w:rsid w:val="006B5E8F"/>
    <w:rsid w:val="006C1BDA"/>
    <w:rsid w:val="006C3CAE"/>
    <w:rsid w:val="006C567E"/>
    <w:rsid w:val="006C5B51"/>
    <w:rsid w:val="006C6C28"/>
    <w:rsid w:val="006D1ACC"/>
    <w:rsid w:val="006D54F5"/>
    <w:rsid w:val="006D5B52"/>
    <w:rsid w:val="006D7781"/>
    <w:rsid w:val="006E27EB"/>
    <w:rsid w:val="006E32B7"/>
    <w:rsid w:val="006E3CC4"/>
    <w:rsid w:val="006E5FE7"/>
    <w:rsid w:val="006E630C"/>
    <w:rsid w:val="006E6A93"/>
    <w:rsid w:val="006E6CF8"/>
    <w:rsid w:val="006F0448"/>
    <w:rsid w:val="006F0DAA"/>
    <w:rsid w:val="006F10E3"/>
    <w:rsid w:val="006F3E72"/>
    <w:rsid w:val="007003AE"/>
    <w:rsid w:val="0070088B"/>
    <w:rsid w:val="00700AF0"/>
    <w:rsid w:val="0070130B"/>
    <w:rsid w:val="007032D6"/>
    <w:rsid w:val="00703380"/>
    <w:rsid w:val="00703C7E"/>
    <w:rsid w:val="007077A5"/>
    <w:rsid w:val="00713CC0"/>
    <w:rsid w:val="007141DE"/>
    <w:rsid w:val="00715F0E"/>
    <w:rsid w:val="00716069"/>
    <w:rsid w:val="00720286"/>
    <w:rsid w:val="0072070E"/>
    <w:rsid w:val="00723C5B"/>
    <w:rsid w:val="007249A2"/>
    <w:rsid w:val="007259CA"/>
    <w:rsid w:val="00730E17"/>
    <w:rsid w:val="007331E2"/>
    <w:rsid w:val="00733FFD"/>
    <w:rsid w:val="00734281"/>
    <w:rsid w:val="00737626"/>
    <w:rsid w:val="00741F95"/>
    <w:rsid w:val="007427CB"/>
    <w:rsid w:val="0074549E"/>
    <w:rsid w:val="00746462"/>
    <w:rsid w:val="007466A9"/>
    <w:rsid w:val="00746F86"/>
    <w:rsid w:val="00747C6A"/>
    <w:rsid w:val="00747C7C"/>
    <w:rsid w:val="0075020E"/>
    <w:rsid w:val="0075037B"/>
    <w:rsid w:val="0075055E"/>
    <w:rsid w:val="00750E2E"/>
    <w:rsid w:val="00751386"/>
    <w:rsid w:val="00751A79"/>
    <w:rsid w:val="00751B92"/>
    <w:rsid w:val="007556BA"/>
    <w:rsid w:val="0076035E"/>
    <w:rsid w:val="007603AC"/>
    <w:rsid w:val="00762AE9"/>
    <w:rsid w:val="00765467"/>
    <w:rsid w:val="00766207"/>
    <w:rsid w:val="0077013A"/>
    <w:rsid w:val="00771275"/>
    <w:rsid w:val="00771634"/>
    <w:rsid w:val="007722EC"/>
    <w:rsid w:val="00773B2E"/>
    <w:rsid w:val="00776BDC"/>
    <w:rsid w:val="00776F45"/>
    <w:rsid w:val="00777413"/>
    <w:rsid w:val="00777526"/>
    <w:rsid w:val="0078073B"/>
    <w:rsid w:val="0078298A"/>
    <w:rsid w:val="00782BA2"/>
    <w:rsid w:val="00783064"/>
    <w:rsid w:val="00783984"/>
    <w:rsid w:val="007842F5"/>
    <w:rsid w:val="007859C2"/>
    <w:rsid w:val="00785C3F"/>
    <w:rsid w:val="00785F55"/>
    <w:rsid w:val="00785F6F"/>
    <w:rsid w:val="00792BA6"/>
    <w:rsid w:val="007944B4"/>
    <w:rsid w:val="007A2468"/>
    <w:rsid w:val="007A393A"/>
    <w:rsid w:val="007A4154"/>
    <w:rsid w:val="007A4C62"/>
    <w:rsid w:val="007A7684"/>
    <w:rsid w:val="007B16EC"/>
    <w:rsid w:val="007B27C5"/>
    <w:rsid w:val="007B4560"/>
    <w:rsid w:val="007B5194"/>
    <w:rsid w:val="007C188F"/>
    <w:rsid w:val="007C245E"/>
    <w:rsid w:val="007C2ACA"/>
    <w:rsid w:val="007C2B33"/>
    <w:rsid w:val="007C50FD"/>
    <w:rsid w:val="007C6B3D"/>
    <w:rsid w:val="007C79EB"/>
    <w:rsid w:val="007D2643"/>
    <w:rsid w:val="007D3B69"/>
    <w:rsid w:val="007D4FAC"/>
    <w:rsid w:val="007D5508"/>
    <w:rsid w:val="007D5DCE"/>
    <w:rsid w:val="007E068C"/>
    <w:rsid w:val="007E0CA4"/>
    <w:rsid w:val="007E3F25"/>
    <w:rsid w:val="007E40C4"/>
    <w:rsid w:val="007E41BF"/>
    <w:rsid w:val="007E495F"/>
    <w:rsid w:val="007E5288"/>
    <w:rsid w:val="007E643A"/>
    <w:rsid w:val="007E6D18"/>
    <w:rsid w:val="007F0C6F"/>
    <w:rsid w:val="007F0CAF"/>
    <w:rsid w:val="007F1606"/>
    <w:rsid w:val="007F2A53"/>
    <w:rsid w:val="007F5506"/>
    <w:rsid w:val="00800B34"/>
    <w:rsid w:val="008029BC"/>
    <w:rsid w:val="0080510B"/>
    <w:rsid w:val="00811D8C"/>
    <w:rsid w:val="008123F4"/>
    <w:rsid w:val="00814D55"/>
    <w:rsid w:val="00817845"/>
    <w:rsid w:val="00824E74"/>
    <w:rsid w:val="00832EB8"/>
    <w:rsid w:val="00833F8C"/>
    <w:rsid w:val="00836B0D"/>
    <w:rsid w:val="00842D06"/>
    <w:rsid w:val="008434DD"/>
    <w:rsid w:val="00845750"/>
    <w:rsid w:val="0084777F"/>
    <w:rsid w:val="00854D27"/>
    <w:rsid w:val="008573C7"/>
    <w:rsid w:val="00860BE4"/>
    <w:rsid w:val="00861BF4"/>
    <w:rsid w:val="008662CF"/>
    <w:rsid w:val="00866852"/>
    <w:rsid w:val="0087049F"/>
    <w:rsid w:val="00870EE5"/>
    <w:rsid w:val="00871222"/>
    <w:rsid w:val="00872C0D"/>
    <w:rsid w:val="00873047"/>
    <w:rsid w:val="00874FA9"/>
    <w:rsid w:val="0087511F"/>
    <w:rsid w:val="00876646"/>
    <w:rsid w:val="008768D6"/>
    <w:rsid w:val="00876C3A"/>
    <w:rsid w:val="008808F3"/>
    <w:rsid w:val="00880A67"/>
    <w:rsid w:val="00881F27"/>
    <w:rsid w:val="0088211C"/>
    <w:rsid w:val="008824E5"/>
    <w:rsid w:val="00882CCD"/>
    <w:rsid w:val="008848A5"/>
    <w:rsid w:val="008877EA"/>
    <w:rsid w:val="00887FA2"/>
    <w:rsid w:val="00892DCC"/>
    <w:rsid w:val="008971AB"/>
    <w:rsid w:val="008A08B4"/>
    <w:rsid w:val="008A1DD3"/>
    <w:rsid w:val="008A1F6F"/>
    <w:rsid w:val="008A4B9F"/>
    <w:rsid w:val="008A5F7F"/>
    <w:rsid w:val="008A6B1A"/>
    <w:rsid w:val="008B3929"/>
    <w:rsid w:val="008B4665"/>
    <w:rsid w:val="008B5AEC"/>
    <w:rsid w:val="008C0CD8"/>
    <w:rsid w:val="008C6A7B"/>
    <w:rsid w:val="008D1243"/>
    <w:rsid w:val="008D5B91"/>
    <w:rsid w:val="008D5B92"/>
    <w:rsid w:val="008D5F10"/>
    <w:rsid w:val="008D79A6"/>
    <w:rsid w:val="008E0860"/>
    <w:rsid w:val="008E31A1"/>
    <w:rsid w:val="008E34A8"/>
    <w:rsid w:val="008E3E2D"/>
    <w:rsid w:val="008E4977"/>
    <w:rsid w:val="008E4A43"/>
    <w:rsid w:val="008E571C"/>
    <w:rsid w:val="008E5793"/>
    <w:rsid w:val="008E682F"/>
    <w:rsid w:val="008F04FA"/>
    <w:rsid w:val="008F0B73"/>
    <w:rsid w:val="008F2675"/>
    <w:rsid w:val="008F2FFE"/>
    <w:rsid w:val="008F3732"/>
    <w:rsid w:val="008F3A7D"/>
    <w:rsid w:val="008F6C5B"/>
    <w:rsid w:val="008F7CD3"/>
    <w:rsid w:val="0090137C"/>
    <w:rsid w:val="00902C26"/>
    <w:rsid w:val="00902F4E"/>
    <w:rsid w:val="009039BC"/>
    <w:rsid w:val="00903C5C"/>
    <w:rsid w:val="0090408E"/>
    <w:rsid w:val="00904DC4"/>
    <w:rsid w:val="00906C11"/>
    <w:rsid w:val="00907105"/>
    <w:rsid w:val="009106D7"/>
    <w:rsid w:val="00912014"/>
    <w:rsid w:val="0091223B"/>
    <w:rsid w:val="00912AE6"/>
    <w:rsid w:val="00914197"/>
    <w:rsid w:val="00915EEA"/>
    <w:rsid w:val="00920D0D"/>
    <w:rsid w:val="00921113"/>
    <w:rsid w:val="009222EC"/>
    <w:rsid w:val="009243E9"/>
    <w:rsid w:val="00924B6F"/>
    <w:rsid w:val="00924BF2"/>
    <w:rsid w:val="00924CF8"/>
    <w:rsid w:val="0092532E"/>
    <w:rsid w:val="00925E75"/>
    <w:rsid w:val="0093080C"/>
    <w:rsid w:val="00931BCB"/>
    <w:rsid w:val="00931E17"/>
    <w:rsid w:val="00940F4C"/>
    <w:rsid w:val="00941B41"/>
    <w:rsid w:val="009435EF"/>
    <w:rsid w:val="0094592A"/>
    <w:rsid w:val="00945B08"/>
    <w:rsid w:val="009460B3"/>
    <w:rsid w:val="0094678E"/>
    <w:rsid w:val="00947753"/>
    <w:rsid w:val="0094794E"/>
    <w:rsid w:val="00950102"/>
    <w:rsid w:val="00950F04"/>
    <w:rsid w:val="00951263"/>
    <w:rsid w:val="009513F1"/>
    <w:rsid w:val="00951ABA"/>
    <w:rsid w:val="00956147"/>
    <w:rsid w:val="00956C23"/>
    <w:rsid w:val="00956ECC"/>
    <w:rsid w:val="00957C36"/>
    <w:rsid w:val="009640E7"/>
    <w:rsid w:val="00965863"/>
    <w:rsid w:val="00966A2C"/>
    <w:rsid w:val="009674A0"/>
    <w:rsid w:val="00967E58"/>
    <w:rsid w:val="00970182"/>
    <w:rsid w:val="0097065E"/>
    <w:rsid w:val="0097104E"/>
    <w:rsid w:val="009719A8"/>
    <w:rsid w:val="00973145"/>
    <w:rsid w:val="00973F33"/>
    <w:rsid w:val="00974078"/>
    <w:rsid w:val="009750C7"/>
    <w:rsid w:val="00975AB5"/>
    <w:rsid w:val="009776B7"/>
    <w:rsid w:val="009778C4"/>
    <w:rsid w:val="00977B50"/>
    <w:rsid w:val="009813DB"/>
    <w:rsid w:val="0098168D"/>
    <w:rsid w:val="00984557"/>
    <w:rsid w:val="00984B5E"/>
    <w:rsid w:val="009852F8"/>
    <w:rsid w:val="00986A8E"/>
    <w:rsid w:val="00991AB6"/>
    <w:rsid w:val="009A1953"/>
    <w:rsid w:val="009A31DE"/>
    <w:rsid w:val="009A483B"/>
    <w:rsid w:val="009A54E1"/>
    <w:rsid w:val="009A5BDE"/>
    <w:rsid w:val="009A70D4"/>
    <w:rsid w:val="009A731D"/>
    <w:rsid w:val="009A7462"/>
    <w:rsid w:val="009B19A5"/>
    <w:rsid w:val="009B53D3"/>
    <w:rsid w:val="009B6EB9"/>
    <w:rsid w:val="009C025F"/>
    <w:rsid w:val="009C039B"/>
    <w:rsid w:val="009C057A"/>
    <w:rsid w:val="009C275C"/>
    <w:rsid w:val="009C2E8A"/>
    <w:rsid w:val="009C6EF5"/>
    <w:rsid w:val="009D0B8C"/>
    <w:rsid w:val="009D1C67"/>
    <w:rsid w:val="009D3F91"/>
    <w:rsid w:val="009D41C3"/>
    <w:rsid w:val="009D42DD"/>
    <w:rsid w:val="009D53B3"/>
    <w:rsid w:val="009D5FC6"/>
    <w:rsid w:val="009D69D3"/>
    <w:rsid w:val="009F0ED3"/>
    <w:rsid w:val="009F276B"/>
    <w:rsid w:val="009F2AA8"/>
    <w:rsid w:val="009F2B58"/>
    <w:rsid w:val="009F3424"/>
    <w:rsid w:val="009F6ECA"/>
    <w:rsid w:val="009F7916"/>
    <w:rsid w:val="00A00093"/>
    <w:rsid w:val="00A0290F"/>
    <w:rsid w:val="00A03F2B"/>
    <w:rsid w:val="00A05DF7"/>
    <w:rsid w:val="00A1032F"/>
    <w:rsid w:val="00A110BC"/>
    <w:rsid w:val="00A12FF9"/>
    <w:rsid w:val="00A14FE1"/>
    <w:rsid w:val="00A15220"/>
    <w:rsid w:val="00A16F79"/>
    <w:rsid w:val="00A1723E"/>
    <w:rsid w:val="00A2184B"/>
    <w:rsid w:val="00A22223"/>
    <w:rsid w:val="00A2261F"/>
    <w:rsid w:val="00A258A2"/>
    <w:rsid w:val="00A2780D"/>
    <w:rsid w:val="00A30B7A"/>
    <w:rsid w:val="00A36DF0"/>
    <w:rsid w:val="00A37439"/>
    <w:rsid w:val="00A37F0A"/>
    <w:rsid w:val="00A459AC"/>
    <w:rsid w:val="00A45C35"/>
    <w:rsid w:val="00A50DF2"/>
    <w:rsid w:val="00A51508"/>
    <w:rsid w:val="00A544E6"/>
    <w:rsid w:val="00A56373"/>
    <w:rsid w:val="00A5689F"/>
    <w:rsid w:val="00A57234"/>
    <w:rsid w:val="00A61955"/>
    <w:rsid w:val="00A63310"/>
    <w:rsid w:val="00A64E82"/>
    <w:rsid w:val="00A65E7D"/>
    <w:rsid w:val="00A670D2"/>
    <w:rsid w:val="00A67ECD"/>
    <w:rsid w:val="00A7229A"/>
    <w:rsid w:val="00A731F6"/>
    <w:rsid w:val="00A80C2A"/>
    <w:rsid w:val="00A815AF"/>
    <w:rsid w:val="00A819A5"/>
    <w:rsid w:val="00A84007"/>
    <w:rsid w:val="00A841D2"/>
    <w:rsid w:val="00A84F20"/>
    <w:rsid w:val="00A86C92"/>
    <w:rsid w:val="00A92B99"/>
    <w:rsid w:val="00A9310F"/>
    <w:rsid w:val="00A93F22"/>
    <w:rsid w:val="00A96017"/>
    <w:rsid w:val="00A971AC"/>
    <w:rsid w:val="00AA041F"/>
    <w:rsid w:val="00AA1524"/>
    <w:rsid w:val="00AA20CB"/>
    <w:rsid w:val="00AA31E4"/>
    <w:rsid w:val="00AB1841"/>
    <w:rsid w:val="00AB1B13"/>
    <w:rsid w:val="00AB21D3"/>
    <w:rsid w:val="00AB2CC7"/>
    <w:rsid w:val="00AB3982"/>
    <w:rsid w:val="00AB6DCF"/>
    <w:rsid w:val="00AC1FFA"/>
    <w:rsid w:val="00AC3770"/>
    <w:rsid w:val="00AC5B3B"/>
    <w:rsid w:val="00AC6EC1"/>
    <w:rsid w:val="00AC7863"/>
    <w:rsid w:val="00AD0C70"/>
    <w:rsid w:val="00AD2399"/>
    <w:rsid w:val="00AD65AC"/>
    <w:rsid w:val="00AE063D"/>
    <w:rsid w:val="00AE11E2"/>
    <w:rsid w:val="00AE3FC8"/>
    <w:rsid w:val="00AE55DB"/>
    <w:rsid w:val="00AE6918"/>
    <w:rsid w:val="00AF0C29"/>
    <w:rsid w:val="00AF2042"/>
    <w:rsid w:val="00AF4471"/>
    <w:rsid w:val="00B026D1"/>
    <w:rsid w:val="00B028C9"/>
    <w:rsid w:val="00B04EC5"/>
    <w:rsid w:val="00B11A1F"/>
    <w:rsid w:val="00B11E75"/>
    <w:rsid w:val="00B1327C"/>
    <w:rsid w:val="00B13F16"/>
    <w:rsid w:val="00B14735"/>
    <w:rsid w:val="00B14976"/>
    <w:rsid w:val="00B16D00"/>
    <w:rsid w:val="00B2038A"/>
    <w:rsid w:val="00B21086"/>
    <w:rsid w:val="00B21B9C"/>
    <w:rsid w:val="00B22593"/>
    <w:rsid w:val="00B2276D"/>
    <w:rsid w:val="00B231F6"/>
    <w:rsid w:val="00B23D5C"/>
    <w:rsid w:val="00B26C85"/>
    <w:rsid w:val="00B274F5"/>
    <w:rsid w:val="00B27BE9"/>
    <w:rsid w:val="00B3042D"/>
    <w:rsid w:val="00B30826"/>
    <w:rsid w:val="00B308A3"/>
    <w:rsid w:val="00B3102A"/>
    <w:rsid w:val="00B312FE"/>
    <w:rsid w:val="00B31B46"/>
    <w:rsid w:val="00B32B73"/>
    <w:rsid w:val="00B34348"/>
    <w:rsid w:val="00B34C65"/>
    <w:rsid w:val="00B34CC8"/>
    <w:rsid w:val="00B35899"/>
    <w:rsid w:val="00B370E9"/>
    <w:rsid w:val="00B41A53"/>
    <w:rsid w:val="00B44FF9"/>
    <w:rsid w:val="00B55B62"/>
    <w:rsid w:val="00B55D58"/>
    <w:rsid w:val="00B5677A"/>
    <w:rsid w:val="00B611F7"/>
    <w:rsid w:val="00B6206A"/>
    <w:rsid w:val="00B634B7"/>
    <w:rsid w:val="00B63A54"/>
    <w:rsid w:val="00B66217"/>
    <w:rsid w:val="00B66D21"/>
    <w:rsid w:val="00B675EB"/>
    <w:rsid w:val="00B70D91"/>
    <w:rsid w:val="00B72DA7"/>
    <w:rsid w:val="00B771A8"/>
    <w:rsid w:val="00B7784E"/>
    <w:rsid w:val="00B82684"/>
    <w:rsid w:val="00B82BC1"/>
    <w:rsid w:val="00B8498E"/>
    <w:rsid w:val="00B851F0"/>
    <w:rsid w:val="00B8624D"/>
    <w:rsid w:val="00B862CF"/>
    <w:rsid w:val="00B86B90"/>
    <w:rsid w:val="00B87100"/>
    <w:rsid w:val="00B873AB"/>
    <w:rsid w:val="00B878C0"/>
    <w:rsid w:val="00B92A4A"/>
    <w:rsid w:val="00B93985"/>
    <w:rsid w:val="00B94A7D"/>
    <w:rsid w:val="00B95FBD"/>
    <w:rsid w:val="00B9662B"/>
    <w:rsid w:val="00B97A92"/>
    <w:rsid w:val="00BA5E25"/>
    <w:rsid w:val="00BB0028"/>
    <w:rsid w:val="00BB0D62"/>
    <w:rsid w:val="00BB1373"/>
    <w:rsid w:val="00BB32C4"/>
    <w:rsid w:val="00BB5B3A"/>
    <w:rsid w:val="00BB6777"/>
    <w:rsid w:val="00BB7DA2"/>
    <w:rsid w:val="00BC0076"/>
    <w:rsid w:val="00BC4D81"/>
    <w:rsid w:val="00BD290A"/>
    <w:rsid w:val="00BD2B6A"/>
    <w:rsid w:val="00BD3A45"/>
    <w:rsid w:val="00BE0CCF"/>
    <w:rsid w:val="00BE45A7"/>
    <w:rsid w:val="00BF3A6C"/>
    <w:rsid w:val="00BF4BB6"/>
    <w:rsid w:val="00BF4D2D"/>
    <w:rsid w:val="00BF688E"/>
    <w:rsid w:val="00C00E4B"/>
    <w:rsid w:val="00C05649"/>
    <w:rsid w:val="00C06A0F"/>
    <w:rsid w:val="00C06DCC"/>
    <w:rsid w:val="00C102B1"/>
    <w:rsid w:val="00C1038F"/>
    <w:rsid w:val="00C11B2C"/>
    <w:rsid w:val="00C11B7E"/>
    <w:rsid w:val="00C11DC7"/>
    <w:rsid w:val="00C1229A"/>
    <w:rsid w:val="00C12ADC"/>
    <w:rsid w:val="00C1304B"/>
    <w:rsid w:val="00C14A05"/>
    <w:rsid w:val="00C150A2"/>
    <w:rsid w:val="00C168A7"/>
    <w:rsid w:val="00C16A2D"/>
    <w:rsid w:val="00C21ED8"/>
    <w:rsid w:val="00C244C9"/>
    <w:rsid w:val="00C30074"/>
    <w:rsid w:val="00C37626"/>
    <w:rsid w:val="00C408B5"/>
    <w:rsid w:val="00C41481"/>
    <w:rsid w:val="00C439C8"/>
    <w:rsid w:val="00C43C7F"/>
    <w:rsid w:val="00C51EAC"/>
    <w:rsid w:val="00C530DD"/>
    <w:rsid w:val="00C5527A"/>
    <w:rsid w:val="00C55A50"/>
    <w:rsid w:val="00C56A1A"/>
    <w:rsid w:val="00C574E2"/>
    <w:rsid w:val="00C61F92"/>
    <w:rsid w:val="00C62DB9"/>
    <w:rsid w:val="00C632F9"/>
    <w:rsid w:val="00C63550"/>
    <w:rsid w:val="00C6398B"/>
    <w:rsid w:val="00C669B6"/>
    <w:rsid w:val="00C70ABA"/>
    <w:rsid w:val="00C71218"/>
    <w:rsid w:val="00C752BF"/>
    <w:rsid w:val="00C7554B"/>
    <w:rsid w:val="00C76F34"/>
    <w:rsid w:val="00C77D76"/>
    <w:rsid w:val="00C77F3E"/>
    <w:rsid w:val="00C86961"/>
    <w:rsid w:val="00C87DB9"/>
    <w:rsid w:val="00C956CE"/>
    <w:rsid w:val="00C95ACA"/>
    <w:rsid w:val="00CA1A4A"/>
    <w:rsid w:val="00CA51FD"/>
    <w:rsid w:val="00CA681A"/>
    <w:rsid w:val="00CB0DA2"/>
    <w:rsid w:val="00CB5286"/>
    <w:rsid w:val="00CB7C52"/>
    <w:rsid w:val="00CC0C31"/>
    <w:rsid w:val="00CC13A2"/>
    <w:rsid w:val="00CC2353"/>
    <w:rsid w:val="00CC3011"/>
    <w:rsid w:val="00CC5FED"/>
    <w:rsid w:val="00CD4787"/>
    <w:rsid w:val="00CD501A"/>
    <w:rsid w:val="00CE3886"/>
    <w:rsid w:val="00CE5C9E"/>
    <w:rsid w:val="00CE68DD"/>
    <w:rsid w:val="00CE742C"/>
    <w:rsid w:val="00CF1380"/>
    <w:rsid w:val="00CF13E2"/>
    <w:rsid w:val="00CF1DF3"/>
    <w:rsid w:val="00D0045F"/>
    <w:rsid w:val="00D02A59"/>
    <w:rsid w:val="00D03153"/>
    <w:rsid w:val="00D104C6"/>
    <w:rsid w:val="00D110CA"/>
    <w:rsid w:val="00D126AE"/>
    <w:rsid w:val="00D13240"/>
    <w:rsid w:val="00D136BD"/>
    <w:rsid w:val="00D14ED9"/>
    <w:rsid w:val="00D15362"/>
    <w:rsid w:val="00D15CFC"/>
    <w:rsid w:val="00D16B3A"/>
    <w:rsid w:val="00D17983"/>
    <w:rsid w:val="00D243F4"/>
    <w:rsid w:val="00D25343"/>
    <w:rsid w:val="00D26764"/>
    <w:rsid w:val="00D26FAF"/>
    <w:rsid w:val="00D2789E"/>
    <w:rsid w:val="00D27B71"/>
    <w:rsid w:val="00D27F95"/>
    <w:rsid w:val="00D30BE8"/>
    <w:rsid w:val="00D32A8E"/>
    <w:rsid w:val="00D33099"/>
    <w:rsid w:val="00D335E1"/>
    <w:rsid w:val="00D351A5"/>
    <w:rsid w:val="00D3574A"/>
    <w:rsid w:val="00D37B3C"/>
    <w:rsid w:val="00D37FD4"/>
    <w:rsid w:val="00D44544"/>
    <w:rsid w:val="00D4458A"/>
    <w:rsid w:val="00D4608A"/>
    <w:rsid w:val="00D46106"/>
    <w:rsid w:val="00D4799B"/>
    <w:rsid w:val="00D50AA1"/>
    <w:rsid w:val="00D51854"/>
    <w:rsid w:val="00D5198F"/>
    <w:rsid w:val="00D52615"/>
    <w:rsid w:val="00D52A2B"/>
    <w:rsid w:val="00D539BE"/>
    <w:rsid w:val="00D5439E"/>
    <w:rsid w:val="00D54D2F"/>
    <w:rsid w:val="00D55CBF"/>
    <w:rsid w:val="00D56D4A"/>
    <w:rsid w:val="00D56FE3"/>
    <w:rsid w:val="00D57664"/>
    <w:rsid w:val="00D579E7"/>
    <w:rsid w:val="00D6130B"/>
    <w:rsid w:val="00D617EE"/>
    <w:rsid w:val="00D673ED"/>
    <w:rsid w:val="00D67B0E"/>
    <w:rsid w:val="00D75275"/>
    <w:rsid w:val="00D77C29"/>
    <w:rsid w:val="00D845D7"/>
    <w:rsid w:val="00D85385"/>
    <w:rsid w:val="00D86713"/>
    <w:rsid w:val="00D869C2"/>
    <w:rsid w:val="00D91241"/>
    <w:rsid w:val="00D930BF"/>
    <w:rsid w:val="00D9763E"/>
    <w:rsid w:val="00D97E37"/>
    <w:rsid w:val="00D97EAC"/>
    <w:rsid w:val="00DA0B57"/>
    <w:rsid w:val="00DA706C"/>
    <w:rsid w:val="00DA76D8"/>
    <w:rsid w:val="00DA7CB0"/>
    <w:rsid w:val="00DB0170"/>
    <w:rsid w:val="00DB3ECE"/>
    <w:rsid w:val="00DB6B82"/>
    <w:rsid w:val="00DC030A"/>
    <w:rsid w:val="00DC042B"/>
    <w:rsid w:val="00DC08CA"/>
    <w:rsid w:val="00DC76D0"/>
    <w:rsid w:val="00DD0089"/>
    <w:rsid w:val="00DD2763"/>
    <w:rsid w:val="00DD2C66"/>
    <w:rsid w:val="00DD31C7"/>
    <w:rsid w:val="00DD4A18"/>
    <w:rsid w:val="00DD5E50"/>
    <w:rsid w:val="00DD6EA0"/>
    <w:rsid w:val="00DE2B0F"/>
    <w:rsid w:val="00DE3129"/>
    <w:rsid w:val="00DE40BD"/>
    <w:rsid w:val="00DE747C"/>
    <w:rsid w:val="00DE7D30"/>
    <w:rsid w:val="00DE7F5E"/>
    <w:rsid w:val="00DF01A5"/>
    <w:rsid w:val="00DF11F3"/>
    <w:rsid w:val="00DF1B27"/>
    <w:rsid w:val="00DF1B41"/>
    <w:rsid w:val="00DF1E5D"/>
    <w:rsid w:val="00DF2DCA"/>
    <w:rsid w:val="00DF44F8"/>
    <w:rsid w:val="00DF4C0D"/>
    <w:rsid w:val="00DF4F52"/>
    <w:rsid w:val="00DF5442"/>
    <w:rsid w:val="00DF5CEC"/>
    <w:rsid w:val="00DF5D72"/>
    <w:rsid w:val="00DF7EA6"/>
    <w:rsid w:val="00E02E23"/>
    <w:rsid w:val="00E02FD4"/>
    <w:rsid w:val="00E031ED"/>
    <w:rsid w:val="00E074F3"/>
    <w:rsid w:val="00E11602"/>
    <w:rsid w:val="00E12ABA"/>
    <w:rsid w:val="00E1361C"/>
    <w:rsid w:val="00E15109"/>
    <w:rsid w:val="00E201F8"/>
    <w:rsid w:val="00E208D0"/>
    <w:rsid w:val="00E221AC"/>
    <w:rsid w:val="00E222F8"/>
    <w:rsid w:val="00E22E46"/>
    <w:rsid w:val="00E25CA2"/>
    <w:rsid w:val="00E25E82"/>
    <w:rsid w:val="00E26200"/>
    <w:rsid w:val="00E265D4"/>
    <w:rsid w:val="00E30F56"/>
    <w:rsid w:val="00E314A3"/>
    <w:rsid w:val="00E31E9B"/>
    <w:rsid w:val="00E401B0"/>
    <w:rsid w:val="00E414C8"/>
    <w:rsid w:val="00E41ADC"/>
    <w:rsid w:val="00E42C2A"/>
    <w:rsid w:val="00E442E8"/>
    <w:rsid w:val="00E44532"/>
    <w:rsid w:val="00E476A8"/>
    <w:rsid w:val="00E513D7"/>
    <w:rsid w:val="00E516D5"/>
    <w:rsid w:val="00E53B3F"/>
    <w:rsid w:val="00E61CE8"/>
    <w:rsid w:val="00E642C5"/>
    <w:rsid w:val="00E645C1"/>
    <w:rsid w:val="00E66AA3"/>
    <w:rsid w:val="00E70537"/>
    <w:rsid w:val="00E7194E"/>
    <w:rsid w:val="00E73303"/>
    <w:rsid w:val="00E7373B"/>
    <w:rsid w:val="00E7463C"/>
    <w:rsid w:val="00E75504"/>
    <w:rsid w:val="00E80B9E"/>
    <w:rsid w:val="00E82418"/>
    <w:rsid w:val="00E8468B"/>
    <w:rsid w:val="00E87F8A"/>
    <w:rsid w:val="00E906B3"/>
    <w:rsid w:val="00E91766"/>
    <w:rsid w:val="00E920DE"/>
    <w:rsid w:val="00E934F2"/>
    <w:rsid w:val="00E9586D"/>
    <w:rsid w:val="00E96233"/>
    <w:rsid w:val="00E96B7C"/>
    <w:rsid w:val="00E96DD6"/>
    <w:rsid w:val="00EA0164"/>
    <w:rsid w:val="00EA0C2C"/>
    <w:rsid w:val="00EA21B1"/>
    <w:rsid w:val="00EA2A10"/>
    <w:rsid w:val="00EA2ABE"/>
    <w:rsid w:val="00EA42AB"/>
    <w:rsid w:val="00EB0883"/>
    <w:rsid w:val="00EB0B36"/>
    <w:rsid w:val="00EB0CF9"/>
    <w:rsid w:val="00EB156C"/>
    <w:rsid w:val="00EB15D8"/>
    <w:rsid w:val="00EB2943"/>
    <w:rsid w:val="00EB2DE5"/>
    <w:rsid w:val="00EB3F8E"/>
    <w:rsid w:val="00EB4438"/>
    <w:rsid w:val="00EB4688"/>
    <w:rsid w:val="00EB6386"/>
    <w:rsid w:val="00EC4051"/>
    <w:rsid w:val="00EC4FA6"/>
    <w:rsid w:val="00EC6CC2"/>
    <w:rsid w:val="00ED0580"/>
    <w:rsid w:val="00ED2897"/>
    <w:rsid w:val="00ED433A"/>
    <w:rsid w:val="00ED4AFA"/>
    <w:rsid w:val="00ED4CF9"/>
    <w:rsid w:val="00ED5175"/>
    <w:rsid w:val="00ED5D17"/>
    <w:rsid w:val="00ED5EA5"/>
    <w:rsid w:val="00EE0DFA"/>
    <w:rsid w:val="00EE1028"/>
    <w:rsid w:val="00EE1471"/>
    <w:rsid w:val="00EE32A2"/>
    <w:rsid w:val="00EF1044"/>
    <w:rsid w:val="00EF192A"/>
    <w:rsid w:val="00EF26D3"/>
    <w:rsid w:val="00EF345C"/>
    <w:rsid w:val="00EF73BC"/>
    <w:rsid w:val="00EF74E8"/>
    <w:rsid w:val="00EF7D64"/>
    <w:rsid w:val="00F02BCA"/>
    <w:rsid w:val="00F074B6"/>
    <w:rsid w:val="00F11782"/>
    <w:rsid w:val="00F15D0A"/>
    <w:rsid w:val="00F16322"/>
    <w:rsid w:val="00F16D6D"/>
    <w:rsid w:val="00F203F6"/>
    <w:rsid w:val="00F20CD9"/>
    <w:rsid w:val="00F22C81"/>
    <w:rsid w:val="00F24383"/>
    <w:rsid w:val="00F2592E"/>
    <w:rsid w:val="00F306F6"/>
    <w:rsid w:val="00F30AC0"/>
    <w:rsid w:val="00F320FA"/>
    <w:rsid w:val="00F36B53"/>
    <w:rsid w:val="00F36C61"/>
    <w:rsid w:val="00F36F04"/>
    <w:rsid w:val="00F377EE"/>
    <w:rsid w:val="00F42F21"/>
    <w:rsid w:val="00F44898"/>
    <w:rsid w:val="00F451F1"/>
    <w:rsid w:val="00F45534"/>
    <w:rsid w:val="00F45BC9"/>
    <w:rsid w:val="00F50C6C"/>
    <w:rsid w:val="00F52F90"/>
    <w:rsid w:val="00F53276"/>
    <w:rsid w:val="00F555AE"/>
    <w:rsid w:val="00F56C17"/>
    <w:rsid w:val="00F61D5E"/>
    <w:rsid w:val="00F63126"/>
    <w:rsid w:val="00F63564"/>
    <w:rsid w:val="00F65534"/>
    <w:rsid w:val="00F708A8"/>
    <w:rsid w:val="00F726C8"/>
    <w:rsid w:val="00F72E85"/>
    <w:rsid w:val="00F7386D"/>
    <w:rsid w:val="00F73D47"/>
    <w:rsid w:val="00F740B0"/>
    <w:rsid w:val="00F7583D"/>
    <w:rsid w:val="00F75A84"/>
    <w:rsid w:val="00F75BBF"/>
    <w:rsid w:val="00F80B53"/>
    <w:rsid w:val="00F81C4E"/>
    <w:rsid w:val="00F8415C"/>
    <w:rsid w:val="00F93FD4"/>
    <w:rsid w:val="00F95688"/>
    <w:rsid w:val="00F962DE"/>
    <w:rsid w:val="00FA046B"/>
    <w:rsid w:val="00FA0AF1"/>
    <w:rsid w:val="00FA11E8"/>
    <w:rsid w:val="00FA2359"/>
    <w:rsid w:val="00FA3E44"/>
    <w:rsid w:val="00FA4EBE"/>
    <w:rsid w:val="00FA69C5"/>
    <w:rsid w:val="00FB0823"/>
    <w:rsid w:val="00FB0E8C"/>
    <w:rsid w:val="00FB12A7"/>
    <w:rsid w:val="00FB2EA4"/>
    <w:rsid w:val="00FB3240"/>
    <w:rsid w:val="00FB40EF"/>
    <w:rsid w:val="00FB451C"/>
    <w:rsid w:val="00FB6DFE"/>
    <w:rsid w:val="00FC060F"/>
    <w:rsid w:val="00FC0B15"/>
    <w:rsid w:val="00FC425C"/>
    <w:rsid w:val="00FC474A"/>
    <w:rsid w:val="00FD09C0"/>
    <w:rsid w:val="00FD574D"/>
    <w:rsid w:val="00FD6BA1"/>
    <w:rsid w:val="00FD73DD"/>
    <w:rsid w:val="00FE48B0"/>
    <w:rsid w:val="00FE5976"/>
    <w:rsid w:val="00FE5D61"/>
    <w:rsid w:val="00FE79E4"/>
    <w:rsid w:val="00FE7F4F"/>
    <w:rsid w:val="00FF1A4C"/>
    <w:rsid w:val="00FF2A23"/>
    <w:rsid w:val="00FF3C98"/>
    <w:rsid w:val="00FF418B"/>
    <w:rsid w:val="00FF55E1"/>
    <w:rsid w:val="00FF6441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8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0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locked/>
    <w:rsid w:val="00006CA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8168D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CD47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locked/>
    <w:rsid w:val="00CD4787"/>
    <w:rPr>
      <w:rFonts w:cs="Times New Roman"/>
    </w:rPr>
  </w:style>
  <w:style w:type="paragraph" w:styleId="a9">
    <w:name w:val="footer"/>
    <w:basedOn w:val="a"/>
    <w:link w:val="aa"/>
    <w:uiPriority w:val="99"/>
    <w:rsid w:val="00CD47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locked/>
    <w:rsid w:val="00CD4787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FC060F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locked/>
    <w:rsid w:val="00FC060F"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FC060F"/>
    <w:rPr>
      <w:rFonts w:cs="Times New Roman"/>
      <w:vertAlign w:val="superscript"/>
    </w:rPr>
  </w:style>
  <w:style w:type="table" w:styleId="ae">
    <w:name w:val="Table Grid"/>
    <w:basedOn w:val="a1"/>
    <w:uiPriority w:val="59"/>
    <w:rsid w:val="00B6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rsid w:val="007E49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1ED8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8D79A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D79A6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8D79A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79A6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8D79A6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8D7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8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0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locked/>
    <w:rsid w:val="00006CA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8168D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CD47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locked/>
    <w:rsid w:val="00CD4787"/>
    <w:rPr>
      <w:rFonts w:cs="Times New Roman"/>
    </w:rPr>
  </w:style>
  <w:style w:type="paragraph" w:styleId="a9">
    <w:name w:val="footer"/>
    <w:basedOn w:val="a"/>
    <w:link w:val="aa"/>
    <w:uiPriority w:val="99"/>
    <w:rsid w:val="00CD47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locked/>
    <w:rsid w:val="00CD4787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FC060F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locked/>
    <w:rsid w:val="00FC060F"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FC060F"/>
    <w:rPr>
      <w:rFonts w:cs="Times New Roman"/>
      <w:vertAlign w:val="superscript"/>
    </w:rPr>
  </w:style>
  <w:style w:type="table" w:styleId="ae">
    <w:name w:val="Table Grid"/>
    <w:basedOn w:val="a1"/>
    <w:uiPriority w:val="59"/>
    <w:rsid w:val="00B6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rsid w:val="007E49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1ED8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8D79A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D79A6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8D79A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79A6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8D79A6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8D7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A828C60-90B1-486A-A8F2-09A6F64E9BA6}"/>
</file>

<file path=customXml/itemProps2.xml><?xml version="1.0" encoding="utf-8"?>
<ds:datastoreItem xmlns:ds="http://schemas.openxmlformats.org/officeDocument/2006/customXml" ds:itemID="{AD429D2B-30AE-4956-9933-09713095584E}"/>
</file>

<file path=customXml/itemProps3.xml><?xml version="1.0" encoding="utf-8"?>
<ds:datastoreItem xmlns:ds="http://schemas.openxmlformats.org/officeDocument/2006/customXml" ds:itemID="{F6E77E27-03F0-4DA0-B892-23EF499B91BB}"/>
</file>

<file path=customXml/itemProps4.xml><?xml version="1.0" encoding="utf-8"?>
<ds:datastoreItem xmlns:ds="http://schemas.openxmlformats.org/officeDocument/2006/customXml" ds:itemID="{3A5F7843-36EB-4DF5-93DB-D5EFB2656F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717</Words>
  <Characters>3848</Characters>
  <Application>Microsoft Office Word</Application>
  <DocSecurity>0</DocSecurity>
  <Lines>32</Lines>
  <Paragraphs>9</Paragraphs>
  <ScaleCrop>false</ScaleCrop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2014-03-03T08:11:00Z</dcterms:created>
  <dcterms:modified xsi:type="dcterms:W3CDTF">2014-03-03T08:11:00Z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