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4818D0" w:rsidTr="00031A9D">
        <w:tc>
          <w:tcPr>
            <w:tcW w:w="3343" w:type="dxa"/>
            <w:tcBorders>
              <w:top w:val="nil"/>
              <w:left w:val="nil"/>
              <w:bottom w:val="nil"/>
              <w:right w:val="nil"/>
            </w:tcBorders>
            <w:vAlign w:val="center"/>
          </w:tcPr>
          <w:p w:rsidR="00031A9D" w:rsidRPr="00076460" w:rsidRDefault="00F84E2D" w:rsidP="005E28F6">
            <w:pPr>
              <w:bidi/>
              <w:spacing w:line="276" w:lineRule="auto"/>
              <w:jc w:val="center"/>
              <w:rPr>
                <w:rFonts w:ascii="Calibri" w:hAnsi="Calibri" w:cs="Calibri"/>
                <w:b/>
                <w:bCs/>
                <w:rtl/>
              </w:rPr>
            </w:pPr>
            <w:r w:rsidRPr="00076460">
              <w:rPr>
                <w:rFonts w:ascii="Calibri" w:hAnsi="Calibri" w:cs="Calibri"/>
                <w:b/>
                <w:bCs/>
                <w:rtl/>
              </w:rPr>
              <w:t>בנק ישראל</w:t>
            </w:r>
          </w:p>
          <w:p w:rsidR="00031A9D" w:rsidRPr="00076460" w:rsidRDefault="00F84E2D" w:rsidP="005E28F6">
            <w:pPr>
              <w:bidi/>
              <w:spacing w:line="276" w:lineRule="auto"/>
              <w:jc w:val="center"/>
              <w:rPr>
                <w:rFonts w:ascii="Calibri" w:hAnsi="Calibri" w:cs="Calibri"/>
                <w:b/>
                <w:bCs/>
              </w:rPr>
            </w:pPr>
            <w:r w:rsidRPr="0007646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031A9D" w:rsidRPr="00076460" w:rsidRDefault="00F84E2D" w:rsidP="005E28F6">
            <w:pPr>
              <w:bidi/>
              <w:jc w:val="center"/>
              <w:rPr>
                <w:rFonts w:ascii="Calibri" w:hAnsi="Calibri" w:cs="Calibri"/>
              </w:rPr>
            </w:pPr>
            <w:r w:rsidRPr="00076460">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076460" w:rsidRDefault="00F84E2D" w:rsidP="005E28F6">
            <w:pPr>
              <w:bidi/>
              <w:spacing w:line="276" w:lineRule="auto"/>
              <w:jc w:val="center"/>
              <w:rPr>
                <w:rFonts w:ascii="Calibri" w:hAnsi="Calibri" w:cs="Calibri"/>
                <w:rtl/>
              </w:rPr>
            </w:pPr>
            <w:r w:rsidRPr="00076460">
              <w:rPr>
                <w:rFonts w:ascii="Calibri" w:hAnsi="Calibri" w:cs="Calibri"/>
                <w:highlight w:val="green"/>
                <w:rtl/>
              </w:rPr>
              <w:t>‏</w:t>
            </w:r>
            <w:r w:rsidRPr="00076460">
              <w:rPr>
                <w:rFonts w:ascii="Calibri" w:hAnsi="Calibri" w:cs="Calibri"/>
                <w:rtl/>
              </w:rPr>
              <w:t xml:space="preserve">ירושלים, </w:t>
            </w:r>
            <w:r w:rsidRPr="00076460">
              <w:rPr>
                <w:rFonts w:ascii="Calibri" w:hAnsi="Calibri" w:cs="Calibri"/>
                <w:rtl/>
              </w:rPr>
              <w:fldChar w:fldCharType="begin"/>
            </w:r>
            <w:r w:rsidRPr="00076460">
              <w:rPr>
                <w:rFonts w:ascii="Calibri" w:hAnsi="Calibri" w:cs="Calibri"/>
                <w:rtl/>
              </w:rPr>
              <w:instrText xml:space="preserve"> </w:instrText>
            </w:r>
            <w:r w:rsidRPr="00076460">
              <w:rPr>
                <w:rFonts w:ascii="Calibri" w:hAnsi="Calibri" w:cs="Calibri"/>
              </w:rPr>
              <w:instrText>DATE</w:instrText>
            </w:r>
            <w:r w:rsidRPr="00076460">
              <w:rPr>
                <w:rFonts w:ascii="Calibri" w:hAnsi="Calibri" w:cs="Calibri"/>
                <w:rtl/>
              </w:rPr>
              <w:instrText xml:space="preserve"> \@ "</w:instrText>
            </w:r>
            <w:r w:rsidRPr="00076460">
              <w:rPr>
                <w:rFonts w:ascii="Calibri" w:hAnsi="Calibri" w:cs="Calibri"/>
              </w:rPr>
              <w:instrText>d MMMM, yyyy" \h</w:instrText>
            </w:r>
            <w:r w:rsidRPr="00076460">
              <w:rPr>
                <w:rFonts w:ascii="Calibri" w:hAnsi="Calibri" w:cs="Calibri"/>
                <w:rtl/>
              </w:rPr>
              <w:instrText xml:space="preserve"> </w:instrText>
            </w:r>
            <w:r w:rsidRPr="00076460">
              <w:rPr>
                <w:rFonts w:ascii="Calibri" w:hAnsi="Calibri" w:cs="Calibri"/>
                <w:rtl/>
              </w:rPr>
              <w:fldChar w:fldCharType="separate"/>
            </w:r>
            <w:r w:rsidR="00BE61DD">
              <w:rPr>
                <w:rFonts w:ascii="Calibri" w:hAnsi="Calibri" w:cs="Calibri"/>
                <w:noProof/>
                <w:rtl/>
              </w:rPr>
              <w:t>‏ח' אלול, תשפ"ה</w:t>
            </w:r>
            <w:r w:rsidRPr="00076460">
              <w:rPr>
                <w:rFonts w:ascii="Calibri" w:hAnsi="Calibri" w:cs="Calibri"/>
                <w:rtl/>
              </w:rPr>
              <w:fldChar w:fldCharType="end"/>
            </w:r>
          </w:p>
          <w:p w:rsidR="00031A9D" w:rsidRPr="00076460" w:rsidRDefault="00F84E2D" w:rsidP="005E28F6">
            <w:pPr>
              <w:bidi/>
              <w:spacing w:line="276" w:lineRule="auto"/>
              <w:jc w:val="center"/>
              <w:rPr>
                <w:rFonts w:ascii="Calibri" w:hAnsi="Calibri" w:cs="Calibri"/>
                <w:highlight w:val="green"/>
              </w:rPr>
            </w:pPr>
            <w:r w:rsidRPr="00076460">
              <w:rPr>
                <w:rFonts w:ascii="Calibri" w:hAnsi="Calibri" w:cs="Calibri"/>
                <w:rtl/>
              </w:rPr>
              <w:fldChar w:fldCharType="begin"/>
            </w:r>
            <w:r w:rsidRPr="00076460">
              <w:rPr>
                <w:rFonts w:ascii="Calibri" w:hAnsi="Calibri" w:cs="Calibri"/>
                <w:rtl/>
              </w:rPr>
              <w:instrText xml:space="preserve"> </w:instrText>
            </w:r>
            <w:r w:rsidRPr="00076460">
              <w:rPr>
                <w:rFonts w:ascii="Calibri" w:hAnsi="Calibri" w:cs="Calibri"/>
              </w:rPr>
              <w:instrText>DATE</w:instrText>
            </w:r>
            <w:r w:rsidRPr="00076460">
              <w:rPr>
                <w:rFonts w:ascii="Calibri" w:hAnsi="Calibri" w:cs="Calibri"/>
                <w:rtl/>
              </w:rPr>
              <w:instrText xml:space="preserve"> \@ "</w:instrText>
            </w:r>
            <w:r w:rsidRPr="00076460">
              <w:rPr>
                <w:rFonts w:ascii="Calibri" w:hAnsi="Calibri" w:cs="Calibri"/>
              </w:rPr>
              <w:instrText>d MMMM, yyyy</w:instrText>
            </w:r>
            <w:r w:rsidRPr="00076460">
              <w:rPr>
                <w:rFonts w:ascii="Calibri" w:hAnsi="Calibri" w:cs="Calibri"/>
                <w:rtl/>
              </w:rPr>
              <w:instrText xml:space="preserve">" </w:instrText>
            </w:r>
            <w:r w:rsidRPr="00076460">
              <w:rPr>
                <w:rFonts w:ascii="Calibri" w:hAnsi="Calibri" w:cs="Calibri"/>
                <w:rtl/>
              </w:rPr>
              <w:fldChar w:fldCharType="separate"/>
            </w:r>
            <w:r w:rsidR="00BE61DD">
              <w:rPr>
                <w:rFonts w:ascii="Calibri" w:hAnsi="Calibri" w:cs="Calibri"/>
                <w:noProof/>
                <w:rtl/>
              </w:rPr>
              <w:t>‏1 ספטמבר, 2025</w:t>
            </w:r>
            <w:r w:rsidRPr="00076460">
              <w:rPr>
                <w:rFonts w:ascii="Calibri" w:hAnsi="Calibri" w:cs="Calibri"/>
                <w:rtl/>
              </w:rPr>
              <w:fldChar w:fldCharType="end"/>
            </w:r>
          </w:p>
        </w:tc>
      </w:tr>
    </w:tbl>
    <w:p w:rsidR="00031A9D" w:rsidRPr="00076460" w:rsidRDefault="00031A9D" w:rsidP="005E28F6">
      <w:pPr>
        <w:bidi/>
        <w:rPr>
          <w:rFonts w:ascii="Calibri" w:hAnsi="Calibri" w:cs="Calibri"/>
          <w:rtl/>
        </w:rPr>
      </w:pPr>
    </w:p>
    <w:p w:rsidR="00E50D3C" w:rsidRPr="00076460" w:rsidRDefault="00F84E2D" w:rsidP="00E50D3C">
      <w:pPr>
        <w:bidi/>
        <w:spacing w:line="360" w:lineRule="auto"/>
        <w:rPr>
          <w:rFonts w:ascii="Calibri" w:hAnsi="Calibri" w:cs="Calibri"/>
          <w:rtl/>
          <w:lang w:bidi="ar-SA"/>
        </w:rPr>
      </w:pPr>
      <w:r w:rsidRPr="00076460">
        <w:rPr>
          <w:rFonts w:ascii="Calibri" w:hAnsi="Calibri" w:cs="Calibri"/>
          <w:rtl/>
          <w:lang w:bidi="ar-SA"/>
        </w:rPr>
        <w:t>بيان صحفي:</w:t>
      </w:r>
    </w:p>
    <w:p w:rsidR="006545FF" w:rsidRPr="00076460" w:rsidRDefault="00F84E2D" w:rsidP="00F84E2D">
      <w:pPr>
        <w:bidi/>
        <w:spacing w:after="0" w:line="276" w:lineRule="auto"/>
        <w:ind w:right="-57"/>
        <w:jc w:val="center"/>
        <w:rPr>
          <w:rFonts w:ascii="Calibri" w:hAnsi="Calibri" w:cs="Calibri" w:hint="cs"/>
          <w:b/>
          <w:bCs/>
          <w:sz w:val="32"/>
          <w:szCs w:val="32"/>
          <w:rtl/>
        </w:rPr>
      </w:pPr>
      <w:r w:rsidRPr="00076460">
        <w:rPr>
          <w:rFonts w:ascii="Calibri" w:hAnsi="Calibri" w:cs="Calibri"/>
          <w:b/>
          <w:bCs/>
          <w:sz w:val="32"/>
          <w:szCs w:val="32"/>
          <w:rtl/>
          <w:lang w:bidi="ar-SA"/>
        </w:rPr>
        <w:t>الم</w:t>
      </w:r>
      <w:r w:rsidRPr="00076460">
        <w:rPr>
          <w:rFonts w:ascii="Calibri" w:hAnsi="Calibri" w:cs="Calibri"/>
          <w:b/>
          <w:bCs/>
          <w:sz w:val="32"/>
          <w:szCs w:val="32"/>
          <w:rtl/>
          <w:lang w:bidi="ar-SA"/>
        </w:rPr>
        <w:t>ؤشر المدمج لشهر تموز انخفض بنسبة</w:t>
      </w:r>
      <w:r w:rsidRPr="00076460">
        <w:rPr>
          <w:rFonts w:ascii="Calibri" w:hAnsi="Calibri" w:cs="Calibri"/>
          <w:b/>
          <w:bCs/>
          <w:sz w:val="32"/>
          <w:szCs w:val="32"/>
          <w:rtl/>
          <w:lang w:bidi="ar-SA"/>
        </w:rPr>
        <w:t xml:space="preserve"> </w:t>
      </w:r>
      <w:r>
        <w:rPr>
          <w:rFonts w:ascii="Calibri" w:hAnsi="Calibri" w:cs="Calibri" w:hint="cs"/>
          <w:b/>
          <w:bCs/>
          <w:sz w:val="32"/>
          <w:szCs w:val="32"/>
          <w:rtl/>
        </w:rPr>
        <w:t>4</w:t>
      </w:r>
      <w:bookmarkStart w:id="0" w:name="_GoBack"/>
      <w:bookmarkEnd w:id="0"/>
      <w:r w:rsidRPr="00076460">
        <w:rPr>
          <w:rFonts w:ascii="Calibri" w:hAnsi="Calibri" w:cs="Calibri"/>
          <w:b/>
          <w:bCs/>
          <w:sz w:val="32"/>
          <w:szCs w:val="32"/>
          <w:lang w:bidi="ar-SA"/>
        </w:rPr>
        <w:t>0.6</w:t>
      </w:r>
      <w:r w:rsidRPr="00076460">
        <w:rPr>
          <w:rFonts w:ascii="Calibri" w:hAnsi="Calibri" w:cs="Calibri"/>
          <w:b/>
          <w:bCs/>
          <w:sz w:val="32"/>
          <w:szCs w:val="32"/>
          <w:rtl/>
          <w:lang w:bidi="ar-SA"/>
        </w:rPr>
        <w:t>٪</w:t>
      </w:r>
    </w:p>
    <w:p w:rsidR="006545FF" w:rsidRPr="00076460" w:rsidRDefault="00F84E2D" w:rsidP="006545FF">
      <w:pPr>
        <w:bidi/>
        <w:spacing w:after="0" w:line="276" w:lineRule="auto"/>
        <w:ind w:right="-57"/>
        <w:jc w:val="center"/>
        <w:rPr>
          <w:rFonts w:ascii="Calibri" w:hAnsi="Calibri" w:cs="Calibri"/>
          <w:b/>
          <w:bCs/>
          <w:lang w:bidi="ar-SA"/>
        </w:rPr>
      </w:pPr>
      <w:r w:rsidRPr="00076460">
        <w:rPr>
          <w:rFonts w:ascii="Calibri" w:hAnsi="Calibri" w:cs="Calibri"/>
          <w:b/>
          <w:bCs/>
          <w:rtl/>
          <w:lang w:bidi="ar-SA"/>
        </w:rPr>
        <w:t>هذا</w:t>
      </w:r>
      <w:r w:rsidRPr="00076460">
        <w:rPr>
          <w:rFonts w:ascii="Calibri" w:hAnsi="Calibri" w:cs="Calibri"/>
          <w:b/>
          <w:bCs/>
          <w:rtl/>
        </w:rPr>
        <w:t xml:space="preserve"> </w:t>
      </w:r>
      <w:r w:rsidRPr="00076460">
        <w:rPr>
          <w:rFonts w:ascii="Calibri" w:hAnsi="Calibri" w:cs="Calibri"/>
          <w:b/>
          <w:bCs/>
          <w:rtl/>
          <w:lang w:bidi="ar-SA"/>
        </w:rPr>
        <w:t>هو</w:t>
      </w:r>
      <w:r w:rsidRPr="00076460">
        <w:rPr>
          <w:rFonts w:ascii="Calibri" w:hAnsi="Calibri" w:cs="Calibri"/>
          <w:b/>
          <w:bCs/>
          <w:rtl/>
        </w:rPr>
        <w:t xml:space="preserve"> </w:t>
      </w:r>
      <w:r w:rsidRPr="00076460">
        <w:rPr>
          <w:rFonts w:ascii="Calibri" w:hAnsi="Calibri" w:cs="Calibri"/>
          <w:b/>
          <w:bCs/>
          <w:rtl/>
          <w:lang w:bidi="ar-SA"/>
        </w:rPr>
        <w:t>النشر</w:t>
      </w:r>
      <w:r w:rsidRPr="00076460">
        <w:rPr>
          <w:rFonts w:ascii="Calibri" w:hAnsi="Calibri" w:cs="Calibri"/>
          <w:b/>
          <w:bCs/>
          <w:rtl/>
        </w:rPr>
        <w:t xml:space="preserve"> </w:t>
      </w:r>
      <w:r w:rsidRPr="00076460">
        <w:rPr>
          <w:rFonts w:ascii="Calibri" w:hAnsi="Calibri" w:cs="Calibri"/>
          <w:b/>
          <w:bCs/>
          <w:rtl/>
          <w:lang w:bidi="ar-SA"/>
        </w:rPr>
        <w:t>الأخير</w:t>
      </w:r>
      <w:r w:rsidRPr="00076460">
        <w:rPr>
          <w:rFonts w:ascii="Calibri" w:hAnsi="Calibri" w:cs="Calibri"/>
          <w:b/>
          <w:bCs/>
          <w:rtl/>
        </w:rPr>
        <w:t xml:space="preserve"> </w:t>
      </w:r>
      <w:r w:rsidRPr="00076460">
        <w:rPr>
          <w:rFonts w:ascii="Calibri" w:hAnsi="Calibri" w:cs="Calibri"/>
          <w:b/>
          <w:bCs/>
          <w:rtl/>
          <w:lang w:bidi="ar-SA"/>
        </w:rPr>
        <w:t>للمؤشر</w:t>
      </w:r>
      <w:r w:rsidRPr="00076460">
        <w:rPr>
          <w:rFonts w:ascii="Calibri" w:hAnsi="Calibri" w:cs="Calibri"/>
          <w:b/>
          <w:bCs/>
          <w:rtl/>
        </w:rPr>
        <w:t xml:space="preserve"> </w:t>
      </w:r>
      <w:r w:rsidRPr="00076460">
        <w:rPr>
          <w:rFonts w:ascii="Calibri" w:hAnsi="Calibri" w:cs="Calibri"/>
          <w:b/>
          <w:bCs/>
          <w:rtl/>
          <w:lang w:bidi="ar-SA"/>
        </w:rPr>
        <w:t>المدمج</w:t>
      </w:r>
      <w:r w:rsidRPr="00076460">
        <w:rPr>
          <w:rFonts w:ascii="Calibri" w:hAnsi="Calibri" w:cs="Calibri"/>
          <w:b/>
          <w:bCs/>
          <w:rtl/>
        </w:rPr>
        <w:t xml:space="preserve"> </w:t>
      </w:r>
      <w:r w:rsidRPr="00076460">
        <w:rPr>
          <w:rFonts w:ascii="Calibri" w:hAnsi="Calibri" w:cs="Calibri"/>
          <w:b/>
          <w:bCs/>
          <w:rtl/>
          <w:lang w:bidi="ar-SA"/>
        </w:rPr>
        <w:t>بصيغته</w:t>
      </w:r>
      <w:r w:rsidRPr="00076460">
        <w:rPr>
          <w:rFonts w:ascii="Calibri" w:hAnsi="Calibri" w:cs="Calibri"/>
          <w:b/>
          <w:bCs/>
          <w:rtl/>
        </w:rPr>
        <w:t xml:space="preserve"> </w:t>
      </w:r>
      <w:r w:rsidRPr="00076460">
        <w:rPr>
          <w:rFonts w:ascii="Calibri" w:hAnsi="Calibri" w:cs="Calibri"/>
          <w:b/>
          <w:bCs/>
          <w:rtl/>
          <w:lang w:bidi="ar-SA"/>
        </w:rPr>
        <w:t>الحالية</w:t>
      </w:r>
      <w:r w:rsidRPr="00076460">
        <w:rPr>
          <w:rFonts w:ascii="Calibri" w:hAnsi="Calibri" w:cs="Calibri"/>
          <w:b/>
          <w:bCs/>
          <w:rtl/>
        </w:rPr>
        <w:t>.</w:t>
      </w:r>
    </w:p>
    <w:p w:rsidR="006545FF" w:rsidRPr="00076460" w:rsidRDefault="006545FF" w:rsidP="006545FF">
      <w:pPr>
        <w:bidi/>
        <w:spacing w:after="120" w:line="360" w:lineRule="auto"/>
        <w:ind w:right="-57"/>
        <w:jc w:val="both"/>
        <w:rPr>
          <w:rFonts w:ascii="Calibri" w:hAnsi="Calibri" w:cs="Calibri"/>
          <w:rtl/>
        </w:rPr>
      </w:pPr>
    </w:p>
    <w:p w:rsidR="00FE151B" w:rsidRPr="00076460" w:rsidRDefault="00F84E2D" w:rsidP="00FE151B">
      <w:pPr>
        <w:pStyle w:val="p1"/>
        <w:bidi/>
        <w:rPr>
          <w:rFonts w:ascii="Calibri" w:hAnsi="Calibri" w:cs="Calibri"/>
        </w:rPr>
      </w:pPr>
      <w:r w:rsidRPr="00076460">
        <w:rPr>
          <w:rFonts w:ascii="Calibri" w:hAnsi="Calibri" w:cs="Calibri"/>
          <w:rtl/>
        </w:rPr>
        <w:t xml:space="preserve">المؤشر المدمج لشهر تموز انخفض بنسبة </w:t>
      </w:r>
      <w:r w:rsidRPr="00076460">
        <w:rPr>
          <w:rFonts w:ascii="Calibri" w:hAnsi="Calibri" w:cs="Calibri"/>
          <w:cs/>
        </w:rPr>
        <w:t>‎</w:t>
      </w:r>
      <w:r w:rsidRPr="00076460">
        <w:rPr>
          <w:rFonts w:ascii="Calibri" w:hAnsi="Calibri" w:cs="Calibri"/>
        </w:rPr>
        <w:t>0.64</w:t>
      </w:r>
      <w:r w:rsidRPr="00076460">
        <w:rPr>
          <w:rFonts w:ascii="Calibri" w:hAnsi="Calibri" w:cs="Calibri"/>
          <w:cs/>
        </w:rPr>
        <w:t>‎</w:t>
      </w:r>
      <w:r w:rsidRPr="00076460">
        <w:rPr>
          <w:rFonts w:ascii="Calibri" w:hAnsi="Calibri" w:cs="Calibri"/>
          <w:rtl/>
        </w:rPr>
        <w:t>٪. ويعكس هذا الانخفاض استمرار تأثيرات عملية "الأسد الصاعد"</w:t>
      </w:r>
      <w:r w:rsidRPr="00076460">
        <w:rPr>
          <w:rFonts w:ascii="Calibri" w:hAnsi="Calibri" w:cs="Calibri"/>
          <w:rtl/>
        </w:rPr>
        <w:t xml:space="preserve"> على مكوّنات المؤشر عن شهر حزيران. في المقابل، أظهرت المكوّنات التي تم الإبلاغ عنها حتى الآن لشهر تموز ارتفاعًا، مما يعكس تحسّنًا في النشاط الاقتصادي بعد انتهاء العملية.</w:t>
      </w:r>
    </w:p>
    <w:p w:rsidR="00FE151B" w:rsidRPr="00076460" w:rsidRDefault="00F84E2D" w:rsidP="00FE151B">
      <w:pPr>
        <w:pStyle w:val="p1"/>
        <w:bidi/>
        <w:rPr>
          <w:rFonts w:ascii="Calibri" w:hAnsi="Calibri" w:cs="Calibri"/>
          <w:rtl/>
        </w:rPr>
      </w:pPr>
      <w:r w:rsidRPr="00076460">
        <w:rPr>
          <w:rFonts w:ascii="Calibri" w:hAnsi="Calibri" w:cs="Calibri"/>
          <w:rtl/>
        </w:rPr>
        <w:t>الجدول 1 يوضح التحديثات الرجعية للمؤشر. الجدول 2 يوضح تطوّر مكوّنات المؤشر في الأشهر ا</w:t>
      </w:r>
      <w:r w:rsidRPr="00076460">
        <w:rPr>
          <w:rFonts w:ascii="Calibri" w:hAnsi="Calibri" w:cs="Calibri"/>
          <w:rtl/>
        </w:rPr>
        <w:t xml:space="preserve">لأخيرة. توضيحات مفصّلة بشأن منهجية احتساب المؤشر المدمج، إضافةً إلى جداول مفصّلة بعيدة المدى، يمكن العثور عليها </w:t>
      </w:r>
    </w:p>
    <w:p w:rsidR="00FE151B" w:rsidRPr="00076460" w:rsidRDefault="00F84E2D" w:rsidP="00FE151B">
      <w:pPr>
        <w:pStyle w:val="p1"/>
        <w:bidi/>
        <w:rPr>
          <w:rFonts w:ascii="Calibri" w:hAnsi="Calibri" w:cs="Calibri"/>
          <w:rtl/>
        </w:rPr>
      </w:pPr>
      <w:r w:rsidRPr="00076460">
        <w:rPr>
          <w:rFonts w:ascii="Calibri" w:hAnsi="Calibri" w:cs="Calibri"/>
          <w:rtl/>
        </w:rPr>
        <w:t xml:space="preserve">عبر الرابط: </w:t>
      </w:r>
      <w:hyperlink r:id="rId8" w:history="1">
        <w:r w:rsidRPr="00076460">
          <w:rPr>
            <w:rStyle w:val="Hyperlink"/>
            <w:rFonts w:ascii="Calibri" w:hAnsi="Calibri" w:cs="Calibri"/>
          </w:rPr>
          <w:t>https://www.boi.org.il/roles/statistics/compositeindex/</w:t>
        </w:r>
      </w:hyperlink>
    </w:p>
    <w:p w:rsidR="00FE151B" w:rsidRPr="00076460" w:rsidRDefault="00F84E2D" w:rsidP="00FE151B">
      <w:pPr>
        <w:pStyle w:val="p1"/>
        <w:bidi/>
        <w:rPr>
          <w:rFonts w:ascii="Calibri" w:hAnsi="Calibri" w:cs="Calibri"/>
          <w:rtl/>
        </w:rPr>
      </w:pPr>
      <w:r w:rsidRPr="00076460">
        <w:rPr>
          <w:rFonts w:ascii="Calibri" w:hAnsi="Calibri" w:cs="Calibri"/>
          <w:b/>
          <w:bCs/>
          <w:rtl/>
        </w:rPr>
        <w:t>هذا</w:t>
      </w:r>
      <w:r w:rsidRPr="00076460">
        <w:rPr>
          <w:rFonts w:ascii="Calibri" w:hAnsi="Calibri" w:cs="Calibri"/>
          <w:b/>
          <w:bCs/>
          <w:rtl/>
        </w:rPr>
        <w:t xml:space="preserve"> هو النشر الأخير "للمؤشر المدمج للوضع الاقتصادي" بصيغته الحالية. وابتداءً من الشهر القادم، سيقوم بنك إسرائيل بنشر مؤشر جديد بعنوان: "المؤشر الشهري للنشاط الاقتصادي". </w:t>
      </w:r>
      <w:r w:rsidRPr="00076460">
        <w:rPr>
          <w:rFonts w:ascii="Calibri" w:hAnsi="Calibri" w:cs="Calibri"/>
          <w:rtl/>
        </w:rPr>
        <w:t>يعتمد المؤشر الجديد على أداة بحثية متقدّمة ويهدف إلى تزويد صورة أدقّ وأحدث لوتيرة النمو ال</w:t>
      </w:r>
      <w:r w:rsidRPr="00076460">
        <w:rPr>
          <w:rFonts w:ascii="Calibri" w:hAnsi="Calibri" w:cs="Calibri"/>
          <w:rtl/>
        </w:rPr>
        <w:t>شهري في الاقتصاد الإسرائيلي. ويستند المؤشر الجديد إلى معالجة بيانات مأخوذة من أكثر من 30 سلسلة اقتصادية بواسطة نموذج إحصائي خاص طوّره بنك إسرائيل، وهو يوفّر إشارات مبكرة للتغيّرات في بيئة النمو مقارنةً بالمؤشر المدمج. يمكن العثور على وصف للمؤشر الجديد والم</w:t>
      </w:r>
      <w:r w:rsidRPr="00076460">
        <w:rPr>
          <w:rFonts w:ascii="Calibri" w:hAnsi="Calibri" w:cs="Calibri"/>
          <w:rtl/>
        </w:rPr>
        <w:t>نهجية التي يقوم عليها في موقع بنك إسرائيل.</w:t>
      </w:r>
    </w:p>
    <w:p w:rsidR="00FE151B" w:rsidRPr="00076460" w:rsidRDefault="00F84E2D" w:rsidP="00FE151B">
      <w:pPr>
        <w:pStyle w:val="p1"/>
        <w:bidi/>
        <w:rPr>
          <w:rFonts w:ascii="Calibri" w:hAnsi="Calibri" w:cs="Calibri"/>
          <w:rtl/>
        </w:rPr>
      </w:pPr>
      <w:r w:rsidRPr="00076460">
        <w:rPr>
          <w:rFonts w:ascii="Calibri" w:hAnsi="Calibri" w:cs="Calibri"/>
          <w:rtl/>
        </w:rPr>
        <w:t xml:space="preserve">سيواصل بنك إسرائيل احتساب المؤشر المدمج الحالي خلال السنة القادمة لأغراض المتابعة والرقابة، وسيكون متاحًا في قاعدة </w:t>
      </w:r>
      <w:hyperlink r:id="rId9" w:anchor="?locale=he" w:history="1">
        <w:r w:rsidRPr="00076460">
          <w:rPr>
            <w:rStyle w:val="Hyperlink"/>
            <w:rFonts w:ascii="Calibri" w:hAnsi="Calibri" w:cs="Calibri"/>
            <w:rtl/>
          </w:rPr>
          <w:t>بيانات السلاسل على الموقع الإلكتروني</w:t>
        </w:r>
      </w:hyperlink>
      <w:r w:rsidRPr="00076460">
        <w:rPr>
          <w:rFonts w:ascii="Calibri" w:hAnsi="Calibri" w:cs="Calibri"/>
          <w:rtl/>
        </w:rPr>
        <w:t>.</w:t>
      </w:r>
    </w:p>
    <w:p w:rsidR="00E50D3C" w:rsidRPr="00076460" w:rsidRDefault="00F84E2D" w:rsidP="00E50D3C">
      <w:pPr>
        <w:pStyle w:val="1"/>
        <w:bidi/>
        <w:rPr>
          <w:rFonts w:ascii="Calibri" w:hAnsi="Calibri" w:cs="Calibri" w:hint="default"/>
          <w:rtl/>
          <w:lang w:bidi="ar-SA"/>
        </w:rPr>
      </w:pPr>
      <w:r w:rsidRPr="00076460">
        <w:rPr>
          <w:rFonts w:ascii="Calibri" w:hAnsi="Calibri" w:cs="Calibri" w:hint="default"/>
          <w:rtl/>
          <w:lang w:bidi="ar-SA"/>
        </w:rPr>
        <w:t>جدو</w:t>
      </w:r>
      <w:r w:rsidRPr="00076460">
        <w:rPr>
          <w:rFonts w:ascii="Calibri" w:hAnsi="Calibri" w:cs="Calibri" w:hint="default"/>
          <w:rtl/>
          <w:lang w:bidi="ar-SA"/>
        </w:rPr>
        <w:t>ل</w:t>
      </w:r>
      <w:r w:rsidRPr="00076460">
        <w:rPr>
          <w:rFonts w:ascii="Calibri" w:hAnsi="Calibri" w:cs="Calibri" w:hint="default"/>
          <w:rtl/>
        </w:rPr>
        <w:t xml:space="preserve"> 1: </w:t>
      </w:r>
      <w:r w:rsidRPr="00076460">
        <w:rPr>
          <w:rFonts w:ascii="Calibri" w:hAnsi="Calibri" w:cs="Calibri" w:hint="default"/>
          <w:b w:val="0"/>
          <w:bCs w:val="0"/>
          <w:rtl/>
          <w:lang w:bidi="ar-SA"/>
        </w:rPr>
        <w:t>التحديثات</w:t>
      </w:r>
      <w:r w:rsidRPr="00076460">
        <w:rPr>
          <w:rFonts w:ascii="Calibri" w:hAnsi="Calibri" w:cs="Calibri" w:hint="default"/>
          <w:b w:val="0"/>
          <w:bCs w:val="0"/>
          <w:rtl/>
        </w:rPr>
        <w:t xml:space="preserve"> </w:t>
      </w:r>
      <w:r w:rsidRPr="00076460">
        <w:rPr>
          <w:rFonts w:ascii="Calibri" w:hAnsi="Calibri" w:cs="Calibri" w:hint="default"/>
          <w:b w:val="0"/>
          <w:bCs w:val="0"/>
          <w:rtl/>
          <w:lang w:bidi="ar-SA"/>
        </w:rPr>
        <w:t>الرجعية</w:t>
      </w:r>
      <w:r w:rsidRPr="00076460">
        <w:rPr>
          <w:rFonts w:ascii="Calibri" w:hAnsi="Calibri" w:cs="Calibri" w:hint="default"/>
          <w:b w:val="0"/>
          <w:bCs w:val="0"/>
          <w:rtl/>
        </w:rPr>
        <w:t xml:space="preserve"> </w:t>
      </w:r>
      <w:r w:rsidRPr="00076460">
        <w:rPr>
          <w:rFonts w:ascii="Calibri" w:hAnsi="Calibri" w:cs="Calibri" w:hint="default"/>
          <w:b w:val="0"/>
          <w:bCs w:val="0"/>
          <w:rtl/>
          <w:lang w:bidi="ar-SA"/>
        </w:rPr>
        <w:t>للمؤشر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932"/>
        <w:gridCol w:w="1430"/>
        <w:gridCol w:w="1452"/>
      </w:tblGrid>
      <w:tr w:rsidR="004818D0" w:rsidTr="00030C60">
        <w:trPr>
          <w:trHeight w:hRule="exact" w:val="479"/>
          <w:tblHeader/>
        </w:trPr>
        <w:tc>
          <w:tcPr>
            <w:tcW w:w="0" w:type="auto"/>
            <w:vAlign w:val="bottom"/>
          </w:tcPr>
          <w:p w:rsidR="00FE151B" w:rsidRPr="00076460" w:rsidRDefault="00F84E2D" w:rsidP="00FE151B">
            <w:pPr>
              <w:pStyle w:val="af0"/>
              <w:spacing w:line="240" w:lineRule="auto"/>
              <w:ind w:left="0" w:firstLine="0"/>
              <w:jc w:val="left"/>
              <w:rPr>
                <w:rFonts w:ascii="Calibri" w:hAnsi="Calibri" w:cs="Calibri"/>
              </w:rPr>
            </w:pPr>
            <w:r w:rsidRPr="00076460">
              <w:rPr>
                <w:rFonts w:ascii="Calibri" w:hAnsi="Calibri" w:cs="Calibri"/>
                <w:b/>
                <w:bCs/>
                <w:rtl/>
                <w:lang w:bidi="ar-SA"/>
              </w:rPr>
              <w:t>التغير في المؤشر</w:t>
            </w:r>
            <w:r w:rsidRPr="00076460">
              <w:rPr>
                <w:rFonts w:ascii="Calibri" w:hAnsi="Calibri" w:cs="Calibri"/>
                <w:b/>
                <w:bCs/>
                <w:rtl/>
              </w:rPr>
              <w:t xml:space="preserve"> (</w:t>
            </w:r>
            <w:r w:rsidRPr="00076460">
              <w:rPr>
                <w:rFonts w:ascii="Calibri" w:hAnsi="Calibri" w:cs="Calibri"/>
                <w:b/>
                <w:bCs/>
                <w:rtl/>
                <w:lang w:bidi="ar-SA"/>
              </w:rPr>
              <w:t>بالنسبة المئوية</w:t>
            </w:r>
            <w:r w:rsidRPr="00076460">
              <w:rPr>
                <w:rFonts w:ascii="Calibri" w:hAnsi="Calibri" w:cs="Calibri"/>
                <w:b/>
                <w:bCs/>
                <w:rtl/>
              </w:rPr>
              <w:t>)</w:t>
            </w:r>
          </w:p>
        </w:tc>
        <w:tc>
          <w:tcPr>
            <w:tcW w:w="0" w:type="auto"/>
            <w:vAlign w:val="bottom"/>
          </w:tcPr>
          <w:p w:rsidR="00FE151B" w:rsidRPr="00076460" w:rsidRDefault="00F84E2D" w:rsidP="00FE151B">
            <w:pPr>
              <w:pStyle w:val="af0"/>
              <w:spacing w:line="240" w:lineRule="auto"/>
              <w:ind w:left="0" w:firstLine="0"/>
              <w:jc w:val="left"/>
              <w:rPr>
                <w:rFonts w:ascii="Calibri" w:hAnsi="Calibri" w:cs="Calibri"/>
                <w:b/>
                <w:bCs/>
              </w:rPr>
            </w:pPr>
            <w:r w:rsidRPr="00076460">
              <w:rPr>
                <w:rFonts w:ascii="Calibri" w:hAnsi="Calibri" w:cs="Calibri"/>
                <w:b/>
                <w:bCs/>
                <w:rtl/>
                <w:lang w:bidi="ar-SA"/>
              </w:rPr>
              <w:t>المعطى السابق</w:t>
            </w:r>
          </w:p>
        </w:tc>
        <w:tc>
          <w:tcPr>
            <w:tcW w:w="0" w:type="auto"/>
            <w:vAlign w:val="bottom"/>
          </w:tcPr>
          <w:p w:rsidR="00FE151B" w:rsidRPr="00076460" w:rsidRDefault="00F84E2D" w:rsidP="00FE151B">
            <w:pPr>
              <w:pStyle w:val="af0"/>
              <w:tabs>
                <w:tab w:val="center" w:pos="886"/>
              </w:tabs>
              <w:bidi w:val="0"/>
              <w:spacing w:line="240" w:lineRule="auto"/>
              <w:ind w:left="0" w:firstLine="0"/>
              <w:jc w:val="left"/>
              <w:rPr>
                <w:rFonts w:ascii="Calibri" w:hAnsi="Calibri" w:cs="Calibri"/>
                <w:b/>
                <w:bCs/>
                <w:rtl/>
              </w:rPr>
            </w:pPr>
            <w:r w:rsidRPr="00076460">
              <w:rPr>
                <w:rFonts w:ascii="Calibri" w:hAnsi="Calibri" w:cs="Calibri"/>
                <w:b/>
                <w:bCs/>
                <w:rtl/>
                <w:lang w:bidi="ar-SA"/>
              </w:rPr>
              <w:t>المعطى الجديد</w:t>
            </w:r>
          </w:p>
        </w:tc>
      </w:tr>
      <w:tr w:rsidR="004818D0" w:rsidTr="00030C60">
        <w:trPr>
          <w:trHeight w:hRule="exact" w:val="397"/>
        </w:trPr>
        <w:tc>
          <w:tcPr>
            <w:tcW w:w="0" w:type="auto"/>
            <w:vAlign w:val="bottom"/>
          </w:tcPr>
          <w:p w:rsidR="00E50D3C" w:rsidRPr="00076460" w:rsidRDefault="00F84E2D" w:rsidP="00030C60">
            <w:pPr>
              <w:bidi/>
              <w:rPr>
                <w:rFonts w:ascii="Calibri" w:hAnsi="Calibri" w:cs="Calibri"/>
                <w:rtl/>
                <w:lang w:bidi="ar-SA"/>
              </w:rPr>
            </w:pPr>
            <w:r w:rsidRPr="00076460">
              <w:rPr>
                <w:rFonts w:ascii="Calibri" w:hAnsi="Calibri" w:cs="Calibri"/>
                <w:rtl/>
                <w:lang w:bidi="ar-SA"/>
              </w:rPr>
              <w:t>تموز</w:t>
            </w:r>
          </w:p>
        </w:tc>
        <w:tc>
          <w:tcPr>
            <w:tcW w:w="0" w:type="auto"/>
            <w:vAlign w:val="bottom"/>
          </w:tcPr>
          <w:p w:rsidR="00E50D3C" w:rsidRPr="00076460" w:rsidRDefault="00E50D3C" w:rsidP="00030C60">
            <w:pPr>
              <w:pStyle w:val="af0"/>
              <w:spacing w:after="0" w:line="240" w:lineRule="auto"/>
              <w:ind w:left="0" w:firstLine="0"/>
              <w:jc w:val="center"/>
              <w:rPr>
                <w:rFonts w:ascii="Calibri" w:hAnsi="Calibri" w:cs="Calibri"/>
                <w:sz w:val="24"/>
                <w:rtl/>
              </w:rPr>
            </w:pPr>
          </w:p>
        </w:tc>
        <w:tc>
          <w:tcPr>
            <w:tcW w:w="0" w:type="auto"/>
            <w:vAlign w:val="bottom"/>
          </w:tcPr>
          <w:p w:rsidR="00E50D3C" w:rsidRPr="00076460" w:rsidRDefault="00F84E2D" w:rsidP="00030C60">
            <w:pPr>
              <w:pStyle w:val="af0"/>
              <w:spacing w:after="0" w:line="240" w:lineRule="auto"/>
              <w:ind w:left="0" w:firstLine="0"/>
              <w:jc w:val="center"/>
              <w:rPr>
                <w:rFonts w:ascii="Calibri" w:hAnsi="Calibri" w:cs="Calibri"/>
                <w:sz w:val="24"/>
                <w:rtl/>
              </w:rPr>
            </w:pPr>
            <w:r w:rsidRPr="00076460">
              <w:rPr>
                <w:rFonts w:ascii="Calibri" w:hAnsi="Calibri" w:cs="Calibri"/>
                <w:sz w:val="24"/>
                <w:rtl/>
              </w:rPr>
              <w:t>0.64-</w:t>
            </w:r>
          </w:p>
        </w:tc>
      </w:tr>
      <w:tr w:rsidR="004818D0" w:rsidTr="00030C60">
        <w:trPr>
          <w:trHeight w:hRule="exact" w:val="397"/>
        </w:trPr>
        <w:tc>
          <w:tcPr>
            <w:tcW w:w="0" w:type="auto"/>
            <w:vAlign w:val="bottom"/>
          </w:tcPr>
          <w:p w:rsidR="00FE151B" w:rsidRPr="00076460" w:rsidRDefault="00F84E2D" w:rsidP="00FE151B">
            <w:pPr>
              <w:bidi/>
              <w:rPr>
                <w:rFonts w:ascii="Calibri" w:hAnsi="Calibri" w:cs="Calibri"/>
                <w:rtl/>
              </w:rPr>
            </w:pPr>
            <w:r w:rsidRPr="00076460">
              <w:rPr>
                <w:rFonts w:ascii="Calibri" w:hAnsi="Calibri" w:cs="Calibri"/>
                <w:rtl/>
                <w:lang w:bidi="ar-SA"/>
              </w:rPr>
              <w:t>حزيران</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0.67-</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1.62-</w:t>
            </w:r>
          </w:p>
        </w:tc>
      </w:tr>
      <w:tr w:rsidR="004818D0" w:rsidTr="00030C60">
        <w:trPr>
          <w:trHeight w:hRule="exact" w:val="397"/>
        </w:trPr>
        <w:tc>
          <w:tcPr>
            <w:tcW w:w="0" w:type="auto"/>
            <w:vAlign w:val="bottom"/>
          </w:tcPr>
          <w:p w:rsidR="00FE151B" w:rsidRPr="00076460" w:rsidRDefault="00F84E2D" w:rsidP="00FE151B">
            <w:pPr>
              <w:bidi/>
              <w:rPr>
                <w:rFonts w:ascii="Calibri" w:hAnsi="Calibri" w:cs="Calibri"/>
                <w:rtl/>
              </w:rPr>
            </w:pPr>
            <w:r w:rsidRPr="00076460">
              <w:rPr>
                <w:rFonts w:ascii="Calibri" w:hAnsi="Calibri" w:cs="Calibri"/>
                <w:rtl/>
                <w:lang w:bidi="ar-SA"/>
              </w:rPr>
              <w:t>أيار</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0.17-</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0.33-</w:t>
            </w:r>
          </w:p>
        </w:tc>
      </w:tr>
      <w:tr w:rsidR="004818D0" w:rsidTr="00030C60">
        <w:trPr>
          <w:trHeight w:hRule="exact" w:val="397"/>
        </w:trPr>
        <w:tc>
          <w:tcPr>
            <w:tcW w:w="0" w:type="auto"/>
            <w:vAlign w:val="bottom"/>
          </w:tcPr>
          <w:p w:rsidR="00FE151B" w:rsidRPr="00076460" w:rsidRDefault="00F84E2D" w:rsidP="00FE151B">
            <w:pPr>
              <w:bidi/>
              <w:rPr>
                <w:rFonts w:ascii="Calibri" w:hAnsi="Calibri" w:cs="Calibri"/>
              </w:rPr>
            </w:pPr>
            <w:r w:rsidRPr="00076460">
              <w:rPr>
                <w:rFonts w:ascii="Calibri" w:hAnsi="Calibri" w:cs="Calibri"/>
                <w:rtl/>
                <w:lang w:bidi="ar-SA"/>
              </w:rPr>
              <w:t>نيسان</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Pr>
            </w:pPr>
            <w:r w:rsidRPr="00076460">
              <w:rPr>
                <w:rFonts w:ascii="Calibri" w:hAnsi="Calibri" w:cs="Calibri"/>
                <w:sz w:val="24"/>
                <w:rtl/>
              </w:rPr>
              <w:t>0.10-</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Pr>
            </w:pPr>
            <w:r w:rsidRPr="00076460">
              <w:rPr>
                <w:rFonts w:ascii="Calibri" w:hAnsi="Calibri" w:cs="Calibri"/>
                <w:sz w:val="24"/>
                <w:rtl/>
              </w:rPr>
              <w:t>0.46-</w:t>
            </w:r>
          </w:p>
        </w:tc>
      </w:tr>
      <w:tr w:rsidR="004818D0" w:rsidTr="00030C60">
        <w:trPr>
          <w:trHeight w:hRule="exact" w:val="397"/>
        </w:trPr>
        <w:tc>
          <w:tcPr>
            <w:tcW w:w="0" w:type="auto"/>
            <w:vAlign w:val="bottom"/>
          </w:tcPr>
          <w:p w:rsidR="00FE151B" w:rsidRPr="00076460" w:rsidRDefault="00F84E2D" w:rsidP="00FE151B">
            <w:pPr>
              <w:bidi/>
              <w:rPr>
                <w:rFonts w:ascii="Calibri" w:hAnsi="Calibri" w:cs="Calibri"/>
                <w:rtl/>
              </w:rPr>
            </w:pPr>
            <w:r w:rsidRPr="00076460">
              <w:rPr>
                <w:rFonts w:ascii="Calibri" w:hAnsi="Calibri" w:cs="Calibri"/>
                <w:rtl/>
                <w:lang w:bidi="ar-SA"/>
              </w:rPr>
              <w:t>آذار</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0.08</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0.15</w:t>
            </w:r>
          </w:p>
        </w:tc>
      </w:tr>
      <w:tr w:rsidR="004818D0" w:rsidTr="00030C60">
        <w:trPr>
          <w:trHeight w:hRule="exact" w:val="397"/>
        </w:trPr>
        <w:tc>
          <w:tcPr>
            <w:tcW w:w="0" w:type="auto"/>
            <w:vAlign w:val="bottom"/>
          </w:tcPr>
          <w:p w:rsidR="00FE151B" w:rsidRPr="00076460" w:rsidRDefault="00F84E2D" w:rsidP="00FE151B">
            <w:pPr>
              <w:bidi/>
              <w:rPr>
                <w:rFonts w:ascii="Calibri" w:hAnsi="Calibri" w:cs="Calibri"/>
                <w:rtl/>
              </w:rPr>
            </w:pPr>
            <w:r w:rsidRPr="00076460">
              <w:rPr>
                <w:rFonts w:ascii="Calibri" w:hAnsi="Calibri" w:cs="Calibri"/>
                <w:rtl/>
                <w:lang w:bidi="ar-SA"/>
              </w:rPr>
              <w:t>شباط</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0.06</w:t>
            </w:r>
          </w:p>
        </w:tc>
        <w:tc>
          <w:tcPr>
            <w:tcW w:w="0" w:type="auto"/>
            <w:vAlign w:val="bottom"/>
          </w:tcPr>
          <w:p w:rsidR="00FE151B" w:rsidRPr="00076460" w:rsidRDefault="00F84E2D" w:rsidP="00FE151B">
            <w:pPr>
              <w:pStyle w:val="af0"/>
              <w:spacing w:after="0" w:line="240" w:lineRule="auto"/>
              <w:ind w:left="0" w:firstLine="0"/>
              <w:jc w:val="center"/>
              <w:rPr>
                <w:rFonts w:ascii="Calibri" w:hAnsi="Calibri" w:cs="Calibri"/>
                <w:sz w:val="24"/>
                <w:rtl/>
              </w:rPr>
            </w:pPr>
            <w:r w:rsidRPr="00076460">
              <w:rPr>
                <w:rFonts w:ascii="Calibri" w:hAnsi="Calibri" w:cs="Calibri"/>
                <w:sz w:val="24"/>
                <w:rtl/>
              </w:rPr>
              <w:t>0.02-</w:t>
            </w:r>
          </w:p>
        </w:tc>
      </w:tr>
    </w:tbl>
    <w:p w:rsidR="00E50D3C" w:rsidRPr="00076460" w:rsidRDefault="00F84E2D" w:rsidP="00FE151B">
      <w:pPr>
        <w:pStyle w:val="1"/>
        <w:bidi/>
        <w:rPr>
          <w:rFonts w:ascii="Calibri" w:hAnsi="Calibri" w:cs="Calibri" w:hint="default"/>
          <w:b w:val="0"/>
          <w:bCs w:val="0"/>
          <w:sz w:val="24"/>
          <w:szCs w:val="24"/>
          <w:rtl/>
          <w:lang w:bidi="ar-SA"/>
        </w:rPr>
      </w:pPr>
      <w:r w:rsidRPr="00076460">
        <w:rPr>
          <w:rFonts w:ascii="Calibri" w:hAnsi="Calibri" w:cs="Calibri" w:hint="default"/>
        </w:rPr>
        <w:br w:type="textWrapping" w:clear="all"/>
      </w:r>
      <w:r w:rsidRPr="00076460">
        <w:rPr>
          <w:rFonts w:ascii="Calibri" w:hAnsi="Calibri" w:cs="Calibri" w:hint="default"/>
        </w:rPr>
        <w:br w:type="page"/>
      </w:r>
      <w:r w:rsidR="00FE151B" w:rsidRPr="00076460">
        <w:rPr>
          <w:rFonts w:ascii="Calibri" w:hAnsi="Calibri" w:cs="Calibri" w:hint="default"/>
          <w:rtl/>
          <w:lang w:bidi="ar-SA"/>
        </w:rPr>
        <w:lastRenderedPageBreak/>
        <w:t>جدول</w:t>
      </w:r>
      <w:r w:rsidRPr="00076460">
        <w:rPr>
          <w:rFonts w:ascii="Calibri" w:hAnsi="Calibri" w:cs="Calibri" w:hint="default"/>
          <w:rtl/>
        </w:rPr>
        <w:t xml:space="preserve"> 2: </w:t>
      </w:r>
      <w:r w:rsidR="00FE151B" w:rsidRPr="00076460">
        <w:rPr>
          <w:rFonts w:ascii="Calibri" w:hAnsi="Calibri" w:cs="Calibri" w:hint="default"/>
          <w:sz w:val="24"/>
          <w:szCs w:val="24"/>
          <w:rtl/>
          <w:lang w:bidi="ar-SA"/>
        </w:rPr>
        <w:t>التغييرات على مكونات المؤشر في الأشهر الأخيرة</w:t>
      </w:r>
    </w:p>
    <w:p w:rsidR="00FE151B" w:rsidRPr="00076460" w:rsidRDefault="00F84E2D" w:rsidP="00FE151B">
      <w:pPr>
        <w:autoSpaceDE w:val="0"/>
        <w:autoSpaceDN w:val="0"/>
        <w:bidi/>
        <w:adjustRightInd w:val="0"/>
        <w:rPr>
          <w:rFonts w:ascii="Calibri" w:hAnsi="Calibri" w:cs="Calibri"/>
          <w:i/>
          <w:sz w:val="16"/>
          <w:szCs w:val="16"/>
          <w:rtl/>
          <w:lang w:bidi="ar-SA"/>
        </w:rPr>
      </w:pPr>
      <w:r w:rsidRPr="00076460">
        <w:rPr>
          <w:rFonts w:ascii="Calibri" w:hAnsi="Calibri" w:cs="Calibri"/>
          <w:i/>
          <w:rtl/>
          <w:lang w:bidi="ar-SA"/>
        </w:rPr>
        <w:t>(معدلات التغيير الشهرية بالنسب المئوية، ما لم يذكر غير ذلك)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4818D0" w:rsidTr="00030C60">
        <w:trPr>
          <w:tblHeader/>
        </w:trPr>
        <w:tc>
          <w:tcPr>
            <w:tcW w:w="3613" w:type="dxa"/>
          </w:tcPr>
          <w:p w:rsidR="00E50D3C" w:rsidRPr="00076460" w:rsidRDefault="00E50D3C" w:rsidP="00030C60">
            <w:pPr>
              <w:autoSpaceDE w:val="0"/>
              <w:autoSpaceDN w:val="0"/>
              <w:bidi/>
              <w:adjustRightInd w:val="0"/>
              <w:spacing w:line="480" w:lineRule="auto"/>
              <w:rPr>
                <w:rFonts w:ascii="Calibri" w:hAnsi="Calibri" w:cs="Calibri"/>
                <w:i/>
                <w:rtl/>
                <w:lang w:bidi="ar-SA"/>
              </w:rPr>
            </w:pPr>
          </w:p>
        </w:tc>
        <w:tc>
          <w:tcPr>
            <w:tcW w:w="1146" w:type="dxa"/>
            <w:vAlign w:val="bottom"/>
          </w:tcPr>
          <w:p w:rsidR="00E50D3C" w:rsidRPr="00076460" w:rsidRDefault="00F84E2D" w:rsidP="00030C60">
            <w:pPr>
              <w:autoSpaceDE w:val="0"/>
              <w:autoSpaceDN w:val="0"/>
              <w:bidi/>
              <w:adjustRightInd w:val="0"/>
              <w:spacing w:line="276" w:lineRule="auto"/>
              <w:jc w:val="center"/>
              <w:rPr>
                <w:rFonts w:ascii="Calibri" w:hAnsi="Calibri" w:cs="Calibri"/>
                <w:b/>
                <w:bCs/>
                <w:iCs/>
                <w:highlight w:val="yellow"/>
                <w:rtl/>
              </w:rPr>
            </w:pPr>
            <w:r w:rsidRPr="00076460">
              <w:rPr>
                <w:rFonts w:ascii="Calibri" w:hAnsi="Calibri" w:cs="Calibri"/>
                <w:b/>
                <w:bCs/>
                <w:iCs/>
                <w:rtl/>
              </w:rPr>
              <w:t>יולי</w:t>
            </w:r>
          </w:p>
        </w:tc>
        <w:tc>
          <w:tcPr>
            <w:tcW w:w="1276" w:type="dxa"/>
            <w:vAlign w:val="bottom"/>
          </w:tcPr>
          <w:p w:rsidR="00E50D3C" w:rsidRPr="00076460" w:rsidRDefault="00F84E2D" w:rsidP="00030C60">
            <w:pPr>
              <w:autoSpaceDE w:val="0"/>
              <w:autoSpaceDN w:val="0"/>
              <w:bidi/>
              <w:adjustRightInd w:val="0"/>
              <w:spacing w:line="276" w:lineRule="auto"/>
              <w:jc w:val="center"/>
              <w:rPr>
                <w:rFonts w:ascii="Calibri" w:hAnsi="Calibri" w:cs="Calibri"/>
                <w:b/>
                <w:bCs/>
                <w:iCs/>
                <w:highlight w:val="yellow"/>
                <w:rtl/>
              </w:rPr>
            </w:pPr>
            <w:r w:rsidRPr="00076460">
              <w:rPr>
                <w:rFonts w:ascii="Calibri" w:hAnsi="Calibri" w:cs="Calibri"/>
                <w:b/>
                <w:bCs/>
                <w:iCs/>
                <w:rtl/>
              </w:rPr>
              <w:t>יוני</w:t>
            </w:r>
          </w:p>
        </w:tc>
        <w:tc>
          <w:tcPr>
            <w:tcW w:w="1134" w:type="dxa"/>
            <w:vAlign w:val="bottom"/>
          </w:tcPr>
          <w:p w:rsidR="00E50D3C" w:rsidRPr="00076460" w:rsidRDefault="00F84E2D" w:rsidP="00030C60">
            <w:pPr>
              <w:autoSpaceDE w:val="0"/>
              <w:autoSpaceDN w:val="0"/>
              <w:bidi/>
              <w:adjustRightInd w:val="0"/>
              <w:spacing w:line="276" w:lineRule="auto"/>
              <w:jc w:val="center"/>
              <w:rPr>
                <w:rFonts w:ascii="Calibri" w:hAnsi="Calibri" w:cs="Calibri"/>
                <w:b/>
                <w:bCs/>
                <w:iCs/>
                <w:highlight w:val="yellow"/>
                <w:rtl/>
              </w:rPr>
            </w:pPr>
            <w:r w:rsidRPr="00076460">
              <w:rPr>
                <w:rFonts w:ascii="Calibri" w:hAnsi="Calibri" w:cs="Calibri"/>
                <w:b/>
                <w:bCs/>
                <w:iCs/>
                <w:rtl/>
              </w:rPr>
              <w:t>מאי</w:t>
            </w:r>
          </w:p>
        </w:tc>
        <w:tc>
          <w:tcPr>
            <w:tcW w:w="1133" w:type="dxa"/>
            <w:vAlign w:val="bottom"/>
          </w:tcPr>
          <w:p w:rsidR="00E50D3C" w:rsidRPr="00076460" w:rsidRDefault="00F84E2D" w:rsidP="00030C60">
            <w:pPr>
              <w:autoSpaceDE w:val="0"/>
              <w:autoSpaceDN w:val="0"/>
              <w:bidi/>
              <w:adjustRightInd w:val="0"/>
              <w:spacing w:line="276" w:lineRule="auto"/>
              <w:jc w:val="center"/>
              <w:rPr>
                <w:rFonts w:ascii="Calibri" w:hAnsi="Calibri" w:cs="Calibri"/>
                <w:b/>
                <w:bCs/>
                <w:iCs/>
                <w:highlight w:val="yellow"/>
                <w:rtl/>
              </w:rPr>
            </w:pPr>
            <w:r w:rsidRPr="00076460">
              <w:rPr>
                <w:rFonts w:ascii="Calibri" w:hAnsi="Calibri" w:cs="Calibri"/>
                <w:b/>
                <w:bCs/>
                <w:iCs/>
                <w:rtl/>
              </w:rPr>
              <w:t>אפריל</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مؤشر الانتاج الصناعي (بدون التعدين والتحجير)</w:t>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sz w:val="16"/>
                <w:szCs w:val="16"/>
              </w:rPr>
              <w:t> </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-10.7</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6.9</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0.1</w:t>
            </w:r>
          </w:p>
        </w:tc>
      </w:tr>
      <w:tr w:rsidR="004818D0" w:rsidTr="00030C60">
        <w:trPr>
          <w:trHeight w:val="340"/>
        </w:trPr>
        <w:tc>
          <w:tcPr>
            <w:tcW w:w="3613" w:type="dxa"/>
            <w:vAlign w:val="center"/>
          </w:tcPr>
          <w:p w:rsidR="00FE151B" w:rsidRPr="00076460" w:rsidRDefault="00F84E2D" w:rsidP="00FE151B">
            <w:pPr>
              <w:autoSpaceDE w:val="0"/>
              <w:autoSpaceDN w:val="0"/>
              <w:bidi/>
              <w:adjustRightInd w:val="0"/>
              <w:rPr>
                <w:rFonts w:ascii="Calibri" w:hAnsi="Calibri" w:cs="Calibri"/>
                <w:i/>
                <w:rtl/>
              </w:rPr>
            </w:pPr>
            <w:r w:rsidRPr="00076460">
              <w:rPr>
                <w:rFonts w:ascii="Calibri" w:hAnsi="Calibri" w:cs="Calibri"/>
                <w:i/>
                <w:rtl/>
                <w:lang w:bidi="ar-SA"/>
              </w:rPr>
              <w:t>مؤشر الإيرادات في الخدمات (بدون التعليم والإدارة الجماهيرية)</w:t>
            </w:r>
          </w:p>
        </w:tc>
        <w:tc>
          <w:tcPr>
            <w:tcW w:w="1146" w:type="dxa"/>
            <w:vAlign w:val="center"/>
          </w:tcPr>
          <w:p w:rsidR="00FE151B" w:rsidRPr="00076460" w:rsidRDefault="00F84E2D" w:rsidP="00FE151B">
            <w:pPr>
              <w:jc w:val="center"/>
              <w:rPr>
                <w:rFonts w:ascii="Calibri" w:hAnsi="Calibri" w:cs="Calibri"/>
                <w:rtl/>
              </w:rPr>
            </w:pPr>
            <w:r w:rsidRPr="00076460">
              <w:rPr>
                <w:rFonts w:ascii="Calibri" w:hAnsi="Calibri" w:cs="Calibri"/>
              </w:rPr>
              <w:t> </w:t>
            </w:r>
          </w:p>
        </w:tc>
        <w:tc>
          <w:tcPr>
            <w:tcW w:w="1276" w:type="dxa"/>
            <w:vAlign w:val="center"/>
          </w:tcPr>
          <w:p w:rsidR="00FE151B" w:rsidRPr="00076460" w:rsidRDefault="00F84E2D" w:rsidP="00FE151B">
            <w:pPr>
              <w:jc w:val="center"/>
              <w:rPr>
                <w:rFonts w:ascii="Calibri" w:hAnsi="Calibri" w:cs="Calibri"/>
                <w:rtl/>
              </w:rPr>
            </w:pPr>
            <w:r w:rsidRPr="00076460">
              <w:rPr>
                <w:rFonts w:ascii="Calibri" w:hAnsi="Calibri" w:cs="Calibri"/>
              </w:rPr>
              <w:t>-7.1</w:t>
            </w:r>
          </w:p>
        </w:tc>
        <w:tc>
          <w:tcPr>
            <w:tcW w:w="1134" w:type="dxa"/>
            <w:vAlign w:val="center"/>
          </w:tcPr>
          <w:p w:rsidR="00FE151B" w:rsidRPr="00076460" w:rsidRDefault="00F84E2D" w:rsidP="00FE151B">
            <w:pPr>
              <w:jc w:val="center"/>
              <w:rPr>
                <w:rFonts w:ascii="Calibri" w:hAnsi="Calibri" w:cs="Calibri"/>
              </w:rPr>
            </w:pPr>
            <w:r w:rsidRPr="00076460">
              <w:rPr>
                <w:rFonts w:ascii="Calibri" w:hAnsi="Calibri" w:cs="Calibri"/>
              </w:rPr>
              <w:t>-1.4</w:t>
            </w:r>
          </w:p>
        </w:tc>
        <w:tc>
          <w:tcPr>
            <w:tcW w:w="1133" w:type="dxa"/>
            <w:vAlign w:val="center"/>
          </w:tcPr>
          <w:p w:rsidR="00FE151B" w:rsidRPr="00076460" w:rsidRDefault="00F84E2D" w:rsidP="00FE151B">
            <w:pPr>
              <w:jc w:val="center"/>
              <w:rPr>
                <w:rFonts w:ascii="Calibri" w:hAnsi="Calibri" w:cs="Calibri"/>
              </w:rPr>
            </w:pPr>
            <w:r w:rsidRPr="00076460">
              <w:rPr>
                <w:rFonts w:ascii="Calibri" w:hAnsi="Calibri" w:cs="Calibri"/>
              </w:rPr>
              <w:t>-2.5</w:t>
            </w:r>
          </w:p>
        </w:tc>
      </w:tr>
      <w:tr w:rsidR="004818D0" w:rsidTr="00030C60">
        <w:trPr>
          <w:trHeight w:val="340"/>
        </w:trPr>
        <w:tc>
          <w:tcPr>
            <w:tcW w:w="3613" w:type="dxa"/>
            <w:vAlign w:val="center"/>
          </w:tcPr>
          <w:p w:rsidR="00FE151B" w:rsidRPr="00076460" w:rsidRDefault="00F84E2D" w:rsidP="00FE151B">
            <w:pPr>
              <w:autoSpaceDE w:val="0"/>
              <w:autoSpaceDN w:val="0"/>
              <w:bidi/>
              <w:adjustRightInd w:val="0"/>
              <w:rPr>
                <w:rFonts w:ascii="Calibri" w:hAnsi="Calibri" w:cs="Calibri"/>
                <w:i/>
                <w:rtl/>
              </w:rPr>
            </w:pPr>
            <w:r w:rsidRPr="00076460">
              <w:rPr>
                <w:rFonts w:ascii="Calibri" w:hAnsi="Calibri" w:cs="Calibri"/>
                <w:i/>
                <w:rtl/>
                <w:lang w:bidi="ar-SA"/>
              </w:rPr>
              <w:t xml:space="preserve">مؤشر الإيرادات في تجارة </w:t>
            </w:r>
            <w:r w:rsidRPr="00076460">
              <w:rPr>
                <w:rFonts w:ascii="Calibri" w:hAnsi="Calibri" w:cs="Calibri"/>
                <w:i/>
                <w:rtl/>
                <w:lang w:bidi="ar-SA"/>
              </w:rPr>
              <w:t>التجزئة</w:t>
            </w:r>
          </w:p>
        </w:tc>
        <w:tc>
          <w:tcPr>
            <w:tcW w:w="1146" w:type="dxa"/>
            <w:vAlign w:val="center"/>
          </w:tcPr>
          <w:p w:rsidR="00FE151B" w:rsidRPr="00076460" w:rsidRDefault="00F84E2D" w:rsidP="00FE151B">
            <w:pPr>
              <w:jc w:val="center"/>
              <w:rPr>
                <w:rFonts w:ascii="Calibri" w:hAnsi="Calibri" w:cs="Calibri"/>
              </w:rPr>
            </w:pPr>
            <w:r w:rsidRPr="00076460">
              <w:rPr>
                <w:rFonts w:ascii="Calibri" w:hAnsi="Calibri" w:cs="Calibri"/>
              </w:rPr>
              <w:t> </w:t>
            </w:r>
          </w:p>
        </w:tc>
        <w:tc>
          <w:tcPr>
            <w:tcW w:w="1276" w:type="dxa"/>
            <w:vAlign w:val="center"/>
          </w:tcPr>
          <w:p w:rsidR="00FE151B" w:rsidRPr="00076460" w:rsidRDefault="00F84E2D" w:rsidP="00FE151B">
            <w:pPr>
              <w:jc w:val="center"/>
              <w:rPr>
                <w:rFonts w:ascii="Calibri" w:hAnsi="Calibri" w:cs="Calibri"/>
              </w:rPr>
            </w:pPr>
            <w:r w:rsidRPr="00076460">
              <w:rPr>
                <w:rFonts w:ascii="Calibri" w:hAnsi="Calibri" w:cs="Calibri"/>
              </w:rPr>
              <w:t>-14.1</w:t>
            </w:r>
          </w:p>
        </w:tc>
        <w:tc>
          <w:tcPr>
            <w:tcW w:w="1134" w:type="dxa"/>
            <w:vAlign w:val="center"/>
          </w:tcPr>
          <w:p w:rsidR="00FE151B" w:rsidRPr="00076460" w:rsidRDefault="00F84E2D" w:rsidP="00FE151B">
            <w:pPr>
              <w:jc w:val="center"/>
              <w:rPr>
                <w:rFonts w:ascii="Calibri" w:hAnsi="Calibri" w:cs="Calibri"/>
              </w:rPr>
            </w:pPr>
            <w:r w:rsidRPr="00076460">
              <w:rPr>
                <w:rFonts w:ascii="Calibri" w:hAnsi="Calibri" w:cs="Calibri"/>
              </w:rPr>
              <w:t>2.3</w:t>
            </w:r>
          </w:p>
        </w:tc>
        <w:tc>
          <w:tcPr>
            <w:tcW w:w="1133" w:type="dxa"/>
            <w:vAlign w:val="center"/>
          </w:tcPr>
          <w:p w:rsidR="00FE151B" w:rsidRPr="00076460" w:rsidRDefault="00F84E2D" w:rsidP="00FE151B">
            <w:pPr>
              <w:jc w:val="center"/>
              <w:rPr>
                <w:rFonts w:ascii="Calibri" w:hAnsi="Calibri" w:cs="Calibri"/>
              </w:rPr>
            </w:pPr>
            <w:r w:rsidRPr="00076460">
              <w:rPr>
                <w:rFonts w:ascii="Calibri" w:hAnsi="Calibri" w:cs="Calibri"/>
              </w:rPr>
              <w:t>-0.4</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استيراد السلع الاستهلاكية</w:t>
            </w:r>
            <w:r w:rsidRPr="00076460">
              <w:rPr>
                <w:rFonts w:ascii="Calibri" w:hAnsi="Calibri" w:cs="Calibri"/>
                <w:vertAlign w:val="superscript"/>
                <w:rtl/>
              </w:rPr>
              <w:t xml:space="preserve"> 1</w:t>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36.2</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-14.2</w:t>
            </w:r>
          </w:p>
        </w:tc>
        <w:tc>
          <w:tcPr>
            <w:tcW w:w="1134" w:type="dxa"/>
            <w:vAlign w:val="center"/>
          </w:tcPr>
          <w:p w:rsidR="00E50D3C" w:rsidRPr="00076460" w:rsidRDefault="00F84E2D" w:rsidP="00030C60">
            <w:pPr>
              <w:jc w:val="center"/>
              <w:rPr>
                <w:rFonts w:ascii="Calibri" w:hAnsi="Calibri" w:cs="Calibri"/>
                <w:rtl/>
              </w:rPr>
            </w:pPr>
            <w:r w:rsidRPr="00076460">
              <w:rPr>
                <w:rFonts w:ascii="Calibri" w:hAnsi="Calibri" w:cs="Calibri"/>
              </w:rPr>
              <w:t>-2.8</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1.6</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استيراد مدخلات الإنتاج (بدون المحروقات)</w:t>
            </w:r>
            <w:r w:rsidRPr="00076460">
              <w:rPr>
                <w:rFonts w:ascii="Calibri" w:hAnsi="Calibri" w:cs="Calibri"/>
                <w:vertAlign w:val="superscript"/>
                <w:rtl/>
              </w:rPr>
              <w:t>1</w:t>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21.8</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-5.8</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-6.5</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3.4</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تصدير البضائع (باستثناء الزراعة</w:t>
            </w:r>
            <w:r w:rsidRPr="00076460">
              <w:rPr>
                <w:rFonts w:ascii="Calibri" w:hAnsi="Calibri" w:cs="Calibri"/>
                <w:i/>
                <w:rtl/>
              </w:rPr>
              <w:t>)</w:t>
            </w:r>
            <w:r>
              <w:rPr>
                <w:rStyle w:val="af3"/>
                <w:rFonts w:ascii="Calibri" w:hAnsi="Calibri" w:cs="Calibri"/>
                <w:i/>
                <w:rtl/>
              </w:rPr>
              <w:footnoteReference w:id="1"/>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26.9</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-11.5</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7.1</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-14.7</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تصدير الخدمات (بدون النقل</w:t>
            </w:r>
            <w:r w:rsidRPr="00076460">
              <w:rPr>
                <w:rFonts w:ascii="Calibri" w:hAnsi="Calibri" w:cs="Calibri"/>
                <w:i/>
                <w:rtl/>
              </w:rPr>
              <w:t>)</w:t>
            </w:r>
            <w:r>
              <w:rPr>
                <w:rStyle w:val="af3"/>
                <w:rFonts w:ascii="Calibri" w:hAnsi="Calibri" w:cs="Calibri"/>
                <w:i/>
                <w:rtl/>
              </w:rPr>
              <w:footnoteReference w:id="2"/>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 </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3.4</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-8.6</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0.6</w:t>
            </w:r>
          </w:p>
        </w:tc>
      </w:tr>
      <w:tr w:rsidR="004818D0" w:rsidTr="00030C60">
        <w:trPr>
          <w:trHeight w:val="340"/>
        </w:trPr>
        <w:tc>
          <w:tcPr>
            <w:tcW w:w="3613" w:type="dxa"/>
            <w:vAlign w:val="center"/>
          </w:tcPr>
          <w:p w:rsidR="00FE151B" w:rsidRPr="00076460" w:rsidRDefault="00F84E2D" w:rsidP="00FE151B">
            <w:pPr>
              <w:autoSpaceDE w:val="0"/>
              <w:autoSpaceDN w:val="0"/>
              <w:bidi/>
              <w:adjustRightInd w:val="0"/>
              <w:rPr>
                <w:rFonts w:ascii="Calibri" w:hAnsi="Calibri" w:cs="Calibri"/>
                <w:i/>
                <w:rtl/>
              </w:rPr>
            </w:pPr>
            <w:r w:rsidRPr="00076460">
              <w:rPr>
                <w:rFonts w:ascii="Calibri" w:hAnsi="Calibri" w:cs="Calibri"/>
                <w:i/>
                <w:rtl/>
                <w:lang w:bidi="ar-SA"/>
              </w:rPr>
              <w:t>وظائف مدفوعة الأجر -</w:t>
            </w:r>
            <w:r w:rsidRPr="00076460">
              <w:rPr>
                <w:rFonts w:ascii="Calibri" w:hAnsi="Calibri" w:cs="Calibri"/>
                <w:i/>
                <w:rtl/>
                <w:lang w:bidi="ar-SA"/>
              </w:rPr>
              <w:t xml:space="preserve"> في القطاع الخاص</w:t>
            </w:r>
          </w:p>
        </w:tc>
        <w:tc>
          <w:tcPr>
            <w:tcW w:w="1146" w:type="dxa"/>
            <w:vAlign w:val="center"/>
          </w:tcPr>
          <w:p w:rsidR="00FE151B" w:rsidRPr="00076460" w:rsidRDefault="00F84E2D" w:rsidP="00FE151B">
            <w:pPr>
              <w:jc w:val="center"/>
              <w:rPr>
                <w:rFonts w:ascii="Calibri" w:hAnsi="Calibri" w:cs="Calibri"/>
              </w:rPr>
            </w:pPr>
            <w:r w:rsidRPr="00076460">
              <w:rPr>
                <w:rFonts w:ascii="Calibri" w:hAnsi="Calibri" w:cs="Calibri"/>
              </w:rPr>
              <w:t> </w:t>
            </w:r>
          </w:p>
        </w:tc>
        <w:tc>
          <w:tcPr>
            <w:tcW w:w="1276" w:type="dxa"/>
            <w:vAlign w:val="center"/>
          </w:tcPr>
          <w:p w:rsidR="00FE151B" w:rsidRPr="00076460" w:rsidRDefault="00F84E2D" w:rsidP="00FE151B">
            <w:pPr>
              <w:jc w:val="center"/>
              <w:rPr>
                <w:rFonts w:ascii="Calibri" w:hAnsi="Calibri" w:cs="Calibri"/>
              </w:rPr>
            </w:pPr>
            <w:r w:rsidRPr="00076460">
              <w:rPr>
                <w:rFonts w:ascii="Calibri" w:hAnsi="Calibri" w:cs="Calibri"/>
              </w:rPr>
              <w:t>-2.0</w:t>
            </w:r>
          </w:p>
        </w:tc>
        <w:tc>
          <w:tcPr>
            <w:tcW w:w="1134" w:type="dxa"/>
            <w:vAlign w:val="center"/>
          </w:tcPr>
          <w:p w:rsidR="00FE151B" w:rsidRPr="00076460" w:rsidRDefault="00F84E2D" w:rsidP="00FE151B">
            <w:pPr>
              <w:jc w:val="center"/>
              <w:rPr>
                <w:rFonts w:ascii="Calibri" w:hAnsi="Calibri" w:cs="Calibri"/>
              </w:rPr>
            </w:pPr>
            <w:r w:rsidRPr="00076460">
              <w:rPr>
                <w:rFonts w:ascii="Calibri" w:hAnsi="Calibri" w:cs="Calibri"/>
              </w:rPr>
              <w:t>0.2</w:t>
            </w:r>
          </w:p>
        </w:tc>
        <w:tc>
          <w:tcPr>
            <w:tcW w:w="1133" w:type="dxa"/>
            <w:vAlign w:val="center"/>
          </w:tcPr>
          <w:p w:rsidR="00FE151B" w:rsidRPr="00076460" w:rsidRDefault="00F84E2D" w:rsidP="00FE151B">
            <w:pPr>
              <w:jc w:val="center"/>
              <w:rPr>
                <w:rFonts w:ascii="Calibri" w:hAnsi="Calibri" w:cs="Calibri"/>
              </w:rPr>
            </w:pPr>
            <w:r w:rsidRPr="00076460">
              <w:rPr>
                <w:rFonts w:ascii="Calibri" w:hAnsi="Calibri" w:cs="Calibri"/>
              </w:rPr>
              <w:t>0.2</w:t>
            </w:r>
          </w:p>
        </w:tc>
      </w:tr>
      <w:tr w:rsidR="004818D0" w:rsidTr="00030C60">
        <w:trPr>
          <w:trHeight w:val="340"/>
        </w:trPr>
        <w:tc>
          <w:tcPr>
            <w:tcW w:w="3613" w:type="dxa"/>
            <w:vAlign w:val="center"/>
          </w:tcPr>
          <w:p w:rsidR="00E50D3C" w:rsidRPr="00076460" w:rsidRDefault="00F84E2D" w:rsidP="00030C60">
            <w:pPr>
              <w:autoSpaceDE w:val="0"/>
              <w:autoSpaceDN w:val="0"/>
              <w:bidi/>
              <w:adjustRightInd w:val="0"/>
              <w:rPr>
                <w:rFonts w:ascii="Calibri" w:hAnsi="Calibri" w:cs="Calibri"/>
                <w:i/>
                <w:rtl/>
              </w:rPr>
            </w:pPr>
            <w:r w:rsidRPr="00076460">
              <w:rPr>
                <w:rFonts w:ascii="Calibri" w:hAnsi="Calibri" w:cs="Calibri"/>
                <w:i/>
                <w:rtl/>
                <w:lang w:bidi="ar-SA"/>
              </w:rPr>
              <w:t>معدل الشواغر في قطاع الأعمال</w:t>
            </w:r>
            <w:r w:rsidRPr="00076460">
              <w:rPr>
                <w:rStyle w:val="af3"/>
                <w:rFonts w:ascii="Calibri" w:hAnsi="Calibri" w:cs="Calibri"/>
                <w:rtl/>
              </w:rPr>
              <w:t xml:space="preserve"> </w:t>
            </w:r>
            <w:r>
              <w:rPr>
                <w:rStyle w:val="af3"/>
                <w:rFonts w:ascii="Calibri" w:hAnsi="Calibri" w:cs="Calibri"/>
                <w:rtl/>
              </w:rPr>
              <w:footnoteReference w:id="3"/>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4.4</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4.2</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4.4</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4.3</w:t>
            </w:r>
          </w:p>
        </w:tc>
      </w:tr>
      <w:tr w:rsidR="004818D0" w:rsidTr="00030C60">
        <w:trPr>
          <w:trHeight w:val="323"/>
        </w:trPr>
        <w:tc>
          <w:tcPr>
            <w:tcW w:w="3613" w:type="dxa"/>
            <w:vAlign w:val="center"/>
          </w:tcPr>
          <w:p w:rsidR="00E50D3C" w:rsidRPr="00076460" w:rsidRDefault="00F84E2D" w:rsidP="00030C60">
            <w:pPr>
              <w:autoSpaceDE w:val="0"/>
              <w:autoSpaceDN w:val="0"/>
              <w:bidi/>
              <w:adjustRightInd w:val="0"/>
              <w:rPr>
                <w:rFonts w:ascii="Calibri" w:hAnsi="Calibri" w:cs="Calibri"/>
                <w:rtl/>
              </w:rPr>
            </w:pPr>
            <w:r w:rsidRPr="00076460">
              <w:rPr>
                <w:rFonts w:ascii="Calibri" w:hAnsi="Calibri" w:cs="Calibri"/>
                <w:i/>
                <w:rtl/>
                <w:lang w:bidi="ar-SA"/>
              </w:rPr>
              <w:t>المشتريات ببطاقات الائتمان</w:t>
            </w:r>
            <w:r w:rsidRPr="00076460">
              <w:rPr>
                <w:rStyle w:val="af3"/>
                <w:rFonts w:ascii="Calibri" w:hAnsi="Calibri" w:cs="Calibri"/>
                <w:rtl/>
              </w:rPr>
              <w:t xml:space="preserve"> </w:t>
            </w:r>
            <w:r>
              <w:rPr>
                <w:rStyle w:val="af3"/>
                <w:rFonts w:ascii="Calibri" w:hAnsi="Calibri" w:cs="Calibri"/>
                <w:rtl/>
              </w:rPr>
              <w:footnoteReference w:id="4"/>
            </w:r>
          </w:p>
        </w:tc>
        <w:tc>
          <w:tcPr>
            <w:tcW w:w="1146" w:type="dxa"/>
            <w:vAlign w:val="center"/>
          </w:tcPr>
          <w:p w:rsidR="00E50D3C" w:rsidRPr="00076460" w:rsidRDefault="00F84E2D" w:rsidP="00030C60">
            <w:pPr>
              <w:jc w:val="center"/>
              <w:rPr>
                <w:rFonts w:ascii="Calibri" w:hAnsi="Calibri" w:cs="Calibri"/>
              </w:rPr>
            </w:pPr>
            <w:r w:rsidRPr="00076460">
              <w:rPr>
                <w:rFonts w:ascii="Calibri" w:hAnsi="Calibri" w:cs="Calibri"/>
              </w:rPr>
              <w:t>14.9</w:t>
            </w:r>
          </w:p>
        </w:tc>
        <w:tc>
          <w:tcPr>
            <w:tcW w:w="1276" w:type="dxa"/>
            <w:vAlign w:val="center"/>
          </w:tcPr>
          <w:p w:rsidR="00E50D3C" w:rsidRPr="00076460" w:rsidRDefault="00F84E2D" w:rsidP="00030C60">
            <w:pPr>
              <w:jc w:val="center"/>
              <w:rPr>
                <w:rFonts w:ascii="Calibri" w:hAnsi="Calibri" w:cs="Calibri"/>
              </w:rPr>
            </w:pPr>
            <w:r w:rsidRPr="00076460">
              <w:rPr>
                <w:rFonts w:ascii="Calibri" w:hAnsi="Calibri" w:cs="Calibri"/>
              </w:rPr>
              <w:t>-9.9</w:t>
            </w:r>
          </w:p>
        </w:tc>
        <w:tc>
          <w:tcPr>
            <w:tcW w:w="1134" w:type="dxa"/>
            <w:vAlign w:val="center"/>
          </w:tcPr>
          <w:p w:rsidR="00E50D3C" w:rsidRPr="00076460" w:rsidRDefault="00F84E2D" w:rsidP="00030C60">
            <w:pPr>
              <w:jc w:val="center"/>
              <w:rPr>
                <w:rFonts w:ascii="Calibri" w:hAnsi="Calibri" w:cs="Calibri"/>
              </w:rPr>
            </w:pPr>
            <w:r w:rsidRPr="00076460">
              <w:rPr>
                <w:rFonts w:ascii="Calibri" w:hAnsi="Calibri" w:cs="Calibri"/>
              </w:rPr>
              <w:t>0.3</w:t>
            </w:r>
          </w:p>
        </w:tc>
        <w:tc>
          <w:tcPr>
            <w:tcW w:w="1133" w:type="dxa"/>
            <w:vAlign w:val="center"/>
          </w:tcPr>
          <w:p w:rsidR="00E50D3C" w:rsidRPr="00076460" w:rsidRDefault="00F84E2D" w:rsidP="00030C60">
            <w:pPr>
              <w:jc w:val="center"/>
              <w:rPr>
                <w:rFonts w:ascii="Calibri" w:hAnsi="Calibri" w:cs="Calibri"/>
              </w:rPr>
            </w:pPr>
            <w:r w:rsidRPr="00076460">
              <w:rPr>
                <w:rFonts w:ascii="Calibri" w:hAnsi="Calibri" w:cs="Calibri"/>
              </w:rPr>
              <w:t>-0.9</w:t>
            </w:r>
          </w:p>
        </w:tc>
      </w:tr>
    </w:tbl>
    <w:p w:rsidR="00E50D3C" w:rsidRPr="00076460" w:rsidRDefault="00E50D3C" w:rsidP="00E50D3C">
      <w:pPr>
        <w:bidi/>
        <w:rPr>
          <w:rFonts w:ascii="Calibri" w:hAnsi="Calibri" w:cs="Calibri"/>
          <w:sz w:val="25"/>
          <w:szCs w:val="25"/>
        </w:rPr>
      </w:pPr>
    </w:p>
    <w:p w:rsidR="00E50D3C" w:rsidRPr="00076460" w:rsidRDefault="00E50D3C" w:rsidP="00E50D3C">
      <w:pPr>
        <w:bidi/>
        <w:spacing w:line="360" w:lineRule="auto"/>
        <w:rPr>
          <w:rFonts w:ascii="Calibri" w:hAnsi="Calibri" w:cs="Calibri"/>
          <w:rtl/>
        </w:rPr>
      </w:pPr>
    </w:p>
    <w:p w:rsidR="00F25BB5" w:rsidRPr="00076460" w:rsidRDefault="00F25BB5" w:rsidP="00F25BB5">
      <w:pPr>
        <w:bidi/>
        <w:spacing w:line="360" w:lineRule="auto"/>
        <w:rPr>
          <w:rFonts w:ascii="Calibri" w:hAnsi="Calibri" w:cs="Calibri"/>
          <w:rtl/>
        </w:rPr>
      </w:pPr>
    </w:p>
    <w:p w:rsidR="00F25BB5" w:rsidRPr="00076460" w:rsidRDefault="00F25BB5" w:rsidP="00F25BB5">
      <w:pPr>
        <w:bidi/>
        <w:spacing w:line="360" w:lineRule="auto"/>
        <w:rPr>
          <w:rFonts w:ascii="Calibri" w:hAnsi="Calibri" w:cs="Calibri"/>
          <w:rtl/>
        </w:rPr>
      </w:pPr>
    </w:p>
    <w:p w:rsidR="003E7478" w:rsidRPr="00076460" w:rsidRDefault="003E7478" w:rsidP="005E28F6">
      <w:pPr>
        <w:bidi/>
        <w:spacing w:line="360" w:lineRule="auto"/>
        <w:jc w:val="both"/>
        <w:rPr>
          <w:rFonts w:ascii="Calibri" w:hAnsi="Calibri" w:cs="Calibri"/>
        </w:rPr>
      </w:pPr>
    </w:p>
    <w:sectPr w:rsidR="003E7478" w:rsidRPr="00076460" w:rsidSect="00CC249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4E2D">
      <w:pPr>
        <w:spacing w:after="0" w:line="240" w:lineRule="auto"/>
      </w:pPr>
      <w:r>
        <w:separator/>
      </w:r>
    </w:p>
  </w:endnote>
  <w:endnote w:type="continuationSeparator" w:id="0">
    <w:p w:rsidR="00000000" w:rsidRDefault="00F8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84E2D" w:rsidP="00F20046">
    <w:pPr>
      <w:pStyle w:val="a7"/>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F84E2D" w:rsidP="00F25BB5">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7AF823A0" w14:textId="77777777">
                    <w:pPr>
                      <w:jc w:val="center"/>
                      <w:rPr>
                        <w:rFonts w:ascii="Calibri" w:hAnsi="Calibri" w:cs="Calibri"/>
                        <w:sz w:val="16"/>
                        <w:szCs w:val="16"/>
                        <w:rtl/>
                      </w:rPr>
                    </w:pPr>
                    <w:r w:rsidRPr="00031A9D">
                      <w:rPr>
                        <w:rFonts w:ascii="Calibri" w:hAnsi="Calibri" w:cs="Calibri"/>
                        <w:noProof/>
                        <w:sz w:val="16"/>
                        <w:szCs w:val="16"/>
                        <w:rtl/>
                      </w:rPr>
                      <w:t xml:space="preserve">פודקאסט </w:t>
                    </w:r>
                    <w:r w:rsidRPr="00031A9D">
                      <w:rPr>
                        <w:rFonts w:ascii="Calibri" w:hAnsi="Calibri" w:cs="Calibri"/>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F84E2D" w:rsidP="00031A9D">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4D704644" w14:textId="77777777">
                    <w:pPr>
                      <w:jc w:val="center"/>
                      <w:rPr>
                        <w:rFonts w:ascii="Calibri" w:hAnsi="Calibri" w:cs="Calibri"/>
                        <w:noProof/>
                        <w:sz w:val="16"/>
                        <w:szCs w:val="16"/>
                        <w:rtl/>
                      </w:rPr>
                    </w:pPr>
                    <w:r w:rsidRPr="00031A9D">
                      <w:rPr>
                        <w:rFonts w:ascii="Calibri" w:hAnsi="Calibri" w:cs="Calibri"/>
                        <w:noProof/>
                        <w:sz w:val="16"/>
                        <w:szCs w:val="16"/>
                        <w:rtl/>
                      </w:rPr>
                      <w:t>יוטיוב -</w:t>
                    </w:r>
                    <w:r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F84E2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4BD67B61" w14:textId="77777777">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Pr="00031A9D">
                      <w:rPr>
                        <w:rFonts w:asciiTheme="minorHAnsi" w:hAnsiTheme="minorHAnsi" w:cstheme="minorHAnsi"/>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F84E2D"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2E7174DC"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17" w:rsidRDefault="00F84E2D" w:rsidP="00E04682">
      <w:pPr>
        <w:spacing w:after="0" w:line="240" w:lineRule="auto"/>
      </w:pPr>
      <w:r>
        <w:separator/>
      </w:r>
    </w:p>
  </w:footnote>
  <w:footnote w:type="continuationSeparator" w:id="0">
    <w:p w:rsidR="00AC0617" w:rsidRDefault="00F84E2D" w:rsidP="00E04682">
      <w:pPr>
        <w:spacing w:after="0" w:line="240" w:lineRule="auto"/>
      </w:pPr>
      <w:r>
        <w:continuationSeparator/>
      </w:r>
    </w:p>
  </w:footnote>
  <w:footnote w:id="1">
    <w:p w:rsidR="00E50D3C" w:rsidRPr="00076460" w:rsidRDefault="00F84E2D" w:rsidP="00CA5C7A">
      <w:pPr>
        <w:bidi/>
        <w:rPr>
          <w:rFonts w:ascii="Calibri" w:hAnsi="Calibri" w:cs="Calibri"/>
          <w:sz w:val="20"/>
          <w:szCs w:val="20"/>
        </w:rPr>
      </w:pPr>
      <w:r w:rsidRPr="00076460">
        <w:rPr>
          <w:rFonts w:ascii="Calibri" w:hAnsi="Calibri" w:cs="Calibri"/>
          <w:sz w:val="20"/>
          <w:szCs w:val="20"/>
          <w:vertAlign w:val="superscript"/>
        </w:rPr>
        <w:footnoteRef/>
      </w:r>
      <w:r w:rsidRPr="00076460">
        <w:rPr>
          <w:rFonts w:ascii="Calibri" w:hAnsi="Calibri" w:cs="Calibri"/>
          <w:sz w:val="20"/>
          <w:szCs w:val="20"/>
          <w:rtl/>
        </w:rPr>
        <w:t xml:space="preserve"> </w:t>
      </w:r>
      <w:r w:rsidR="00076460" w:rsidRPr="00076460">
        <w:rPr>
          <w:rFonts w:ascii="Calibri" w:hAnsi="Calibri" w:cs="Calibri"/>
          <w:sz w:val="20"/>
          <w:szCs w:val="20"/>
          <w:rtl/>
          <w:lang w:bidi="ar-SA"/>
        </w:rPr>
        <w:t>يتم احتساب واردات وصادرات السلع بأسعار ثابتة (من خلال خصم التغيرات في مؤشر أسعار التجارة الخارجية).</w:t>
      </w:r>
    </w:p>
  </w:footnote>
  <w:footnote w:id="2">
    <w:p w:rsidR="00E50D3C" w:rsidRPr="00076460" w:rsidRDefault="00F84E2D" w:rsidP="00CA5C7A">
      <w:pPr>
        <w:pStyle w:val="af1"/>
        <w:spacing w:after="0" w:line="240" w:lineRule="auto"/>
        <w:ind w:left="0" w:firstLine="0"/>
        <w:jc w:val="left"/>
        <w:rPr>
          <w:rFonts w:ascii="Calibri" w:hAnsi="Calibri" w:cs="Calibri"/>
          <w:iCs w:val="0"/>
        </w:rPr>
      </w:pPr>
      <w:r w:rsidRPr="00076460">
        <w:rPr>
          <w:rStyle w:val="af3"/>
          <w:rFonts w:ascii="Calibri" w:hAnsi="Calibri" w:cs="Calibri"/>
        </w:rPr>
        <w:footnoteRef/>
      </w:r>
      <w:r w:rsidRPr="00076460">
        <w:rPr>
          <w:rFonts w:ascii="Calibri" w:hAnsi="Calibri" w:cs="Calibri"/>
          <w:iCs w:val="0"/>
        </w:rPr>
        <w:t xml:space="preserve"> </w:t>
      </w:r>
      <w:r w:rsidR="00076460" w:rsidRPr="00076460">
        <w:rPr>
          <w:rFonts w:ascii="Calibri" w:hAnsi="Calibri" w:cs="Calibri"/>
          <w:iCs w:val="0"/>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00076460" w:rsidRPr="00076460">
        <w:rPr>
          <w:rFonts w:ascii="Calibri" w:hAnsi="Calibri" w:cs="Calibri"/>
          <w:iCs w:val="0"/>
          <w:rtl/>
        </w:rPr>
        <w:t>.</w:t>
      </w:r>
      <w:r w:rsidR="00076460" w:rsidRPr="00076460">
        <w:rPr>
          <w:rFonts w:ascii="Calibri" w:hAnsi="Calibri" w:cs="Calibri"/>
          <w:i/>
          <w:rtl/>
        </w:rPr>
        <w:t xml:space="preserve">  </w:t>
      </w:r>
    </w:p>
  </w:footnote>
  <w:footnote w:id="3">
    <w:p w:rsidR="00E50D3C" w:rsidRPr="00076460" w:rsidRDefault="00F84E2D" w:rsidP="00CA5C7A">
      <w:pPr>
        <w:bidi/>
        <w:rPr>
          <w:rFonts w:ascii="Calibri" w:hAnsi="Calibri" w:cs="Calibri"/>
          <w:sz w:val="20"/>
          <w:szCs w:val="20"/>
        </w:rPr>
      </w:pPr>
      <w:r w:rsidRPr="00076460">
        <w:rPr>
          <w:rStyle w:val="af3"/>
          <w:rFonts w:ascii="Calibri" w:hAnsi="Calibri" w:cs="Calibri"/>
          <w:sz w:val="20"/>
          <w:szCs w:val="20"/>
        </w:rPr>
        <w:footnoteRef/>
      </w:r>
      <w:r w:rsidRPr="00076460">
        <w:rPr>
          <w:rFonts w:ascii="Calibri" w:hAnsi="Calibri" w:cs="Calibri"/>
          <w:sz w:val="20"/>
          <w:szCs w:val="20"/>
          <w:rtl/>
        </w:rPr>
        <w:t xml:space="preserve"> </w:t>
      </w:r>
      <w:r w:rsidR="00076460" w:rsidRPr="00076460">
        <w:rPr>
          <w:rFonts w:ascii="Calibri" w:hAnsi="Calibri" w:cs="Calibri"/>
          <w:i/>
          <w:sz w:val="20"/>
          <w:szCs w:val="20"/>
          <w:rtl/>
          <w:lang w:bidi="ar-SA"/>
        </w:rPr>
        <w:t>يتم احتساب معدل الشواغر من إجمالي العاملين ويتم إدراجه في المؤشر عند مستواه بعد تعديله موسمياً</w:t>
      </w:r>
      <w:r w:rsidR="00076460" w:rsidRPr="00076460">
        <w:rPr>
          <w:rFonts w:ascii="Calibri" w:hAnsi="Calibri" w:cs="Calibri"/>
          <w:i/>
          <w:rtl/>
        </w:rPr>
        <w:t>.</w:t>
      </w:r>
    </w:p>
  </w:footnote>
  <w:footnote w:id="4">
    <w:p w:rsidR="00E50D3C" w:rsidRPr="00CA5C7A" w:rsidRDefault="00F84E2D" w:rsidP="00076460">
      <w:pPr>
        <w:pStyle w:val="af1"/>
        <w:spacing w:after="0" w:line="240" w:lineRule="auto"/>
        <w:ind w:left="0" w:firstLine="0"/>
        <w:jc w:val="left"/>
        <w:rPr>
          <w:rFonts w:asciiTheme="minorHAnsi" w:hAnsiTheme="minorHAnsi" w:cstheme="minorHAnsi"/>
          <w:sz w:val="16"/>
          <w:szCs w:val="16"/>
        </w:rPr>
      </w:pPr>
      <w:r w:rsidRPr="00076460">
        <w:rPr>
          <w:rStyle w:val="af3"/>
          <w:rFonts w:ascii="Calibri" w:hAnsi="Calibri" w:cs="Calibri"/>
        </w:rPr>
        <w:footnoteRef/>
      </w:r>
      <w:r w:rsidRPr="00076460">
        <w:rPr>
          <w:rFonts w:ascii="Calibri" w:hAnsi="Calibri" w:cs="Calibri"/>
          <w:rtl/>
        </w:rPr>
        <w:t xml:space="preserve"> </w:t>
      </w:r>
      <w:r w:rsidR="00076460" w:rsidRPr="00076460">
        <w:rPr>
          <w:rFonts w:ascii="Calibri" w:hAnsi="Calibri" w:cs="Calibri"/>
          <w:i/>
          <w:iCs w:val="0"/>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sidR="00076460" w:rsidRPr="00076460">
        <w:rPr>
          <w:rFonts w:ascii="Calibri" w:hAnsi="Calibri" w:cs="Calibri"/>
          <w:i/>
          <w:iCs w:val="0"/>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7BF4C978">
      <w:numFmt w:val="bullet"/>
      <w:lvlText w:val=""/>
      <w:lvlJc w:val="left"/>
      <w:pPr>
        <w:ind w:left="720" w:hanging="360"/>
      </w:pPr>
      <w:rPr>
        <w:rFonts w:ascii="Symbol" w:eastAsia="David" w:hAnsi="Symbol" w:cstheme="minorHAnsi" w:hint="default"/>
      </w:rPr>
    </w:lvl>
    <w:lvl w:ilvl="1" w:tplc="9CBA0A9C" w:tentative="1">
      <w:start w:val="1"/>
      <w:numFmt w:val="bullet"/>
      <w:lvlText w:val="o"/>
      <w:lvlJc w:val="left"/>
      <w:pPr>
        <w:ind w:left="1440" w:hanging="360"/>
      </w:pPr>
      <w:rPr>
        <w:rFonts w:ascii="Courier New" w:hAnsi="Courier New" w:cs="Courier New" w:hint="default"/>
      </w:rPr>
    </w:lvl>
    <w:lvl w:ilvl="2" w:tplc="7040E4BA" w:tentative="1">
      <w:start w:val="1"/>
      <w:numFmt w:val="bullet"/>
      <w:lvlText w:val=""/>
      <w:lvlJc w:val="left"/>
      <w:pPr>
        <w:ind w:left="2160" w:hanging="360"/>
      </w:pPr>
      <w:rPr>
        <w:rFonts w:ascii="Wingdings" w:hAnsi="Wingdings" w:hint="default"/>
      </w:rPr>
    </w:lvl>
    <w:lvl w:ilvl="3" w:tplc="35F8F986" w:tentative="1">
      <w:start w:val="1"/>
      <w:numFmt w:val="bullet"/>
      <w:lvlText w:val=""/>
      <w:lvlJc w:val="left"/>
      <w:pPr>
        <w:ind w:left="2880" w:hanging="360"/>
      </w:pPr>
      <w:rPr>
        <w:rFonts w:ascii="Symbol" w:hAnsi="Symbol" w:hint="default"/>
      </w:rPr>
    </w:lvl>
    <w:lvl w:ilvl="4" w:tplc="23F6F14C" w:tentative="1">
      <w:start w:val="1"/>
      <w:numFmt w:val="bullet"/>
      <w:lvlText w:val="o"/>
      <w:lvlJc w:val="left"/>
      <w:pPr>
        <w:ind w:left="3600" w:hanging="360"/>
      </w:pPr>
      <w:rPr>
        <w:rFonts w:ascii="Courier New" w:hAnsi="Courier New" w:cs="Courier New" w:hint="default"/>
      </w:rPr>
    </w:lvl>
    <w:lvl w:ilvl="5" w:tplc="80F4B112" w:tentative="1">
      <w:start w:val="1"/>
      <w:numFmt w:val="bullet"/>
      <w:lvlText w:val=""/>
      <w:lvlJc w:val="left"/>
      <w:pPr>
        <w:ind w:left="4320" w:hanging="360"/>
      </w:pPr>
      <w:rPr>
        <w:rFonts w:ascii="Wingdings" w:hAnsi="Wingdings" w:hint="default"/>
      </w:rPr>
    </w:lvl>
    <w:lvl w:ilvl="6" w:tplc="78BC3854" w:tentative="1">
      <w:start w:val="1"/>
      <w:numFmt w:val="bullet"/>
      <w:lvlText w:val=""/>
      <w:lvlJc w:val="left"/>
      <w:pPr>
        <w:ind w:left="5040" w:hanging="360"/>
      </w:pPr>
      <w:rPr>
        <w:rFonts w:ascii="Symbol" w:hAnsi="Symbol" w:hint="default"/>
      </w:rPr>
    </w:lvl>
    <w:lvl w:ilvl="7" w:tplc="4ABC9436" w:tentative="1">
      <w:start w:val="1"/>
      <w:numFmt w:val="bullet"/>
      <w:lvlText w:val="o"/>
      <w:lvlJc w:val="left"/>
      <w:pPr>
        <w:ind w:left="5760" w:hanging="360"/>
      </w:pPr>
      <w:rPr>
        <w:rFonts w:ascii="Courier New" w:hAnsi="Courier New" w:cs="Courier New" w:hint="default"/>
      </w:rPr>
    </w:lvl>
    <w:lvl w:ilvl="8" w:tplc="897CE866"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0F244890">
      <w:start w:val="1"/>
      <w:numFmt w:val="bullet"/>
      <w:lvlText w:val=""/>
      <w:lvlJc w:val="left"/>
      <w:pPr>
        <w:ind w:left="1513" w:hanging="360"/>
      </w:pPr>
      <w:rPr>
        <w:rFonts w:ascii="Symbol" w:hAnsi="Symbol" w:hint="default"/>
      </w:rPr>
    </w:lvl>
    <w:lvl w:ilvl="1" w:tplc="2D907D1C" w:tentative="1">
      <w:start w:val="1"/>
      <w:numFmt w:val="bullet"/>
      <w:lvlText w:val="o"/>
      <w:lvlJc w:val="left"/>
      <w:pPr>
        <w:ind w:left="2233" w:hanging="360"/>
      </w:pPr>
      <w:rPr>
        <w:rFonts w:ascii="Courier New" w:hAnsi="Courier New" w:cs="Courier New" w:hint="default"/>
      </w:rPr>
    </w:lvl>
    <w:lvl w:ilvl="2" w:tplc="1AE2C3EE" w:tentative="1">
      <w:start w:val="1"/>
      <w:numFmt w:val="bullet"/>
      <w:lvlText w:val=""/>
      <w:lvlJc w:val="left"/>
      <w:pPr>
        <w:ind w:left="2953" w:hanging="360"/>
      </w:pPr>
      <w:rPr>
        <w:rFonts w:ascii="Wingdings" w:hAnsi="Wingdings" w:hint="default"/>
      </w:rPr>
    </w:lvl>
    <w:lvl w:ilvl="3" w:tplc="2C46E144" w:tentative="1">
      <w:start w:val="1"/>
      <w:numFmt w:val="bullet"/>
      <w:lvlText w:val=""/>
      <w:lvlJc w:val="left"/>
      <w:pPr>
        <w:ind w:left="3673" w:hanging="360"/>
      </w:pPr>
      <w:rPr>
        <w:rFonts w:ascii="Symbol" w:hAnsi="Symbol" w:hint="default"/>
      </w:rPr>
    </w:lvl>
    <w:lvl w:ilvl="4" w:tplc="81C623BE" w:tentative="1">
      <w:start w:val="1"/>
      <w:numFmt w:val="bullet"/>
      <w:lvlText w:val="o"/>
      <w:lvlJc w:val="left"/>
      <w:pPr>
        <w:ind w:left="4393" w:hanging="360"/>
      </w:pPr>
      <w:rPr>
        <w:rFonts w:ascii="Courier New" w:hAnsi="Courier New" w:cs="Courier New" w:hint="default"/>
      </w:rPr>
    </w:lvl>
    <w:lvl w:ilvl="5" w:tplc="75906EB2" w:tentative="1">
      <w:start w:val="1"/>
      <w:numFmt w:val="bullet"/>
      <w:lvlText w:val=""/>
      <w:lvlJc w:val="left"/>
      <w:pPr>
        <w:ind w:left="5113" w:hanging="360"/>
      </w:pPr>
      <w:rPr>
        <w:rFonts w:ascii="Wingdings" w:hAnsi="Wingdings" w:hint="default"/>
      </w:rPr>
    </w:lvl>
    <w:lvl w:ilvl="6" w:tplc="1C1474D4" w:tentative="1">
      <w:start w:val="1"/>
      <w:numFmt w:val="bullet"/>
      <w:lvlText w:val=""/>
      <w:lvlJc w:val="left"/>
      <w:pPr>
        <w:ind w:left="5833" w:hanging="360"/>
      </w:pPr>
      <w:rPr>
        <w:rFonts w:ascii="Symbol" w:hAnsi="Symbol" w:hint="default"/>
      </w:rPr>
    </w:lvl>
    <w:lvl w:ilvl="7" w:tplc="888CFBAC" w:tentative="1">
      <w:start w:val="1"/>
      <w:numFmt w:val="bullet"/>
      <w:lvlText w:val="o"/>
      <w:lvlJc w:val="left"/>
      <w:pPr>
        <w:ind w:left="6553" w:hanging="360"/>
      </w:pPr>
      <w:rPr>
        <w:rFonts w:ascii="Courier New" w:hAnsi="Courier New" w:cs="Courier New" w:hint="default"/>
      </w:rPr>
    </w:lvl>
    <w:lvl w:ilvl="8" w:tplc="8872F2A6"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2000FEE4">
      <w:numFmt w:val="bullet"/>
      <w:lvlText w:val=""/>
      <w:lvlJc w:val="left"/>
      <w:pPr>
        <w:ind w:left="668" w:hanging="360"/>
      </w:pPr>
      <w:rPr>
        <w:rFonts w:ascii="Symbol" w:eastAsiaTheme="minorHAnsi" w:hAnsi="Symbol" w:cs="Assistant" w:hint="default"/>
      </w:rPr>
    </w:lvl>
    <w:lvl w:ilvl="1" w:tplc="38ACADC8">
      <w:start w:val="1"/>
      <w:numFmt w:val="bullet"/>
      <w:lvlText w:val="o"/>
      <w:lvlJc w:val="left"/>
      <w:pPr>
        <w:ind w:left="1388" w:hanging="360"/>
      </w:pPr>
      <w:rPr>
        <w:rFonts w:ascii="Courier New" w:hAnsi="Courier New" w:cs="Courier New" w:hint="default"/>
      </w:rPr>
    </w:lvl>
    <w:lvl w:ilvl="2" w:tplc="5770F09C" w:tentative="1">
      <w:start w:val="1"/>
      <w:numFmt w:val="bullet"/>
      <w:lvlText w:val=""/>
      <w:lvlJc w:val="left"/>
      <w:pPr>
        <w:ind w:left="2108" w:hanging="360"/>
      </w:pPr>
      <w:rPr>
        <w:rFonts w:ascii="Wingdings" w:hAnsi="Wingdings" w:hint="default"/>
      </w:rPr>
    </w:lvl>
    <w:lvl w:ilvl="3" w:tplc="5558A0CC" w:tentative="1">
      <w:start w:val="1"/>
      <w:numFmt w:val="bullet"/>
      <w:lvlText w:val=""/>
      <w:lvlJc w:val="left"/>
      <w:pPr>
        <w:ind w:left="2828" w:hanging="360"/>
      </w:pPr>
      <w:rPr>
        <w:rFonts w:ascii="Symbol" w:hAnsi="Symbol" w:hint="default"/>
      </w:rPr>
    </w:lvl>
    <w:lvl w:ilvl="4" w:tplc="4A78549E" w:tentative="1">
      <w:start w:val="1"/>
      <w:numFmt w:val="bullet"/>
      <w:lvlText w:val="o"/>
      <w:lvlJc w:val="left"/>
      <w:pPr>
        <w:ind w:left="3548" w:hanging="360"/>
      </w:pPr>
      <w:rPr>
        <w:rFonts w:ascii="Courier New" w:hAnsi="Courier New" w:cs="Courier New" w:hint="default"/>
      </w:rPr>
    </w:lvl>
    <w:lvl w:ilvl="5" w:tplc="88D01D76" w:tentative="1">
      <w:start w:val="1"/>
      <w:numFmt w:val="bullet"/>
      <w:lvlText w:val=""/>
      <w:lvlJc w:val="left"/>
      <w:pPr>
        <w:ind w:left="4268" w:hanging="360"/>
      </w:pPr>
      <w:rPr>
        <w:rFonts w:ascii="Wingdings" w:hAnsi="Wingdings" w:hint="default"/>
      </w:rPr>
    </w:lvl>
    <w:lvl w:ilvl="6" w:tplc="B784C098" w:tentative="1">
      <w:start w:val="1"/>
      <w:numFmt w:val="bullet"/>
      <w:lvlText w:val=""/>
      <w:lvlJc w:val="left"/>
      <w:pPr>
        <w:ind w:left="4988" w:hanging="360"/>
      </w:pPr>
      <w:rPr>
        <w:rFonts w:ascii="Symbol" w:hAnsi="Symbol" w:hint="default"/>
      </w:rPr>
    </w:lvl>
    <w:lvl w:ilvl="7" w:tplc="125EFD68" w:tentative="1">
      <w:start w:val="1"/>
      <w:numFmt w:val="bullet"/>
      <w:lvlText w:val="o"/>
      <w:lvlJc w:val="left"/>
      <w:pPr>
        <w:ind w:left="5708" w:hanging="360"/>
      </w:pPr>
      <w:rPr>
        <w:rFonts w:ascii="Courier New" w:hAnsi="Courier New" w:cs="Courier New" w:hint="default"/>
      </w:rPr>
    </w:lvl>
    <w:lvl w:ilvl="8" w:tplc="4852FCDA"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97F297A8">
      <w:start w:val="1"/>
      <w:numFmt w:val="bullet"/>
      <w:lvlText w:val=""/>
      <w:lvlJc w:val="left"/>
      <w:pPr>
        <w:ind w:left="720" w:hanging="360"/>
      </w:pPr>
      <w:rPr>
        <w:rFonts w:ascii="Symbol" w:hAnsi="Symbol" w:hint="default"/>
      </w:rPr>
    </w:lvl>
    <w:lvl w:ilvl="1" w:tplc="A7E45828" w:tentative="1">
      <w:start w:val="1"/>
      <w:numFmt w:val="bullet"/>
      <w:lvlText w:val="o"/>
      <w:lvlJc w:val="left"/>
      <w:pPr>
        <w:ind w:left="1440" w:hanging="360"/>
      </w:pPr>
      <w:rPr>
        <w:rFonts w:ascii="Courier New" w:hAnsi="Courier New" w:cs="Courier New" w:hint="default"/>
      </w:rPr>
    </w:lvl>
    <w:lvl w:ilvl="2" w:tplc="8A904982" w:tentative="1">
      <w:start w:val="1"/>
      <w:numFmt w:val="bullet"/>
      <w:lvlText w:val=""/>
      <w:lvlJc w:val="left"/>
      <w:pPr>
        <w:ind w:left="2160" w:hanging="360"/>
      </w:pPr>
      <w:rPr>
        <w:rFonts w:ascii="Wingdings" w:hAnsi="Wingdings" w:hint="default"/>
      </w:rPr>
    </w:lvl>
    <w:lvl w:ilvl="3" w:tplc="70029AC8" w:tentative="1">
      <w:start w:val="1"/>
      <w:numFmt w:val="bullet"/>
      <w:lvlText w:val=""/>
      <w:lvlJc w:val="left"/>
      <w:pPr>
        <w:ind w:left="2880" w:hanging="360"/>
      </w:pPr>
      <w:rPr>
        <w:rFonts w:ascii="Symbol" w:hAnsi="Symbol" w:hint="default"/>
      </w:rPr>
    </w:lvl>
    <w:lvl w:ilvl="4" w:tplc="63F4F7DA" w:tentative="1">
      <w:start w:val="1"/>
      <w:numFmt w:val="bullet"/>
      <w:lvlText w:val="o"/>
      <w:lvlJc w:val="left"/>
      <w:pPr>
        <w:ind w:left="3600" w:hanging="360"/>
      </w:pPr>
      <w:rPr>
        <w:rFonts w:ascii="Courier New" w:hAnsi="Courier New" w:cs="Courier New" w:hint="default"/>
      </w:rPr>
    </w:lvl>
    <w:lvl w:ilvl="5" w:tplc="074EAB28" w:tentative="1">
      <w:start w:val="1"/>
      <w:numFmt w:val="bullet"/>
      <w:lvlText w:val=""/>
      <w:lvlJc w:val="left"/>
      <w:pPr>
        <w:ind w:left="4320" w:hanging="360"/>
      </w:pPr>
      <w:rPr>
        <w:rFonts w:ascii="Wingdings" w:hAnsi="Wingdings" w:hint="default"/>
      </w:rPr>
    </w:lvl>
    <w:lvl w:ilvl="6" w:tplc="C554C926" w:tentative="1">
      <w:start w:val="1"/>
      <w:numFmt w:val="bullet"/>
      <w:lvlText w:val=""/>
      <w:lvlJc w:val="left"/>
      <w:pPr>
        <w:ind w:left="5040" w:hanging="360"/>
      </w:pPr>
      <w:rPr>
        <w:rFonts w:ascii="Symbol" w:hAnsi="Symbol" w:hint="default"/>
      </w:rPr>
    </w:lvl>
    <w:lvl w:ilvl="7" w:tplc="58FEA48A" w:tentative="1">
      <w:start w:val="1"/>
      <w:numFmt w:val="bullet"/>
      <w:lvlText w:val="o"/>
      <w:lvlJc w:val="left"/>
      <w:pPr>
        <w:ind w:left="5760" w:hanging="360"/>
      </w:pPr>
      <w:rPr>
        <w:rFonts w:ascii="Courier New" w:hAnsi="Courier New" w:cs="Courier New" w:hint="default"/>
      </w:rPr>
    </w:lvl>
    <w:lvl w:ilvl="8" w:tplc="EEB420C6"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0C60"/>
    <w:rsid w:val="00031A9D"/>
    <w:rsid w:val="00040A7F"/>
    <w:rsid w:val="00045C65"/>
    <w:rsid w:val="00055CC5"/>
    <w:rsid w:val="00065B9B"/>
    <w:rsid w:val="000727FD"/>
    <w:rsid w:val="00076460"/>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818D0"/>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545FF"/>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0617"/>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E61DD"/>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A5C7A"/>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67DD0"/>
    <w:rsid w:val="00D747A1"/>
    <w:rsid w:val="00D85F94"/>
    <w:rsid w:val="00D878DF"/>
    <w:rsid w:val="00DB09F3"/>
    <w:rsid w:val="00DC23E1"/>
    <w:rsid w:val="00DC727C"/>
    <w:rsid w:val="00DD2E1F"/>
    <w:rsid w:val="00DE140A"/>
    <w:rsid w:val="00DF4B57"/>
    <w:rsid w:val="00E04682"/>
    <w:rsid w:val="00E20D4C"/>
    <w:rsid w:val="00E22BAA"/>
    <w:rsid w:val="00E44A34"/>
    <w:rsid w:val="00E50D3C"/>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84E2D"/>
    <w:rsid w:val="00F95970"/>
    <w:rsid w:val="00FB1B10"/>
    <w:rsid w:val="00FB278F"/>
    <w:rsid w:val="00FB3D7B"/>
    <w:rsid w:val="00FB6F6A"/>
    <w:rsid w:val="00FC67CB"/>
    <w:rsid w:val="00FD61EB"/>
    <w:rsid w:val="00FE151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3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paragraph" w:styleId="1">
    <w:name w:val="heading 1"/>
    <w:basedOn w:val="a"/>
    <w:next w:val="a"/>
    <w:link w:val="10"/>
    <w:qFormat/>
    <w:rsid w:val="00E50D3C"/>
    <w:pPr>
      <w:keepNext/>
      <w:keepLines/>
      <w:spacing w:before="480" w:after="0" w:line="240" w:lineRule="auto"/>
      <w:outlineLvl w:val="0"/>
    </w:pPr>
    <w:rPr>
      <w:rFonts w:asciiTheme="majorHAnsi" w:eastAsiaTheme="majorEastAsia" w:hAnsiTheme="majorHAnsi" w:hint="cs"/>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 w:type="character" w:customStyle="1" w:styleId="10">
    <w:name w:val="כותרת 1 תו"/>
    <w:basedOn w:val="a0"/>
    <w:link w:val="1"/>
    <w:rsid w:val="00E50D3C"/>
    <w:rPr>
      <w:rFonts w:asciiTheme="majorHAnsi" w:eastAsiaTheme="majorEastAsia" w:hAnsiTheme="majorHAnsi" w:cs="David"/>
      <w:b/>
      <w:bCs/>
      <w:sz w:val="28"/>
      <w:szCs w:val="28"/>
      <w:lang w:eastAsia="he-IL"/>
    </w:rPr>
  </w:style>
  <w:style w:type="paragraph" w:styleId="af0">
    <w:name w:val="Block Text"/>
    <w:basedOn w:val="a"/>
    <w:rsid w:val="00E50D3C"/>
    <w:pPr>
      <w:bidi/>
      <w:spacing w:after="120" w:line="480" w:lineRule="auto"/>
      <w:ind w:left="-57" w:hanging="1"/>
      <w:jc w:val="both"/>
    </w:pPr>
    <w:rPr>
      <w:rFonts w:ascii="Times New Roman" w:eastAsia="Times New Roman" w:hAnsi="Times New Roman"/>
      <w:sz w:val="22"/>
      <w:lang w:eastAsia="he-IL"/>
    </w:rPr>
  </w:style>
  <w:style w:type="paragraph" w:styleId="af1">
    <w:name w:val="footnote text"/>
    <w:basedOn w:val="a"/>
    <w:link w:val="af2"/>
    <w:semiHidden/>
    <w:rsid w:val="00E50D3C"/>
    <w:pPr>
      <w:bidi/>
      <w:spacing w:after="120" w:line="320" w:lineRule="exact"/>
      <w:ind w:left="-57" w:firstLine="283"/>
      <w:jc w:val="both"/>
    </w:pPr>
    <w:rPr>
      <w:rFonts w:ascii="Times New Roman" w:eastAsia="Times New Roman" w:hAnsi="Times New Roman"/>
      <w:iCs/>
      <w:sz w:val="20"/>
      <w:szCs w:val="20"/>
      <w:lang w:eastAsia="he-IL"/>
    </w:rPr>
  </w:style>
  <w:style w:type="character" w:customStyle="1" w:styleId="af2">
    <w:name w:val="טקסט הערת שוליים תו"/>
    <w:basedOn w:val="a0"/>
    <w:link w:val="af1"/>
    <w:semiHidden/>
    <w:rsid w:val="00E50D3C"/>
    <w:rPr>
      <w:rFonts w:ascii="Times New Roman" w:eastAsia="Times New Roman" w:hAnsi="Times New Roman" w:cs="David"/>
      <w:iCs/>
      <w:sz w:val="20"/>
      <w:szCs w:val="20"/>
      <w:lang w:eastAsia="he-IL"/>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rsid w:val="00E50D3C"/>
    <w:rPr>
      <w:vertAlign w:val="superscript"/>
    </w:rPr>
  </w:style>
  <w:style w:type="paragraph" w:styleId="af4">
    <w:name w:val="Title"/>
    <w:basedOn w:val="a"/>
    <w:next w:val="a"/>
    <w:link w:val="af5"/>
    <w:qFormat/>
    <w:rsid w:val="00E50D3C"/>
    <w:pPr>
      <w:spacing w:after="0" w:line="240" w:lineRule="auto"/>
      <w:contextualSpacing/>
    </w:pPr>
    <w:rPr>
      <w:rFonts w:asciiTheme="majorHAnsi" w:eastAsiaTheme="majorEastAsia" w:hAnsiTheme="majorHAnsi" w:cstheme="majorBidi" w:hint="cs"/>
      <w:spacing w:val="-10"/>
      <w:kern w:val="28"/>
      <w:sz w:val="56"/>
      <w:szCs w:val="56"/>
      <w:lang w:eastAsia="he-IL"/>
    </w:rPr>
  </w:style>
  <w:style w:type="character" w:customStyle="1" w:styleId="af5">
    <w:name w:val="כותרת טקסט תו"/>
    <w:basedOn w:val="a0"/>
    <w:link w:val="af4"/>
    <w:rsid w:val="00E50D3C"/>
    <w:rPr>
      <w:rFonts w:asciiTheme="majorHAnsi" w:eastAsiaTheme="majorEastAsia" w:hAnsiTheme="majorHAnsi" w:cstheme="majorBidi"/>
      <w:spacing w:val="-10"/>
      <w:kern w:val="28"/>
      <w:sz w:val="56"/>
      <w:szCs w:val="56"/>
      <w:lang w:eastAsia="he-IL"/>
    </w:rPr>
  </w:style>
  <w:style w:type="paragraph" w:styleId="NormalWeb">
    <w:name w:val="Normal (Web)"/>
    <w:basedOn w:val="a"/>
    <w:uiPriority w:val="99"/>
    <w:unhideWhenUsed/>
    <w:rsid w:val="00E50D3C"/>
    <w:pPr>
      <w:spacing w:before="100" w:beforeAutospacing="1" w:after="100" w:afterAutospacing="1" w:line="240" w:lineRule="auto"/>
    </w:pPr>
    <w:rPr>
      <w:rFonts w:ascii="Times New Roman" w:eastAsiaTheme="minorHAnsi" w:hAnsi="Times New Roman" w:cs="Times New Roman"/>
    </w:rPr>
  </w:style>
  <w:style w:type="paragraph" w:customStyle="1" w:styleId="p1">
    <w:name w:val="p1"/>
    <w:basedOn w:val="a"/>
    <w:rsid w:val="006545FF"/>
    <w:pPr>
      <w:spacing w:before="100" w:beforeAutospacing="1" w:after="100" w:afterAutospacing="1" w:line="240" w:lineRule="auto"/>
    </w:pPr>
    <w:rPr>
      <w:rFonts w:ascii="Times New Roman" w:eastAsia="Times New Roman" w:hAnsi="Times New Roman" w:cs="Times New Roman"/>
      <w:lang w:val="" w:bidi="ar-SA"/>
    </w:rPr>
  </w:style>
  <w:style w:type="character" w:customStyle="1" w:styleId="UnresolvedMention">
    <w:name w:val="Unresolved Mention"/>
    <w:basedOn w:val="a0"/>
    <w:uiPriority w:val="99"/>
    <w:semiHidden/>
    <w:unhideWhenUsed/>
    <w:rsid w:val="00FE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roles/statistics/composite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ge.boi.gov.i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2097</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2025-09-01T07:39:00Z</dcterms:created>
  <dcterms:modified xsi:type="dcterms:W3CDTF">2025-09-01T07:41:00Z</dcterms:modified>
</cp:coreProperties>
</file>