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  <w:rPr>
          <w:rtl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80373C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3376D6" w:rsidP="00343EF2">
            <w:pPr>
              <w:bidi/>
              <w:jc w:val="center"/>
            </w:pPr>
            <w:r>
              <w:rPr>
                <w:noProof/>
                <w:rtl/>
                <w:lang w:eastAsia="en-US"/>
              </w:rPr>
              <w:drawing>
                <wp:inline distT="0" distB="0" distL="0" distR="0" wp14:anchorId="17558E7F" wp14:editId="484866AB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AA549D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1A3C78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AA549D">
              <w:rPr>
                <w:rFonts w:cs="David" w:hint="eastAsia"/>
                <w:sz w:val="24"/>
                <w:szCs w:val="24"/>
                <w:rtl/>
              </w:rPr>
              <w:t>‏א</w:t>
            </w:r>
            <w:r w:rsidR="00AA549D">
              <w:rPr>
                <w:rFonts w:cs="David"/>
                <w:sz w:val="24"/>
                <w:szCs w:val="24"/>
                <w:rtl/>
              </w:rPr>
              <w:t xml:space="preserve">' </w:t>
            </w:r>
            <w:r w:rsidR="00AA549D">
              <w:rPr>
                <w:rFonts w:cs="David" w:hint="cs"/>
                <w:sz w:val="24"/>
                <w:szCs w:val="24"/>
                <w:rtl/>
              </w:rPr>
              <w:t>ב</w:t>
            </w:r>
            <w:r w:rsidR="00AA549D">
              <w:rPr>
                <w:rFonts w:cs="David"/>
                <w:sz w:val="24"/>
                <w:szCs w:val="24"/>
                <w:rtl/>
              </w:rPr>
              <w:t>שבט תשע"ו</w:t>
            </w:r>
          </w:p>
          <w:p w:rsidR="00060CD7" w:rsidRPr="00DF107C" w:rsidRDefault="00060CD7" w:rsidP="00AA549D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AA549D">
              <w:rPr>
                <w:rFonts w:cs="David" w:hint="cs"/>
                <w:sz w:val="24"/>
                <w:szCs w:val="24"/>
                <w:rtl/>
              </w:rPr>
              <w:t>11</w:t>
            </w:r>
            <w:r w:rsidRPr="001A3C78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6E155D">
              <w:rPr>
                <w:rFonts w:cs="David" w:hint="cs"/>
                <w:sz w:val="24"/>
                <w:szCs w:val="24"/>
                <w:rtl/>
              </w:rPr>
              <w:t>ינואר</w:t>
            </w:r>
            <w:r w:rsidRPr="001A3C78">
              <w:rPr>
                <w:rFonts w:cs="David" w:hint="cs"/>
                <w:sz w:val="24"/>
                <w:szCs w:val="24"/>
                <w:rtl/>
              </w:rPr>
              <w:t xml:space="preserve"> 201</w:t>
            </w:r>
            <w:r w:rsidR="00AA549D"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</w:tr>
    </w:tbl>
    <w:p w:rsidR="00060CD7" w:rsidRDefault="00060CD7" w:rsidP="00060CD7">
      <w:pPr>
        <w:bidi/>
        <w:rPr>
          <w:rtl/>
        </w:rPr>
      </w:pPr>
    </w:p>
    <w:p w:rsidR="00060CD7" w:rsidRDefault="00060CD7" w:rsidP="00060CD7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6E155D" w:rsidRPr="0080373C" w:rsidRDefault="006E155D" w:rsidP="0080373C">
      <w:pPr>
        <w:pStyle w:val="af1"/>
        <w:rPr>
          <w:rtl/>
        </w:rPr>
      </w:pPr>
      <w:r w:rsidRPr="0080373C">
        <w:rPr>
          <w:rFonts w:hint="cs"/>
          <w:rtl/>
        </w:rPr>
        <w:t>התפתחויות בשוק מטבע החוץ בשנת 201</w:t>
      </w:r>
      <w:r w:rsidR="00E66128" w:rsidRPr="0080373C">
        <w:rPr>
          <w:rFonts w:hint="cs"/>
          <w:rtl/>
        </w:rPr>
        <w:t>5</w:t>
      </w:r>
    </w:p>
    <w:p w:rsidR="003544E1" w:rsidRPr="003376D6" w:rsidRDefault="003544E1" w:rsidP="003544E1">
      <w:pPr>
        <w:bidi/>
        <w:spacing w:line="360" w:lineRule="auto"/>
        <w:ind w:right="-101"/>
        <w:jc w:val="center"/>
        <w:rPr>
          <w:rFonts w:cs="David"/>
          <w:sz w:val="24"/>
          <w:szCs w:val="24"/>
          <w:u w:val="single"/>
          <w:rtl/>
        </w:rPr>
      </w:pPr>
    </w:p>
    <w:p w:rsidR="003544E1" w:rsidRPr="003376D6" w:rsidRDefault="003544E1" w:rsidP="0080373C">
      <w:pPr>
        <w:pStyle w:val="af0"/>
        <w:numPr>
          <w:ilvl w:val="0"/>
          <w:numId w:val="2"/>
        </w:num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3376D6">
        <w:rPr>
          <w:rFonts w:cs="David" w:hint="cs"/>
          <w:b/>
          <w:bCs/>
          <w:sz w:val="24"/>
          <w:szCs w:val="24"/>
          <w:rtl/>
        </w:rPr>
        <w:t xml:space="preserve">התפתחות שער החליפין </w:t>
      </w:r>
      <w:r w:rsidRPr="003376D6">
        <w:rPr>
          <w:rFonts w:cs="David"/>
          <w:b/>
          <w:bCs/>
          <w:sz w:val="24"/>
          <w:szCs w:val="24"/>
          <w:rtl/>
        </w:rPr>
        <w:t>–</w:t>
      </w:r>
      <w:r w:rsidRPr="003376D6">
        <w:rPr>
          <w:rFonts w:cs="David" w:hint="cs"/>
          <w:b/>
          <w:bCs/>
          <w:sz w:val="24"/>
          <w:szCs w:val="24"/>
          <w:rtl/>
        </w:rPr>
        <w:t xml:space="preserve"> </w:t>
      </w:r>
      <w:r w:rsidR="00E66128" w:rsidRPr="003376D6">
        <w:rPr>
          <w:rFonts w:cs="David" w:hint="cs"/>
          <w:sz w:val="24"/>
          <w:szCs w:val="24"/>
          <w:rtl/>
        </w:rPr>
        <w:t>החלשות</w:t>
      </w:r>
      <w:r w:rsidR="00752A31" w:rsidRPr="003376D6">
        <w:rPr>
          <w:rFonts w:cs="David" w:hint="cs"/>
          <w:sz w:val="24"/>
          <w:szCs w:val="24"/>
          <w:rtl/>
        </w:rPr>
        <w:t xml:space="preserve"> מתונה של</w:t>
      </w:r>
      <w:r w:rsidR="00E66128" w:rsidRPr="003376D6">
        <w:rPr>
          <w:rFonts w:cs="David" w:hint="cs"/>
          <w:sz w:val="24"/>
          <w:szCs w:val="24"/>
          <w:rtl/>
        </w:rPr>
        <w:t xml:space="preserve"> </w:t>
      </w:r>
      <w:r w:rsidR="006137C0" w:rsidRPr="003376D6">
        <w:rPr>
          <w:rFonts w:cs="David" w:hint="cs"/>
          <w:sz w:val="24"/>
          <w:szCs w:val="24"/>
          <w:rtl/>
        </w:rPr>
        <w:t xml:space="preserve">השקל </w:t>
      </w:r>
      <w:r w:rsidR="00D24BD7" w:rsidRPr="003376D6">
        <w:rPr>
          <w:rFonts w:cs="David" w:hint="cs"/>
          <w:sz w:val="24"/>
          <w:szCs w:val="24"/>
          <w:rtl/>
        </w:rPr>
        <w:t>מול</w:t>
      </w:r>
      <w:r w:rsidR="006137C0" w:rsidRPr="003376D6">
        <w:rPr>
          <w:rFonts w:cs="David" w:hint="cs"/>
          <w:sz w:val="24"/>
          <w:szCs w:val="24"/>
          <w:rtl/>
        </w:rPr>
        <w:t xml:space="preserve"> הדולר</w:t>
      </w:r>
      <w:r w:rsidR="00A26B40" w:rsidRPr="003376D6">
        <w:rPr>
          <w:rFonts w:cs="David" w:hint="cs"/>
          <w:sz w:val="24"/>
          <w:szCs w:val="24"/>
          <w:rtl/>
        </w:rPr>
        <w:t xml:space="preserve">, </w:t>
      </w:r>
      <w:r w:rsidR="008C412E" w:rsidRPr="003376D6">
        <w:rPr>
          <w:rFonts w:cs="David" w:hint="cs"/>
          <w:sz w:val="24"/>
          <w:szCs w:val="24"/>
          <w:rtl/>
        </w:rPr>
        <w:t xml:space="preserve">במקביל </w:t>
      </w:r>
      <w:r w:rsidR="000D098E" w:rsidRPr="003376D6">
        <w:rPr>
          <w:rFonts w:cs="David" w:hint="cs"/>
          <w:sz w:val="24"/>
          <w:szCs w:val="24"/>
          <w:rtl/>
        </w:rPr>
        <w:t>ל</w:t>
      </w:r>
      <w:r w:rsidR="00D72614" w:rsidRPr="003376D6">
        <w:rPr>
          <w:rFonts w:cs="David" w:hint="cs"/>
          <w:sz w:val="24"/>
          <w:szCs w:val="24"/>
          <w:rtl/>
        </w:rPr>
        <w:t>ה</w:t>
      </w:r>
      <w:r w:rsidR="00411CD8" w:rsidRPr="003376D6">
        <w:rPr>
          <w:rFonts w:cs="David" w:hint="cs"/>
          <w:sz w:val="24"/>
          <w:szCs w:val="24"/>
          <w:rtl/>
        </w:rPr>
        <w:t>תחזקות</w:t>
      </w:r>
      <w:r w:rsidR="00D24BD7" w:rsidRPr="003376D6">
        <w:rPr>
          <w:rFonts w:cs="David" w:hint="cs"/>
          <w:sz w:val="24"/>
          <w:szCs w:val="24"/>
          <w:rtl/>
        </w:rPr>
        <w:t xml:space="preserve"> הדולר בעולם.</w:t>
      </w:r>
    </w:p>
    <w:p w:rsidR="006E155D" w:rsidRPr="0080373C" w:rsidRDefault="006E155D" w:rsidP="0080373C">
      <w:pPr>
        <w:bidi/>
        <w:spacing w:line="360" w:lineRule="auto"/>
        <w:ind w:left="360"/>
        <w:rPr>
          <w:rFonts w:cs="David"/>
          <w:sz w:val="24"/>
          <w:szCs w:val="24"/>
          <w:rtl/>
        </w:rPr>
      </w:pPr>
      <w:r w:rsidRPr="0080373C">
        <w:rPr>
          <w:rFonts w:cs="David" w:hint="cs"/>
          <w:b/>
          <w:bCs/>
          <w:sz w:val="24"/>
          <w:szCs w:val="24"/>
          <w:rtl/>
        </w:rPr>
        <w:t>בשנת 201</w:t>
      </w:r>
      <w:r w:rsidR="00E66128" w:rsidRPr="0080373C">
        <w:rPr>
          <w:rFonts w:cs="David" w:hint="cs"/>
          <w:b/>
          <w:bCs/>
          <w:sz w:val="24"/>
          <w:szCs w:val="24"/>
          <w:rtl/>
        </w:rPr>
        <w:t>5</w:t>
      </w:r>
      <w:r w:rsidRPr="0080373C">
        <w:rPr>
          <w:rFonts w:cs="David" w:hint="cs"/>
          <w:sz w:val="24"/>
          <w:szCs w:val="24"/>
          <w:rtl/>
        </w:rPr>
        <w:t xml:space="preserve"> </w:t>
      </w:r>
      <w:r w:rsidR="006137C0" w:rsidRPr="0080373C">
        <w:rPr>
          <w:rFonts w:cs="David" w:hint="cs"/>
          <w:sz w:val="24"/>
          <w:szCs w:val="24"/>
          <w:rtl/>
        </w:rPr>
        <w:t>נחלש</w:t>
      </w:r>
      <w:r w:rsidRPr="0080373C">
        <w:rPr>
          <w:rFonts w:cs="David" w:hint="cs"/>
          <w:sz w:val="24"/>
          <w:szCs w:val="24"/>
          <w:rtl/>
        </w:rPr>
        <w:t xml:space="preserve"> </w:t>
      </w:r>
      <w:r w:rsidR="006137C0" w:rsidRPr="0080373C">
        <w:rPr>
          <w:rFonts w:cs="David" w:hint="cs"/>
          <w:sz w:val="24"/>
          <w:szCs w:val="24"/>
          <w:rtl/>
        </w:rPr>
        <w:t>השקל מול הדולר</w:t>
      </w:r>
      <w:r w:rsidR="006137C0" w:rsidRPr="0080373C">
        <w:rPr>
          <w:rFonts w:cs="David"/>
          <w:sz w:val="24"/>
          <w:szCs w:val="24"/>
          <w:rtl/>
        </w:rPr>
        <w:t xml:space="preserve"> </w:t>
      </w:r>
      <w:r w:rsidRPr="0080373C">
        <w:rPr>
          <w:rFonts w:cs="David"/>
          <w:sz w:val="24"/>
          <w:szCs w:val="24"/>
          <w:rtl/>
        </w:rPr>
        <w:t>בשיעור של</w:t>
      </w:r>
      <w:r w:rsidRPr="0080373C">
        <w:rPr>
          <w:rFonts w:cs="David" w:hint="cs"/>
          <w:sz w:val="24"/>
          <w:szCs w:val="24"/>
          <w:rtl/>
        </w:rPr>
        <w:t xml:space="preserve"> כ-</w:t>
      </w:r>
      <w:r w:rsidR="00E66128" w:rsidRPr="0080373C">
        <w:rPr>
          <w:rFonts w:cs="David" w:hint="cs"/>
          <w:sz w:val="24"/>
          <w:szCs w:val="24"/>
          <w:rtl/>
        </w:rPr>
        <w:t>0.3</w:t>
      </w:r>
      <w:r w:rsidRPr="0080373C">
        <w:rPr>
          <w:rFonts w:cs="David" w:hint="cs"/>
          <w:sz w:val="24"/>
          <w:szCs w:val="24"/>
          <w:rtl/>
        </w:rPr>
        <w:t>%</w:t>
      </w:r>
      <w:r w:rsidR="0015402E" w:rsidRPr="0080373C">
        <w:rPr>
          <w:rFonts w:cs="David" w:hint="cs"/>
          <w:sz w:val="24"/>
          <w:szCs w:val="24"/>
          <w:rtl/>
        </w:rPr>
        <w:t>.</w:t>
      </w:r>
      <w:r w:rsidRPr="0080373C">
        <w:rPr>
          <w:rFonts w:cs="David" w:hint="cs"/>
          <w:sz w:val="24"/>
          <w:szCs w:val="24"/>
          <w:rtl/>
        </w:rPr>
        <w:t xml:space="preserve"> </w:t>
      </w:r>
      <w:r w:rsidR="005E2199" w:rsidRPr="0080373C">
        <w:rPr>
          <w:rFonts w:cs="David" w:hint="cs"/>
          <w:sz w:val="24"/>
          <w:szCs w:val="24"/>
          <w:rtl/>
        </w:rPr>
        <w:t>מגמ</w:t>
      </w:r>
      <w:r w:rsidR="0015402E" w:rsidRPr="0080373C">
        <w:rPr>
          <w:rFonts w:cs="David" w:hint="cs"/>
          <w:sz w:val="24"/>
          <w:szCs w:val="24"/>
          <w:rtl/>
        </w:rPr>
        <w:t>ת שער החליפין לא הייתה הומוגנית:</w:t>
      </w:r>
      <w:r w:rsidR="005E2199" w:rsidRPr="0080373C">
        <w:rPr>
          <w:rFonts w:cs="David" w:hint="cs"/>
          <w:sz w:val="24"/>
          <w:szCs w:val="24"/>
          <w:rtl/>
        </w:rPr>
        <w:t xml:space="preserve">  עד חודש </w:t>
      </w:r>
      <w:r w:rsidR="00E66128" w:rsidRPr="0080373C">
        <w:rPr>
          <w:rFonts w:cs="David" w:hint="cs"/>
          <w:sz w:val="24"/>
          <w:szCs w:val="24"/>
          <w:rtl/>
        </w:rPr>
        <w:t>יוני</w:t>
      </w:r>
      <w:r w:rsidR="005E2199" w:rsidRPr="0080373C">
        <w:rPr>
          <w:rFonts w:cs="David" w:hint="cs"/>
          <w:sz w:val="24"/>
          <w:szCs w:val="24"/>
          <w:rtl/>
        </w:rPr>
        <w:t xml:space="preserve"> השקל יוסף מול הדולר בכ-</w:t>
      </w:r>
      <w:r w:rsidR="00E66128" w:rsidRPr="0080373C">
        <w:rPr>
          <w:rFonts w:cs="David" w:hint="cs"/>
          <w:sz w:val="24"/>
          <w:szCs w:val="24"/>
          <w:rtl/>
        </w:rPr>
        <w:t>3</w:t>
      </w:r>
      <w:r w:rsidR="00562154" w:rsidRPr="0080373C">
        <w:rPr>
          <w:rFonts w:cs="David" w:hint="cs"/>
          <w:sz w:val="24"/>
          <w:szCs w:val="24"/>
          <w:rtl/>
        </w:rPr>
        <w:t>%</w:t>
      </w:r>
      <w:r w:rsidR="000453AD" w:rsidRPr="0080373C">
        <w:rPr>
          <w:rFonts w:cs="David" w:hint="cs"/>
          <w:sz w:val="24"/>
          <w:szCs w:val="24"/>
          <w:rtl/>
        </w:rPr>
        <w:t xml:space="preserve">, </w:t>
      </w:r>
      <w:r w:rsidR="005E2199" w:rsidRPr="0080373C">
        <w:rPr>
          <w:rFonts w:cs="David" w:hint="cs"/>
          <w:sz w:val="24"/>
          <w:szCs w:val="24"/>
          <w:rtl/>
        </w:rPr>
        <w:t xml:space="preserve">ובחודשים </w:t>
      </w:r>
      <w:r w:rsidR="00E66128" w:rsidRPr="0080373C">
        <w:rPr>
          <w:rFonts w:cs="David" w:hint="cs"/>
          <w:sz w:val="24"/>
          <w:szCs w:val="24"/>
          <w:rtl/>
        </w:rPr>
        <w:t>יוני</w:t>
      </w:r>
      <w:r w:rsidR="005E2199" w:rsidRPr="0080373C">
        <w:rPr>
          <w:rFonts w:cs="David" w:hint="cs"/>
          <w:sz w:val="24"/>
          <w:szCs w:val="24"/>
          <w:rtl/>
        </w:rPr>
        <w:t xml:space="preserve"> </w:t>
      </w:r>
      <w:r w:rsidR="00747E74" w:rsidRPr="0080373C">
        <w:rPr>
          <w:rFonts w:cs="David" w:hint="cs"/>
          <w:sz w:val="24"/>
          <w:szCs w:val="24"/>
          <w:rtl/>
        </w:rPr>
        <w:t>עד דצמבר</w:t>
      </w:r>
      <w:r w:rsidR="005E2199" w:rsidRPr="0080373C">
        <w:rPr>
          <w:rFonts w:cs="David" w:hint="cs"/>
          <w:sz w:val="24"/>
          <w:szCs w:val="24"/>
          <w:rtl/>
        </w:rPr>
        <w:t xml:space="preserve"> הוא פוחת</w:t>
      </w:r>
      <w:r w:rsidR="00E66128" w:rsidRPr="0080373C">
        <w:rPr>
          <w:rFonts w:cs="David" w:hint="cs"/>
          <w:sz w:val="24"/>
          <w:szCs w:val="24"/>
          <w:rtl/>
        </w:rPr>
        <w:t xml:space="preserve"> חזרה</w:t>
      </w:r>
      <w:r w:rsidR="005E2199" w:rsidRPr="0080373C">
        <w:rPr>
          <w:rFonts w:cs="David" w:hint="cs"/>
          <w:sz w:val="24"/>
          <w:szCs w:val="24"/>
          <w:rtl/>
        </w:rPr>
        <w:t xml:space="preserve"> ב-</w:t>
      </w:r>
      <w:r w:rsidR="00E66128" w:rsidRPr="0080373C">
        <w:rPr>
          <w:rFonts w:cs="David" w:hint="cs"/>
          <w:sz w:val="24"/>
          <w:szCs w:val="24"/>
          <w:rtl/>
        </w:rPr>
        <w:t>2.7</w:t>
      </w:r>
      <w:r w:rsidR="00562154" w:rsidRPr="0080373C">
        <w:rPr>
          <w:rFonts w:cs="David" w:hint="cs"/>
          <w:sz w:val="24"/>
          <w:szCs w:val="24"/>
          <w:rtl/>
        </w:rPr>
        <w:t>%.</w:t>
      </w:r>
      <w:r w:rsidR="005E2199" w:rsidRPr="0080373C">
        <w:rPr>
          <w:rFonts w:cs="David"/>
          <w:sz w:val="24"/>
          <w:szCs w:val="24"/>
        </w:rPr>
        <w:t xml:space="preserve"> </w:t>
      </w:r>
      <w:r w:rsidRPr="0080373C">
        <w:rPr>
          <w:rFonts w:cs="David" w:hint="cs"/>
          <w:sz w:val="24"/>
          <w:szCs w:val="24"/>
          <w:rtl/>
        </w:rPr>
        <w:t>מול האירו השקל</w:t>
      </w:r>
      <w:r w:rsidR="005E2199" w:rsidRPr="0080373C">
        <w:rPr>
          <w:rFonts w:cs="David" w:hint="cs"/>
          <w:sz w:val="24"/>
          <w:szCs w:val="24"/>
          <w:rtl/>
        </w:rPr>
        <w:t xml:space="preserve"> התחזק</w:t>
      </w:r>
      <w:r w:rsidR="001D1757" w:rsidRPr="0080373C">
        <w:rPr>
          <w:rFonts w:cs="David" w:hint="cs"/>
          <w:sz w:val="24"/>
          <w:szCs w:val="24"/>
          <w:rtl/>
        </w:rPr>
        <w:t xml:space="preserve"> במהלך 201</w:t>
      </w:r>
      <w:r w:rsidR="00E66128" w:rsidRPr="0080373C">
        <w:rPr>
          <w:rFonts w:cs="David" w:hint="cs"/>
          <w:sz w:val="24"/>
          <w:szCs w:val="24"/>
          <w:rtl/>
        </w:rPr>
        <w:t>5</w:t>
      </w:r>
      <w:r w:rsidRPr="0080373C">
        <w:rPr>
          <w:rFonts w:cs="David" w:hint="cs"/>
          <w:sz w:val="24"/>
          <w:szCs w:val="24"/>
          <w:rtl/>
        </w:rPr>
        <w:t xml:space="preserve"> בכ-</w:t>
      </w:r>
      <w:r w:rsidR="00E66128" w:rsidRPr="0080373C">
        <w:rPr>
          <w:rFonts w:cs="David" w:hint="cs"/>
          <w:sz w:val="24"/>
          <w:szCs w:val="24"/>
          <w:rtl/>
        </w:rPr>
        <w:t>10.1</w:t>
      </w:r>
      <w:r w:rsidRPr="0080373C">
        <w:rPr>
          <w:rFonts w:cs="David" w:hint="cs"/>
          <w:sz w:val="24"/>
          <w:szCs w:val="24"/>
          <w:rtl/>
        </w:rPr>
        <w:t xml:space="preserve">%. מול מטבעות </w:t>
      </w:r>
      <w:r w:rsidRPr="0080373C">
        <w:rPr>
          <w:rFonts w:cs="David"/>
          <w:sz w:val="24"/>
          <w:szCs w:val="24"/>
          <w:rtl/>
        </w:rPr>
        <w:t>שותפות הסחר העיקריות של ישראל</w:t>
      </w:r>
      <w:r w:rsidRPr="0080373C">
        <w:rPr>
          <w:rFonts w:cs="David" w:hint="cs"/>
          <w:sz w:val="24"/>
          <w:szCs w:val="24"/>
          <w:rtl/>
        </w:rPr>
        <w:t>, כפי שמשוקלל ב</w:t>
      </w:r>
      <w:r w:rsidRPr="0080373C">
        <w:rPr>
          <w:rFonts w:cs="David"/>
          <w:sz w:val="24"/>
          <w:szCs w:val="24"/>
          <w:rtl/>
        </w:rPr>
        <w:t>שער החליפין הנומינלי האפקטיבי</w:t>
      </w:r>
      <w:r w:rsidRPr="0080373C">
        <w:rPr>
          <w:rFonts w:cs="David" w:hint="cs"/>
          <w:sz w:val="24"/>
          <w:szCs w:val="24"/>
          <w:rtl/>
        </w:rPr>
        <w:t xml:space="preserve">, השקל </w:t>
      </w:r>
      <w:r w:rsidR="00752A31" w:rsidRPr="0080373C">
        <w:rPr>
          <w:rFonts w:cs="David" w:hint="cs"/>
          <w:sz w:val="24"/>
          <w:szCs w:val="24"/>
          <w:rtl/>
        </w:rPr>
        <w:t>התחזק</w:t>
      </w:r>
      <w:r w:rsidR="003B4AE3" w:rsidRPr="0080373C">
        <w:rPr>
          <w:rFonts w:cs="David" w:hint="cs"/>
          <w:sz w:val="24"/>
          <w:szCs w:val="24"/>
          <w:rtl/>
        </w:rPr>
        <w:t xml:space="preserve"> </w:t>
      </w:r>
      <w:r w:rsidRPr="0080373C">
        <w:rPr>
          <w:rFonts w:cs="David" w:hint="cs"/>
          <w:sz w:val="24"/>
          <w:szCs w:val="24"/>
          <w:rtl/>
        </w:rPr>
        <w:t xml:space="preserve"> בכ-</w:t>
      </w:r>
      <w:r w:rsidR="00752A31" w:rsidRPr="0080373C">
        <w:rPr>
          <w:rFonts w:cs="David" w:hint="cs"/>
          <w:sz w:val="24"/>
          <w:szCs w:val="24"/>
          <w:rtl/>
        </w:rPr>
        <w:t>7</w:t>
      </w:r>
      <w:r w:rsidR="003B4AE3" w:rsidRPr="0080373C">
        <w:rPr>
          <w:rFonts w:cs="David" w:hint="cs"/>
          <w:sz w:val="24"/>
          <w:szCs w:val="24"/>
          <w:rtl/>
        </w:rPr>
        <w:t>.</w:t>
      </w:r>
      <w:r w:rsidR="00752A31" w:rsidRPr="0080373C">
        <w:rPr>
          <w:rFonts w:cs="David" w:hint="cs"/>
          <w:sz w:val="24"/>
          <w:szCs w:val="24"/>
          <w:rtl/>
        </w:rPr>
        <w:t>3%.</w:t>
      </w:r>
    </w:p>
    <w:p w:rsidR="00382BC8" w:rsidRPr="0080373C" w:rsidRDefault="005D21E5" w:rsidP="0080373C">
      <w:pPr>
        <w:bidi/>
        <w:spacing w:line="360" w:lineRule="auto"/>
        <w:ind w:left="360"/>
        <w:rPr>
          <w:rFonts w:cs="David"/>
          <w:sz w:val="24"/>
          <w:szCs w:val="24"/>
          <w:rtl/>
        </w:rPr>
      </w:pPr>
      <w:r w:rsidRPr="0080373C">
        <w:rPr>
          <w:rFonts w:cs="David" w:hint="cs"/>
          <w:sz w:val="24"/>
          <w:szCs w:val="24"/>
          <w:rtl/>
        </w:rPr>
        <w:t>מגמת ההתחזקות של הדולר הייתה גלובלית</w:t>
      </w:r>
      <w:r w:rsidR="003501FD" w:rsidRPr="0080373C">
        <w:rPr>
          <w:rFonts w:cs="David" w:hint="cs"/>
          <w:sz w:val="24"/>
          <w:szCs w:val="24"/>
          <w:rtl/>
        </w:rPr>
        <w:t>:</w:t>
      </w:r>
      <w:r w:rsidRPr="0080373C">
        <w:rPr>
          <w:rFonts w:cs="David" w:hint="cs"/>
          <w:sz w:val="24"/>
          <w:szCs w:val="24"/>
          <w:rtl/>
        </w:rPr>
        <w:t xml:space="preserve"> </w:t>
      </w:r>
      <w:r w:rsidR="006E155D" w:rsidRPr="0080373C">
        <w:rPr>
          <w:rFonts w:cs="David" w:hint="cs"/>
          <w:sz w:val="24"/>
          <w:szCs w:val="24"/>
          <w:rtl/>
        </w:rPr>
        <w:t>ב</w:t>
      </w:r>
      <w:r w:rsidR="00173655" w:rsidRPr="0080373C">
        <w:rPr>
          <w:rFonts w:cs="David" w:hint="cs"/>
          <w:sz w:val="24"/>
          <w:szCs w:val="24"/>
          <w:rtl/>
        </w:rPr>
        <w:t>-</w:t>
      </w:r>
      <w:r w:rsidR="00173655" w:rsidRPr="0080373C">
        <w:rPr>
          <w:rFonts w:cs="David" w:hint="cs"/>
          <w:b/>
          <w:bCs/>
          <w:sz w:val="24"/>
          <w:szCs w:val="24"/>
          <w:rtl/>
        </w:rPr>
        <w:t>201</w:t>
      </w:r>
      <w:r w:rsidR="00752A31" w:rsidRPr="0080373C">
        <w:rPr>
          <w:rFonts w:cs="David" w:hint="cs"/>
          <w:b/>
          <w:bCs/>
          <w:sz w:val="24"/>
          <w:szCs w:val="24"/>
          <w:rtl/>
        </w:rPr>
        <w:t>5</w:t>
      </w:r>
      <w:r w:rsidR="00173655" w:rsidRPr="0080373C">
        <w:rPr>
          <w:rFonts w:cs="David" w:hint="cs"/>
          <w:b/>
          <w:bCs/>
          <w:sz w:val="24"/>
          <w:szCs w:val="24"/>
          <w:rtl/>
        </w:rPr>
        <w:t xml:space="preserve"> </w:t>
      </w:r>
      <w:r w:rsidR="006E155D" w:rsidRPr="0080373C">
        <w:rPr>
          <w:rFonts w:cs="David" w:hint="cs"/>
          <w:sz w:val="24"/>
          <w:szCs w:val="24"/>
          <w:rtl/>
        </w:rPr>
        <w:t xml:space="preserve">הדולר </w:t>
      </w:r>
      <w:r w:rsidR="00687770" w:rsidRPr="0080373C">
        <w:rPr>
          <w:rFonts w:cs="David" w:hint="cs"/>
          <w:sz w:val="24"/>
          <w:szCs w:val="24"/>
          <w:rtl/>
        </w:rPr>
        <w:t>התחזק</w:t>
      </w:r>
      <w:r w:rsidR="006E155D" w:rsidRPr="0080373C">
        <w:rPr>
          <w:rFonts w:cs="David" w:hint="cs"/>
          <w:sz w:val="24"/>
          <w:szCs w:val="24"/>
          <w:rtl/>
        </w:rPr>
        <w:t xml:space="preserve"> </w:t>
      </w:r>
      <w:r w:rsidR="00687770" w:rsidRPr="0080373C">
        <w:rPr>
          <w:rFonts w:cs="David" w:hint="cs"/>
          <w:sz w:val="24"/>
          <w:szCs w:val="24"/>
          <w:rtl/>
        </w:rPr>
        <w:t xml:space="preserve">משמעותית </w:t>
      </w:r>
      <w:r w:rsidR="006E155D" w:rsidRPr="0080373C">
        <w:rPr>
          <w:rFonts w:cs="David" w:hint="cs"/>
          <w:sz w:val="24"/>
          <w:szCs w:val="24"/>
          <w:rtl/>
        </w:rPr>
        <w:t>בעולם מול רוב מטבעות המדינות המפותחות, ובכלל זה ב-</w:t>
      </w:r>
      <w:r w:rsidR="00687770" w:rsidRPr="0080373C">
        <w:rPr>
          <w:rFonts w:cs="David" w:hint="cs"/>
          <w:sz w:val="24"/>
          <w:szCs w:val="24"/>
          <w:rtl/>
        </w:rPr>
        <w:t>1</w:t>
      </w:r>
      <w:r w:rsidR="00752A31" w:rsidRPr="0080373C">
        <w:rPr>
          <w:rFonts w:cs="David" w:hint="cs"/>
          <w:sz w:val="24"/>
          <w:szCs w:val="24"/>
          <w:rtl/>
        </w:rPr>
        <w:t>1</w:t>
      </w:r>
      <w:r w:rsidR="00687770" w:rsidRPr="0080373C">
        <w:rPr>
          <w:rFonts w:cs="David" w:hint="cs"/>
          <w:sz w:val="24"/>
          <w:szCs w:val="24"/>
          <w:rtl/>
        </w:rPr>
        <w:t>.</w:t>
      </w:r>
      <w:r w:rsidR="00752A31" w:rsidRPr="0080373C">
        <w:rPr>
          <w:rFonts w:cs="David" w:hint="cs"/>
          <w:sz w:val="24"/>
          <w:szCs w:val="24"/>
          <w:rtl/>
        </w:rPr>
        <w:t>6</w:t>
      </w:r>
      <w:r w:rsidR="006E155D" w:rsidRPr="0080373C">
        <w:rPr>
          <w:rFonts w:cs="David" w:hint="cs"/>
          <w:sz w:val="24"/>
          <w:szCs w:val="24"/>
          <w:rtl/>
        </w:rPr>
        <w:t xml:space="preserve">% מול האירו, </w:t>
      </w:r>
      <w:r w:rsidR="00752A31" w:rsidRPr="0080373C">
        <w:rPr>
          <w:rFonts w:cs="David" w:hint="cs"/>
          <w:sz w:val="24"/>
          <w:szCs w:val="24"/>
          <w:rtl/>
        </w:rPr>
        <w:t>ב</w:t>
      </w:r>
      <w:r w:rsidR="006E155D" w:rsidRPr="0080373C">
        <w:rPr>
          <w:rFonts w:cs="David" w:hint="cs"/>
          <w:sz w:val="24"/>
          <w:szCs w:val="24"/>
          <w:rtl/>
        </w:rPr>
        <w:t>-</w:t>
      </w:r>
      <w:r w:rsidR="00752A31" w:rsidRPr="0080373C">
        <w:rPr>
          <w:rFonts w:cs="David" w:hint="cs"/>
          <w:sz w:val="24"/>
          <w:szCs w:val="24"/>
          <w:rtl/>
        </w:rPr>
        <w:t>5</w:t>
      </w:r>
      <w:r w:rsidR="00687770" w:rsidRPr="0080373C">
        <w:rPr>
          <w:rFonts w:cs="David" w:hint="cs"/>
          <w:sz w:val="24"/>
          <w:szCs w:val="24"/>
          <w:rtl/>
        </w:rPr>
        <w:t>.</w:t>
      </w:r>
      <w:r w:rsidR="00752A31" w:rsidRPr="0080373C">
        <w:rPr>
          <w:rFonts w:cs="David" w:hint="cs"/>
          <w:sz w:val="24"/>
          <w:szCs w:val="24"/>
          <w:rtl/>
        </w:rPr>
        <w:t>3</w:t>
      </w:r>
      <w:r w:rsidR="006E155D" w:rsidRPr="0080373C">
        <w:rPr>
          <w:rFonts w:cs="David" w:hint="cs"/>
          <w:sz w:val="24"/>
          <w:szCs w:val="24"/>
          <w:rtl/>
        </w:rPr>
        <w:t>% מול הפאונד הבריטי</w:t>
      </w:r>
      <w:r w:rsidR="00752A31" w:rsidRPr="0080373C">
        <w:rPr>
          <w:rFonts w:cs="David" w:hint="cs"/>
          <w:b/>
          <w:bCs/>
          <w:sz w:val="24"/>
          <w:szCs w:val="24"/>
          <w:rtl/>
        </w:rPr>
        <w:t xml:space="preserve">, </w:t>
      </w:r>
      <w:r w:rsidR="00752A31" w:rsidRPr="0080373C">
        <w:rPr>
          <w:rFonts w:cs="David" w:hint="cs"/>
          <w:sz w:val="24"/>
          <w:szCs w:val="24"/>
          <w:rtl/>
        </w:rPr>
        <w:t>וכ-12.2% מול דולר האוסטרלי,</w:t>
      </w:r>
      <w:r w:rsidR="006E155D" w:rsidRPr="0080373C">
        <w:rPr>
          <w:rFonts w:cs="David" w:hint="cs"/>
          <w:b/>
          <w:bCs/>
          <w:sz w:val="24"/>
          <w:szCs w:val="24"/>
          <w:rtl/>
        </w:rPr>
        <w:t xml:space="preserve"> </w:t>
      </w:r>
      <w:r w:rsidR="006E155D" w:rsidRPr="0080373C">
        <w:rPr>
          <w:rFonts w:cs="David" w:hint="cs"/>
          <w:sz w:val="24"/>
          <w:szCs w:val="24"/>
          <w:rtl/>
        </w:rPr>
        <w:t xml:space="preserve"> מול מטבעות המדינות המתפתחות הדולר התחזק בממוצע בכ-1</w:t>
      </w:r>
      <w:r w:rsidR="00752A31" w:rsidRPr="0080373C">
        <w:rPr>
          <w:rFonts w:cs="David" w:hint="cs"/>
          <w:sz w:val="24"/>
          <w:szCs w:val="24"/>
          <w:rtl/>
        </w:rPr>
        <w:t>9.7</w:t>
      </w:r>
      <w:r w:rsidR="006E155D" w:rsidRPr="0080373C">
        <w:rPr>
          <w:rFonts w:cs="David" w:hint="cs"/>
          <w:sz w:val="24"/>
          <w:szCs w:val="24"/>
          <w:rtl/>
        </w:rPr>
        <w:t>%.</w:t>
      </w:r>
      <w:r w:rsidR="006E155D" w:rsidRPr="0080373C">
        <w:rPr>
          <w:rFonts w:cs="David" w:hint="cs"/>
          <w:sz w:val="22"/>
          <w:szCs w:val="22"/>
          <w:rtl/>
        </w:rPr>
        <w:t xml:space="preserve"> </w:t>
      </w:r>
    </w:p>
    <w:p w:rsidR="00A209C1" w:rsidRDefault="00382BC8" w:rsidP="0080373C">
      <w:pPr>
        <w:bidi/>
        <w:spacing w:line="360" w:lineRule="auto"/>
        <w:ind w:left="360"/>
        <w:rPr>
          <w:rFonts w:cs="David"/>
          <w:sz w:val="24"/>
          <w:szCs w:val="24"/>
          <w:rtl/>
        </w:rPr>
      </w:pPr>
      <w:r w:rsidRPr="0080373C">
        <w:rPr>
          <w:rFonts w:cs="David" w:hint="cs"/>
          <w:b/>
          <w:bCs/>
          <w:sz w:val="24"/>
          <w:szCs w:val="24"/>
          <w:rtl/>
        </w:rPr>
        <w:t>במהלך חודש דצמבר</w:t>
      </w:r>
      <w:r w:rsidRPr="0080373C">
        <w:rPr>
          <w:rFonts w:cs="David" w:hint="cs"/>
          <w:sz w:val="24"/>
          <w:szCs w:val="24"/>
          <w:rtl/>
        </w:rPr>
        <w:t>,</w:t>
      </w:r>
      <w:r w:rsidRPr="006E155D">
        <w:rPr>
          <w:rFonts w:cs="David" w:hint="cs"/>
          <w:sz w:val="24"/>
          <w:szCs w:val="24"/>
          <w:rtl/>
        </w:rPr>
        <w:t xml:space="preserve"> השקל</w:t>
      </w:r>
      <w:r w:rsidRPr="009B58DA">
        <w:rPr>
          <w:rFonts w:cs="David" w:hint="cs"/>
          <w:sz w:val="24"/>
          <w:szCs w:val="24"/>
          <w:rtl/>
        </w:rPr>
        <w:t xml:space="preserve"> </w:t>
      </w:r>
      <w:r w:rsidR="00C600CC">
        <w:rPr>
          <w:rFonts w:cs="David" w:hint="cs"/>
          <w:sz w:val="24"/>
          <w:szCs w:val="24"/>
          <w:rtl/>
        </w:rPr>
        <w:t>נחלש</w:t>
      </w:r>
      <w:r w:rsidRPr="009B58DA">
        <w:rPr>
          <w:rFonts w:cs="David" w:hint="cs"/>
          <w:sz w:val="24"/>
          <w:szCs w:val="24"/>
          <w:rtl/>
        </w:rPr>
        <w:t xml:space="preserve"> </w:t>
      </w:r>
      <w:r w:rsidRPr="006E155D">
        <w:rPr>
          <w:rFonts w:cs="David" w:hint="cs"/>
          <w:sz w:val="24"/>
          <w:szCs w:val="24"/>
          <w:rtl/>
        </w:rPr>
        <w:t>מול הדולר</w:t>
      </w:r>
      <w:r w:rsidR="00C600CC">
        <w:rPr>
          <w:rFonts w:cs="David" w:hint="cs"/>
          <w:sz w:val="24"/>
          <w:szCs w:val="24"/>
          <w:rtl/>
        </w:rPr>
        <w:t xml:space="preserve"> בשיעור של 0.6%</w:t>
      </w:r>
      <w:r w:rsidRPr="009B58DA">
        <w:rPr>
          <w:rFonts w:cs="David" w:hint="cs"/>
          <w:sz w:val="24"/>
          <w:szCs w:val="24"/>
          <w:rtl/>
        </w:rPr>
        <w:t>, ו</w:t>
      </w:r>
      <w:r w:rsidRPr="006E155D">
        <w:rPr>
          <w:rFonts w:cs="David" w:hint="cs"/>
          <w:sz w:val="24"/>
          <w:szCs w:val="24"/>
          <w:rtl/>
        </w:rPr>
        <w:t xml:space="preserve">מול האירו </w:t>
      </w:r>
      <w:r w:rsidRPr="009B58DA">
        <w:rPr>
          <w:rFonts w:cs="David" w:hint="cs"/>
          <w:sz w:val="24"/>
          <w:szCs w:val="24"/>
          <w:rtl/>
        </w:rPr>
        <w:t xml:space="preserve">בשיעור של </w:t>
      </w:r>
      <w:r w:rsidR="00C600CC">
        <w:rPr>
          <w:rFonts w:cs="David" w:hint="cs"/>
          <w:sz w:val="24"/>
          <w:szCs w:val="24"/>
          <w:rtl/>
        </w:rPr>
        <w:t>3.6</w:t>
      </w:r>
      <w:r w:rsidRPr="009B58DA">
        <w:rPr>
          <w:rFonts w:cs="David" w:hint="cs"/>
          <w:sz w:val="24"/>
          <w:szCs w:val="24"/>
          <w:rtl/>
        </w:rPr>
        <w:t xml:space="preserve">%.  </w:t>
      </w:r>
      <w:r w:rsidRPr="006E155D">
        <w:rPr>
          <w:rFonts w:cs="David" w:hint="cs"/>
          <w:sz w:val="24"/>
          <w:szCs w:val="24"/>
          <w:rtl/>
        </w:rPr>
        <w:t xml:space="preserve">בעולם, </w:t>
      </w:r>
      <w:r w:rsidR="00276063">
        <w:rPr>
          <w:rFonts w:cs="David" w:hint="cs"/>
          <w:sz w:val="24"/>
          <w:szCs w:val="24"/>
          <w:rtl/>
        </w:rPr>
        <w:t>הדולר התאפיין במגמה מעורבת</w:t>
      </w:r>
      <w:r w:rsidRPr="006E155D">
        <w:rPr>
          <w:rFonts w:cs="David" w:hint="cs"/>
          <w:sz w:val="24"/>
          <w:szCs w:val="24"/>
          <w:rtl/>
        </w:rPr>
        <w:t xml:space="preserve">, </w:t>
      </w:r>
      <w:r w:rsidR="00276063">
        <w:rPr>
          <w:rFonts w:cs="David" w:hint="cs"/>
          <w:sz w:val="24"/>
          <w:szCs w:val="24"/>
          <w:rtl/>
        </w:rPr>
        <w:t xml:space="preserve">נחלש </w:t>
      </w:r>
      <w:r w:rsidRPr="006E155D">
        <w:rPr>
          <w:rFonts w:cs="David" w:hint="cs"/>
          <w:sz w:val="24"/>
          <w:szCs w:val="24"/>
          <w:rtl/>
        </w:rPr>
        <w:t>ב-</w:t>
      </w:r>
      <w:r w:rsidRPr="009B58DA">
        <w:rPr>
          <w:rFonts w:cs="David" w:hint="cs"/>
          <w:sz w:val="24"/>
          <w:szCs w:val="24"/>
          <w:rtl/>
        </w:rPr>
        <w:t>2.</w:t>
      </w:r>
      <w:r w:rsidR="00276063">
        <w:rPr>
          <w:rFonts w:cs="David" w:hint="cs"/>
          <w:sz w:val="24"/>
          <w:szCs w:val="24"/>
          <w:rtl/>
        </w:rPr>
        <w:t>9</w:t>
      </w:r>
      <w:r w:rsidRPr="006E155D">
        <w:rPr>
          <w:rFonts w:cs="David" w:hint="cs"/>
          <w:sz w:val="24"/>
          <w:szCs w:val="24"/>
          <w:rtl/>
        </w:rPr>
        <w:t>% מול האירו, ב-</w:t>
      </w:r>
      <w:r w:rsidR="00276063">
        <w:rPr>
          <w:rFonts w:cs="David" w:hint="cs"/>
          <w:sz w:val="24"/>
          <w:szCs w:val="24"/>
          <w:rtl/>
        </w:rPr>
        <w:t>2</w:t>
      </w:r>
      <w:r w:rsidRPr="009B58DA">
        <w:rPr>
          <w:rFonts w:cs="David" w:hint="cs"/>
          <w:sz w:val="24"/>
          <w:szCs w:val="24"/>
          <w:rtl/>
        </w:rPr>
        <w:t>.</w:t>
      </w:r>
      <w:r w:rsidR="00276063">
        <w:rPr>
          <w:rFonts w:cs="David" w:hint="cs"/>
          <w:sz w:val="24"/>
          <w:szCs w:val="24"/>
          <w:rtl/>
        </w:rPr>
        <w:t>2</w:t>
      </w:r>
      <w:r w:rsidRPr="006E155D">
        <w:rPr>
          <w:rFonts w:cs="David" w:hint="cs"/>
          <w:sz w:val="24"/>
          <w:szCs w:val="24"/>
          <w:rtl/>
        </w:rPr>
        <w:t xml:space="preserve">% מול </w:t>
      </w:r>
      <w:r w:rsidR="00276063">
        <w:rPr>
          <w:rFonts w:cs="David" w:hint="cs"/>
          <w:sz w:val="24"/>
          <w:szCs w:val="24"/>
          <w:rtl/>
        </w:rPr>
        <w:t>היין היפני, אך התחזק</w:t>
      </w:r>
      <w:r w:rsidRPr="006E155D">
        <w:rPr>
          <w:rFonts w:cs="David" w:hint="cs"/>
          <w:sz w:val="24"/>
          <w:szCs w:val="24"/>
          <w:rtl/>
        </w:rPr>
        <w:t xml:space="preserve"> וב- </w:t>
      </w:r>
      <w:r w:rsidR="00276063">
        <w:rPr>
          <w:rFonts w:cs="David" w:hint="cs"/>
          <w:sz w:val="24"/>
          <w:szCs w:val="24"/>
          <w:rtl/>
        </w:rPr>
        <w:t>1</w:t>
      </w:r>
      <w:r w:rsidRPr="009B58DA">
        <w:rPr>
          <w:rFonts w:cs="David" w:hint="cs"/>
          <w:sz w:val="24"/>
          <w:szCs w:val="24"/>
          <w:rtl/>
        </w:rPr>
        <w:t>.</w:t>
      </w:r>
      <w:r w:rsidR="00276063">
        <w:rPr>
          <w:rFonts w:cs="David" w:hint="cs"/>
          <w:sz w:val="24"/>
          <w:szCs w:val="24"/>
          <w:rtl/>
        </w:rPr>
        <w:t>4</w:t>
      </w:r>
      <w:r w:rsidRPr="006E155D">
        <w:rPr>
          <w:rFonts w:cs="David" w:hint="cs"/>
          <w:sz w:val="24"/>
          <w:szCs w:val="24"/>
          <w:rtl/>
        </w:rPr>
        <w:t xml:space="preserve">% מול </w:t>
      </w:r>
      <w:r w:rsidR="00276063">
        <w:rPr>
          <w:rFonts w:cs="David" w:hint="cs"/>
          <w:sz w:val="24"/>
          <w:szCs w:val="24"/>
          <w:rtl/>
        </w:rPr>
        <w:t>הפאונד</w:t>
      </w:r>
      <w:r w:rsidRPr="006E155D">
        <w:rPr>
          <w:rFonts w:cs="David" w:hint="cs"/>
          <w:sz w:val="24"/>
          <w:szCs w:val="24"/>
          <w:rtl/>
        </w:rPr>
        <w:t xml:space="preserve"> </w:t>
      </w:r>
      <w:r w:rsidR="00276063">
        <w:rPr>
          <w:rFonts w:cs="David" w:hint="cs"/>
          <w:sz w:val="24"/>
          <w:szCs w:val="24"/>
          <w:rtl/>
        </w:rPr>
        <w:t>הבריטי</w:t>
      </w:r>
      <w:r w:rsidRPr="006E155D">
        <w:rPr>
          <w:rFonts w:cs="David" w:hint="cs"/>
          <w:sz w:val="24"/>
          <w:szCs w:val="24"/>
          <w:rtl/>
        </w:rPr>
        <w:t>.</w:t>
      </w:r>
    </w:p>
    <w:p w:rsidR="00276063" w:rsidRDefault="00A209C1" w:rsidP="0080373C">
      <w:pPr>
        <w:bidi/>
        <w:spacing w:line="360" w:lineRule="auto"/>
        <w:ind w:left="360"/>
        <w:rPr>
          <w:rFonts w:cs="David"/>
          <w:sz w:val="24"/>
          <w:szCs w:val="24"/>
          <w:rtl/>
        </w:rPr>
      </w:pPr>
      <w:r w:rsidRPr="00A209C1">
        <w:rPr>
          <w:rFonts w:cs="David"/>
          <w:noProof/>
          <w:sz w:val="24"/>
          <w:szCs w:val="24"/>
          <w:lang w:eastAsia="en-US"/>
        </w:rPr>
        <w:t xml:space="preserve"> </w:t>
      </w:r>
      <w:r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2937BF47" wp14:editId="5AB1C236">
            <wp:extent cx="3154484" cy="1864426"/>
            <wp:effectExtent l="0" t="0" r="8255" b="2540"/>
            <wp:docPr id="3" name="תמונה 3" descr="תרשים 1: מדד שקל/דולר ושער החליפין הנומינלי אפקטיבי" title="תרשים 1: מדד שקל/דולר ושער החליפין הנומינלי אפקטיב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929" cy="1864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70746D07" wp14:editId="3D879676">
            <wp:extent cx="2732669" cy="1860605"/>
            <wp:effectExtent l="0" t="0" r="0" b="6350"/>
            <wp:docPr id="7" name="תמונה 7" descr="תרשים 2: שיעורי השינוי של הדולר כנגד מטבעות שונים -יולי  2016" title="תרשים 2: שיעורי השינוי של הדולר כנגד מטבעות שונים -יולי 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765" cy="1861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738D" w:rsidRPr="003376D6" w:rsidRDefault="0042738D" w:rsidP="0080373C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804DD2" w:rsidRPr="003376D6" w:rsidRDefault="00804DD2" w:rsidP="0080373C">
      <w:pPr>
        <w:pStyle w:val="af0"/>
        <w:numPr>
          <w:ilvl w:val="0"/>
          <w:numId w:val="2"/>
        </w:num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3376D6">
        <w:rPr>
          <w:rFonts w:cs="David" w:hint="cs"/>
          <w:b/>
          <w:bCs/>
          <w:sz w:val="24"/>
          <w:szCs w:val="24"/>
          <w:rtl/>
        </w:rPr>
        <w:t xml:space="preserve">תנודתיות שע"ח </w:t>
      </w:r>
      <w:r w:rsidRPr="003376D6">
        <w:rPr>
          <w:rFonts w:cs="David"/>
          <w:b/>
          <w:bCs/>
          <w:sz w:val="24"/>
          <w:szCs w:val="24"/>
          <w:rtl/>
        </w:rPr>
        <w:t>–</w:t>
      </w:r>
      <w:r w:rsidR="000D098E" w:rsidRPr="003376D6">
        <w:rPr>
          <w:rFonts w:cs="David" w:hint="cs"/>
          <w:b/>
          <w:bCs/>
          <w:sz w:val="24"/>
          <w:szCs w:val="24"/>
          <w:rtl/>
        </w:rPr>
        <w:t xml:space="preserve"> </w:t>
      </w:r>
      <w:r w:rsidR="000D4B2F" w:rsidRPr="003376D6">
        <w:rPr>
          <w:rFonts w:cs="David" w:hint="cs"/>
          <w:sz w:val="24"/>
          <w:szCs w:val="24"/>
          <w:rtl/>
        </w:rPr>
        <w:t>ירידה</w:t>
      </w:r>
      <w:r w:rsidR="00090558" w:rsidRPr="003376D6">
        <w:rPr>
          <w:rFonts w:cs="David" w:hint="cs"/>
          <w:sz w:val="24"/>
          <w:szCs w:val="24"/>
          <w:rtl/>
        </w:rPr>
        <w:t xml:space="preserve"> </w:t>
      </w:r>
      <w:r w:rsidRPr="003376D6">
        <w:rPr>
          <w:rFonts w:cs="David" w:hint="cs"/>
          <w:sz w:val="24"/>
          <w:szCs w:val="24"/>
          <w:rtl/>
        </w:rPr>
        <w:t xml:space="preserve">בסטיית התקן בפועל </w:t>
      </w:r>
      <w:r w:rsidR="001E6258" w:rsidRPr="003376D6">
        <w:rPr>
          <w:rFonts w:cs="David" w:hint="cs"/>
          <w:sz w:val="24"/>
          <w:szCs w:val="24"/>
          <w:rtl/>
        </w:rPr>
        <w:t xml:space="preserve">במקביל </w:t>
      </w:r>
      <w:r w:rsidR="000D4B2F" w:rsidRPr="003376D6">
        <w:rPr>
          <w:rFonts w:cs="David" w:hint="cs"/>
          <w:sz w:val="24"/>
          <w:szCs w:val="24"/>
          <w:rtl/>
        </w:rPr>
        <w:t>לירידה</w:t>
      </w:r>
      <w:r w:rsidRPr="003376D6">
        <w:rPr>
          <w:rFonts w:cs="David" w:hint="cs"/>
          <w:sz w:val="24"/>
          <w:szCs w:val="24"/>
          <w:rtl/>
        </w:rPr>
        <w:t xml:space="preserve"> בסטיית התקן הגלומה. </w:t>
      </w:r>
    </w:p>
    <w:p w:rsidR="00E64790" w:rsidRPr="003376D6" w:rsidRDefault="00E64790" w:rsidP="0080373C">
      <w:pPr>
        <w:bidi/>
        <w:spacing w:line="360" w:lineRule="auto"/>
        <w:ind w:left="360"/>
        <w:rPr>
          <w:rFonts w:cs="David"/>
          <w:sz w:val="24"/>
          <w:szCs w:val="24"/>
          <w:rtl/>
        </w:rPr>
      </w:pPr>
      <w:r w:rsidRPr="003376D6">
        <w:rPr>
          <w:rFonts w:cs="David"/>
          <w:sz w:val="24"/>
          <w:szCs w:val="24"/>
          <w:rtl/>
        </w:rPr>
        <w:t xml:space="preserve">סטיית התקן </w:t>
      </w:r>
      <w:r w:rsidRPr="003376D6">
        <w:rPr>
          <w:rFonts w:cs="David" w:hint="cs"/>
          <w:sz w:val="24"/>
          <w:szCs w:val="24"/>
          <w:rtl/>
        </w:rPr>
        <w:t xml:space="preserve">החודשית </w:t>
      </w:r>
      <w:r w:rsidRPr="003376D6">
        <w:rPr>
          <w:rFonts w:cs="David"/>
          <w:sz w:val="24"/>
          <w:szCs w:val="24"/>
          <w:rtl/>
        </w:rPr>
        <w:t xml:space="preserve">של השינוי בשער החליפין - המייצגת את התנודתיות בפועל בשער החליפין </w:t>
      </w:r>
      <w:r w:rsidR="00770DB2" w:rsidRPr="003376D6">
        <w:rPr>
          <w:rFonts w:cs="David" w:hint="cs"/>
          <w:sz w:val="24"/>
          <w:szCs w:val="24"/>
          <w:rtl/>
        </w:rPr>
        <w:t>ירדה</w:t>
      </w:r>
      <w:r w:rsidRPr="003376D6">
        <w:rPr>
          <w:rFonts w:cs="David" w:hint="cs"/>
          <w:sz w:val="24"/>
          <w:szCs w:val="24"/>
          <w:rtl/>
        </w:rPr>
        <w:t xml:space="preserve"> במהלך 201</w:t>
      </w:r>
      <w:r w:rsidR="000D4B2F" w:rsidRPr="003376D6">
        <w:rPr>
          <w:rFonts w:cs="David" w:hint="cs"/>
          <w:sz w:val="24"/>
          <w:szCs w:val="24"/>
          <w:rtl/>
        </w:rPr>
        <w:t>5</w:t>
      </w:r>
      <w:r w:rsidRPr="003376D6">
        <w:rPr>
          <w:rFonts w:cs="David" w:hint="cs"/>
          <w:sz w:val="24"/>
          <w:szCs w:val="24"/>
          <w:rtl/>
        </w:rPr>
        <w:t xml:space="preserve"> בכ-</w:t>
      </w:r>
      <w:r w:rsidR="000D4B2F" w:rsidRPr="003376D6">
        <w:rPr>
          <w:rFonts w:cs="David" w:hint="cs"/>
          <w:sz w:val="24"/>
          <w:szCs w:val="24"/>
          <w:rtl/>
        </w:rPr>
        <w:t>4.2</w:t>
      </w:r>
      <w:r w:rsidRPr="003376D6">
        <w:rPr>
          <w:rFonts w:cs="David" w:hint="cs"/>
          <w:sz w:val="24"/>
          <w:szCs w:val="24"/>
          <w:rtl/>
        </w:rPr>
        <w:t xml:space="preserve"> נקודות אחוז עד לרמה של </w:t>
      </w:r>
      <w:r w:rsidR="000D4B2F" w:rsidRPr="003376D6">
        <w:rPr>
          <w:rFonts w:cs="David" w:hint="cs"/>
          <w:sz w:val="24"/>
          <w:szCs w:val="24"/>
          <w:rtl/>
        </w:rPr>
        <w:t>5</w:t>
      </w:r>
      <w:r w:rsidRPr="003376D6">
        <w:rPr>
          <w:rFonts w:cs="David" w:hint="cs"/>
          <w:sz w:val="24"/>
          <w:szCs w:val="24"/>
          <w:rtl/>
        </w:rPr>
        <w:t>.</w:t>
      </w:r>
      <w:r w:rsidR="000D4B2F" w:rsidRPr="003376D6">
        <w:rPr>
          <w:rFonts w:cs="David" w:hint="cs"/>
          <w:sz w:val="24"/>
          <w:szCs w:val="24"/>
          <w:rtl/>
        </w:rPr>
        <w:t>1</w:t>
      </w:r>
      <w:r w:rsidRPr="003376D6">
        <w:rPr>
          <w:rFonts w:cs="David" w:hint="cs"/>
          <w:sz w:val="24"/>
          <w:szCs w:val="24"/>
          <w:rtl/>
        </w:rPr>
        <w:t xml:space="preserve">% בחודש דצמבר; </w:t>
      </w:r>
    </w:p>
    <w:p w:rsidR="00E64790" w:rsidRPr="00E64790" w:rsidRDefault="00E64790" w:rsidP="0080373C">
      <w:pPr>
        <w:bidi/>
        <w:spacing w:line="360" w:lineRule="auto"/>
        <w:ind w:left="360"/>
        <w:rPr>
          <w:rFonts w:cs="David"/>
          <w:sz w:val="24"/>
          <w:szCs w:val="24"/>
        </w:rPr>
      </w:pPr>
      <w:r w:rsidRPr="003376D6">
        <w:rPr>
          <w:rFonts w:cs="David" w:hint="cs"/>
          <w:sz w:val="24"/>
          <w:szCs w:val="24"/>
          <w:rtl/>
        </w:rPr>
        <w:t xml:space="preserve">רמתה החודשית הממוצעת של </w:t>
      </w:r>
      <w:r w:rsidRPr="003376D6">
        <w:rPr>
          <w:rFonts w:cs="David"/>
          <w:sz w:val="24"/>
          <w:szCs w:val="24"/>
          <w:rtl/>
        </w:rPr>
        <w:t>סטיית התקן</w:t>
      </w:r>
      <w:r w:rsidRPr="003376D6">
        <w:rPr>
          <w:rFonts w:cs="David" w:hint="cs"/>
          <w:sz w:val="24"/>
          <w:szCs w:val="24"/>
          <w:rtl/>
        </w:rPr>
        <w:t xml:space="preserve"> </w:t>
      </w:r>
      <w:r w:rsidRPr="003376D6">
        <w:rPr>
          <w:rFonts w:cs="David"/>
          <w:sz w:val="24"/>
          <w:szCs w:val="24"/>
          <w:rtl/>
        </w:rPr>
        <w:t xml:space="preserve">הגלומה במסחר באופציות על שקל/דולר "מעבר לדלפק" - המייצגת את התנודתיות הצפויה </w:t>
      </w:r>
      <w:r w:rsidRPr="00E64790">
        <w:rPr>
          <w:rFonts w:cs="David"/>
          <w:sz w:val="24"/>
          <w:szCs w:val="24"/>
          <w:rtl/>
        </w:rPr>
        <w:t>בשער החליפין</w:t>
      </w:r>
      <w:r w:rsidRPr="00E64790">
        <w:rPr>
          <w:rFonts w:cs="David" w:hint="cs"/>
          <w:sz w:val="24"/>
          <w:szCs w:val="24"/>
          <w:rtl/>
        </w:rPr>
        <w:t xml:space="preserve">, </w:t>
      </w:r>
      <w:r w:rsidR="000D4B2F">
        <w:rPr>
          <w:rFonts w:cs="David" w:hint="cs"/>
          <w:sz w:val="24"/>
          <w:szCs w:val="24"/>
          <w:rtl/>
        </w:rPr>
        <w:t>ירדה</w:t>
      </w:r>
      <w:r w:rsidRPr="00E64790">
        <w:rPr>
          <w:rFonts w:cs="David" w:hint="cs"/>
          <w:sz w:val="24"/>
          <w:szCs w:val="24"/>
          <w:rtl/>
        </w:rPr>
        <w:t xml:space="preserve"> במהלך 201</w:t>
      </w:r>
      <w:r w:rsidR="000D4B2F">
        <w:rPr>
          <w:rFonts w:cs="David" w:hint="cs"/>
          <w:sz w:val="24"/>
          <w:szCs w:val="24"/>
          <w:rtl/>
        </w:rPr>
        <w:t>5</w:t>
      </w:r>
      <w:r w:rsidRPr="00E64790">
        <w:rPr>
          <w:rFonts w:cs="David" w:hint="cs"/>
          <w:sz w:val="24"/>
          <w:szCs w:val="24"/>
          <w:rtl/>
        </w:rPr>
        <w:t xml:space="preserve"> </w:t>
      </w:r>
      <w:r w:rsidR="00421EC3">
        <w:rPr>
          <w:rFonts w:cs="David" w:hint="cs"/>
          <w:sz w:val="24"/>
          <w:szCs w:val="24"/>
          <w:rtl/>
        </w:rPr>
        <w:t>בשיעור מתון</w:t>
      </w:r>
      <w:r w:rsidR="005C18C7">
        <w:rPr>
          <w:rFonts w:cs="David" w:hint="cs"/>
          <w:sz w:val="24"/>
          <w:szCs w:val="24"/>
          <w:rtl/>
        </w:rPr>
        <w:t xml:space="preserve"> יותר של </w:t>
      </w:r>
      <w:r w:rsidRPr="00E64790">
        <w:rPr>
          <w:rFonts w:cs="David" w:hint="cs"/>
          <w:sz w:val="24"/>
          <w:szCs w:val="24"/>
          <w:rtl/>
        </w:rPr>
        <w:t>כ-</w:t>
      </w:r>
      <w:r w:rsidR="00550EF6">
        <w:rPr>
          <w:rFonts w:cs="David" w:hint="cs"/>
          <w:sz w:val="24"/>
          <w:szCs w:val="24"/>
          <w:rtl/>
        </w:rPr>
        <w:t xml:space="preserve">0.2 </w:t>
      </w:r>
      <w:r w:rsidRPr="00E64790">
        <w:rPr>
          <w:rFonts w:cs="David" w:hint="cs"/>
          <w:sz w:val="24"/>
          <w:szCs w:val="24"/>
          <w:rtl/>
        </w:rPr>
        <w:t xml:space="preserve">נקודות אחוז </w:t>
      </w:r>
      <w:r w:rsidR="00421EC3">
        <w:rPr>
          <w:rFonts w:cs="David" w:hint="cs"/>
          <w:sz w:val="24"/>
          <w:szCs w:val="24"/>
          <w:rtl/>
        </w:rPr>
        <w:t xml:space="preserve">והגיעה </w:t>
      </w:r>
      <w:r w:rsidRPr="00E64790">
        <w:rPr>
          <w:rFonts w:cs="David" w:hint="cs"/>
          <w:sz w:val="24"/>
          <w:szCs w:val="24"/>
          <w:rtl/>
        </w:rPr>
        <w:t>לרמה של כ-</w:t>
      </w:r>
      <w:r w:rsidRPr="009B58DA">
        <w:rPr>
          <w:rFonts w:cs="David" w:hint="cs"/>
          <w:sz w:val="24"/>
          <w:szCs w:val="24"/>
          <w:rtl/>
        </w:rPr>
        <w:t>9.</w:t>
      </w:r>
      <w:r w:rsidR="00550EF6">
        <w:rPr>
          <w:rFonts w:cs="David" w:hint="cs"/>
          <w:sz w:val="24"/>
          <w:szCs w:val="24"/>
          <w:rtl/>
        </w:rPr>
        <w:t>2</w:t>
      </w:r>
      <w:r w:rsidRPr="00E64790">
        <w:rPr>
          <w:rFonts w:cs="David" w:hint="cs"/>
          <w:sz w:val="24"/>
          <w:szCs w:val="24"/>
          <w:rtl/>
        </w:rPr>
        <w:t>%</w:t>
      </w:r>
      <w:r w:rsidR="00890B5E" w:rsidRPr="009B58DA">
        <w:rPr>
          <w:rFonts w:cs="David" w:hint="cs"/>
          <w:sz w:val="24"/>
          <w:szCs w:val="24"/>
          <w:rtl/>
        </w:rPr>
        <w:t>.</w:t>
      </w:r>
    </w:p>
    <w:p w:rsidR="00421EC3" w:rsidRDefault="0015402E" w:rsidP="0080373C">
      <w:pPr>
        <w:bidi/>
        <w:spacing w:line="360" w:lineRule="auto"/>
        <w:ind w:left="360" w:right="-101"/>
        <w:rPr>
          <w:rFonts w:cs="David"/>
          <w:sz w:val="24"/>
          <w:szCs w:val="24"/>
          <w:rtl/>
        </w:rPr>
      </w:pPr>
      <w:r w:rsidRPr="009B58DA">
        <w:rPr>
          <w:rFonts w:cs="David"/>
          <w:sz w:val="24"/>
          <w:szCs w:val="24"/>
          <w:rtl/>
        </w:rPr>
        <w:t>סט</w:t>
      </w:r>
      <w:r w:rsidRPr="009B58DA">
        <w:rPr>
          <w:rFonts w:cs="David" w:hint="cs"/>
          <w:sz w:val="24"/>
          <w:szCs w:val="24"/>
          <w:rtl/>
        </w:rPr>
        <w:t>יית</w:t>
      </w:r>
      <w:r w:rsidRPr="009B58DA">
        <w:rPr>
          <w:rFonts w:cs="David"/>
          <w:sz w:val="24"/>
          <w:szCs w:val="24"/>
          <w:rtl/>
        </w:rPr>
        <w:t xml:space="preserve"> התקן הגלומ</w:t>
      </w:r>
      <w:r w:rsidRPr="009B58DA">
        <w:rPr>
          <w:rFonts w:cs="David" w:hint="cs"/>
          <w:sz w:val="24"/>
          <w:szCs w:val="24"/>
          <w:rtl/>
        </w:rPr>
        <w:t>ה</w:t>
      </w:r>
      <w:r w:rsidRPr="009B58DA">
        <w:rPr>
          <w:rFonts w:cs="David"/>
          <w:sz w:val="24"/>
          <w:szCs w:val="24"/>
          <w:rtl/>
        </w:rPr>
        <w:t xml:space="preserve"> באופציות על מט"ח בשווקים </w:t>
      </w:r>
      <w:r w:rsidRPr="009B58DA">
        <w:rPr>
          <w:rFonts w:cs="David" w:hint="cs"/>
          <w:sz w:val="24"/>
          <w:szCs w:val="24"/>
          <w:rtl/>
        </w:rPr>
        <w:t xml:space="preserve">מפותחים </w:t>
      </w:r>
      <w:r w:rsidR="00421EC3">
        <w:rPr>
          <w:rFonts w:cs="David" w:hint="cs"/>
          <w:sz w:val="24"/>
          <w:szCs w:val="24"/>
          <w:rtl/>
        </w:rPr>
        <w:t>עמדה בסוף חודש דצמבר</w:t>
      </w:r>
      <w:r w:rsidRPr="009B58DA">
        <w:rPr>
          <w:rFonts w:cs="David" w:hint="cs"/>
          <w:sz w:val="24"/>
          <w:szCs w:val="24"/>
          <w:rtl/>
        </w:rPr>
        <w:t xml:space="preserve"> </w:t>
      </w:r>
      <w:r w:rsidR="00421EC3">
        <w:rPr>
          <w:rFonts w:cs="David" w:hint="cs"/>
          <w:sz w:val="24"/>
          <w:szCs w:val="24"/>
          <w:rtl/>
        </w:rPr>
        <w:t>ע</w:t>
      </w:r>
      <w:r w:rsidRPr="009B58DA">
        <w:rPr>
          <w:rFonts w:cs="David" w:hint="cs"/>
          <w:sz w:val="24"/>
          <w:szCs w:val="24"/>
          <w:rtl/>
        </w:rPr>
        <w:t>ל</w:t>
      </w:r>
      <w:r w:rsidR="00421EC3">
        <w:rPr>
          <w:rFonts w:cs="David" w:hint="cs"/>
          <w:sz w:val="24"/>
          <w:szCs w:val="24"/>
          <w:rtl/>
        </w:rPr>
        <w:t xml:space="preserve"> כ-</w:t>
      </w:r>
      <w:r w:rsidRPr="009B58DA">
        <w:rPr>
          <w:rFonts w:cs="David" w:hint="cs"/>
          <w:sz w:val="24"/>
          <w:szCs w:val="24"/>
          <w:rtl/>
        </w:rPr>
        <w:t xml:space="preserve"> 9.</w:t>
      </w:r>
      <w:r w:rsidR="00421EC3">
        <w:rPr>
          <w:rFonts w:cs="David" w:hint="cs"/>
          <w:sz w:val="24"/>
          <w:szCs w:val="24"/>
          <w:rtl/>
        </w:rPr>
        <w:t>4</w:t>
      </w:r>
      <w:r w:rsidRPr="009B58DA">
        <w:rPr>
          <w:rFonts w:cs="David" w:hint="cs"/>
          <w:sz w:val="24"/>
          <w:szCs w:val="24"/>
          <w:rtl/>
        </w:rPr>
        <w:t>%</w:t>
      </w:r>
      <w:r w:rsidR="00421EC3">
        <w:rPr>
          <w:rFonts w:cs="David" w:hint="cs"/>
          <w:sz w:val="24"/>
          <w:szCs w:val="24"/>
          <w:rtl/>
        </w:rPr>
        <w:t>, בדומה לרמתה בסוף השנה שעברה.</w:t>
      </w:r>
      <w:r w:rsidRPr="009B58DA">
        <w:rPr>
          <w:rFonts w:cs="David"/>
          <w:sz w:val="24"/>
          <w:szCs w:val="24"/>
          <w:rtl/>
        </w:rPr>
        <w:t xml:space="preserve"> </w:t>
      </w:r>
      <w:r w:rsidR="00E64790" w:rsidRPr="009B58DA">
        <w:rPr>
          <w:rFonts w:cs="David"/>
          <w:sz w:val="24"/>
          <w:szCs w:val="24"/>
          <w:rtl/>
        </w:rPr>
        <w:t>סט</w:t>
      </w:r>
      <w:r w:rsidR="00E64790" w:rsidRPr="009B58DA">
        <w:rPr>
          <w:rFonts w:cs="David" w:hint="cs"/>
          <w:sz w:val="24"/>
          <w:szCs w:val="24"/>
          <w:rtl/>
        </w:rPr>
        <w:t>יית</w:t>
      </w:r>
      <w:r w:rsidR="00E64790" w:rsidRPr="009B58DA">
        <w:rPr>
          <w:rFonts w:cs="David"/>
          <w:sz w:val="24"/>
          <w:szCs w:val="24"/>
          <w:rtl/>
        </w:rPr>
        <w:t xml:space="preserve"> התקן הגלומ</w:t>
      </w:r>
      <w:r w:rsidR="00E64790" w:rsidRPr="009B58DA">
        <w:rPr>
          <w:rFonts w:cs="David" w:hint="cs"/>
          <w:sz w:val="24"/>
          <w:szCs w:val="24"/>
          <w:rtl/>
        </w:rPr>
        <w:t>ה</w:t>
      </w:r>
      <w:r w:rsidR="00E64790" w:rsidRPr="009B58DA">
        <w:rPr>
          <w:rFonts w:cs="David"/>
          <w:sz w:val="24"/>
          <w:szCs w:val="24"/>
          <w:rtl/>
        </w:rPr>
        <w:t xml:space="preserve"> באופציות על מט"ח בשווקים מתעוררים</w:t>
      </w:r>
      <w:r w:rsidR="00E64790" w:rsidRPr="009B58DA">
        <w:rPr>
          <w:rFonts w:cs="David" w:hint="cs"/>
          <w:sz w:val="24"/>
          <w:szCs w:val="24"/>
          <w:rtl/>
        </w:rPr>
        <w:t xml:space="preserve"> </w:t>
      </w:r>
      <w:r w:rsidR="00421EC3">
        <w:rPr>
          <w:rFonts w:cs="David" w:hint="cs"/>
          <w:sz w:val="24"/>
          <w:szCs w:val="24"/>
          <w:rtl/>
        </w:rPr>
        <w:t>עלתה במהלך השנה ב- 1.2 נקודות אחוז והגיעה ל</w:t>
      </w:r>
      <w:r w:rsidR="00890B5E" w:rsidRPr="009B58DA">
        <w:rPr>
          <w:rFonts w:cs="David" w:hint="cs"/>
          <w:sz w:val="24"/>
          <w:szCs w:val="24"/>
          <w:rtl/>
        </w:rPr>
        <w:t xml:space="preserve">רמה </w:t>
      </w:r>
      <w:r>
        <w:rPr>
          <w:rFonts w:cs="David" w:hint="cs"/>
          <w:sz w:val="24"/>
          <w:szCs w:val="24"/>
          <w:rtl/>
        </w:rPr>
        <w:t xml:space="preserve">של </w:t>
      </w:r>
      <w:r w:rsidR="00421EC3">
        <w:rPr>
          <w:rFonts w:cs="David" w:hint="cs"/>
          <w:sz w:val="24"/>
          <w:szCs w:val="24"/>
          <w:rtl/>
        </w:rPr>
        <w:t>10</w:t>
      </w:r>
      <w:r>
        <w:rPr>
          <w:rFonts w:cs="David" w:hint="cs"/>
          <w:sz w:val="24"/>
          <w:szCs w:val="24"/>
          <w:rtl/>
        </w:rPr>
        <w:t>.</w:t>
      </w:r>
      <w:r w:rsidR="00421EC3">
        <w:rPr>
          <w:rFonts w:cs="David" w:hint="cs"/>
          <w:sz w:val="24"/>
          <w:szCs w:val="24"/>
          <w:rtl/>
        </w:rPr>
        <w:t>7</w:t>
      </w:r>
      <w:r>
        <w:rPr>
          <w:rFonts w:cs="David" w:hint="cs"/>
          <w:sz w:val="24"/>
          <w:szCs w:val="24"/>
          <w:rtl/>
        </w:rPr>
        <w:t>%.</w:t>
      </w:r>
    </w:p>
    <w:p w:rsidR="000D4B2F" w:rsidRDefault="000D4B2F" w:rsidP="0080373C">
      <w:pPr>
        <w:bidi/>
        <w:spacing w:line="360" w:lineRule="auto"/>
        <w:ind w:left="360" w:right="-101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lang w:eastAsia="en-US"/>
        </w:rPr>
        <w:lastRenderedPageBreak/>
        <w:drawing>
          <wp:inline distT="0" distB="0" distL="0" distR="0" wp14:anchorId="15A3FC85" wp14:editId="4F1B3103">
            <wp:extent cx="5994217" cy="3657600"/>
            <wp:effectExtent l="0" t="0" r="6985" b="0"/>
            <wp:docPr id="13" name="תמונה 13" descr="תרשים 3: סטיית התקן של השינוי בשער חליפין (עבור 20 ימי מסחר אחרונים)&#10;" title="תרשים 3: סטיית התקן של השינוי בשער 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628" cy="365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980" w:rsidRDefault="000D4B2F" w:rsidP="0080373C">
      <w:pPr>
        <w:bidi/>
        <w:spacing w:line="360" w:lineRule="auto"/>
        <w:ind w:left="360" w:right="-101"/>
        <w:rPr>
          <w:rFonts w:cs="David"/>
          <w:sz w:val="24"/>
          <w:szCs w:val="24"/>
        </w:rPr>
      </w:pPr>
      <w:r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613430DB" wp14:editId="2A432990">
            <wp:extent cx="5992775" cy="3530938"/>
            <wp:effectExtent l="0" t="0" r="8255" b="0"/>
            <wp:docPr id="15" name="תמונה 15" descr="תרשים 4: השוואה בינלאומית של סטיית התקן הגלומה באופציות על מטבע חוץ&#10;" title="תרשים 4: 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69" cy="3531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7980">
        <w:rPr>
          <w:rFonts w:cs="David"/>
          <w:sz w:val="24"/>
          <w:szCs w:val="24"/>
          <w:rtl/>
        </w:rPr>
        <w:br w:type="page"/>
      </w:r>
    </w:p>
    <w:p w:rsidR="00E044B5" w:rsidRPr="0080373C" w:rsidRDefault="00D9772D" w:rsidP="0080373C">
      <w:pPr>
        <w:pStyle w:val="af0"/>
        <w:numPr>
          <w:ilvl w:val="0"/>
          <w:numId w:val="2"/>
        </w:num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80373C">
        <w:rPr>
          <w:rFonts w:cs="David" w:hint="cs"/>
          <w:b/>
          <w:bCs/>
          <w:sz w:val="24"/>
          <w:szCs w:val="24"/>
          <w:rtl/>
        </w:rPr>
        <w:lastRenderedPageBreak/>
        <w:t>נפח המסחר בשוק המט"ח</w:t>
      </w:r>
      <w:r w:rsidRPr="0080373C">
        <w:rPr>
          <w:rFonts w:cs="David"/>
          <w:b/>
          <w:bCs/>
          <w:sz w:val="24"/>
          <w:szCs w:val="24"/>
          <w:rtl/>
        </w:rPr>
        <w:t>–</w:t>
      </w:r>
      <w:r w:rsidRPr="0080373C">
        <w:rPr>
          <w:rFonts w:cs="David" w:hint="cs"/>
          <w:b/>
          <w:bCs/>
          <w:sz w:val="24"/>
          <w:szCs w:val="24"/>
          <w:rtl/>
        </w:rPr>
        <w:t xml:space="preserve"> </w:t>
      </w:r>
      <w:r w:rsidR="0088294C" w:rsidRPr="0080373C">
        <w:rPr>
          <w:rFonts w:cs="David" w:hint="cs"/>
          <w:sz w:val="24"/>
          <w:szCs w:val="24"/>
          <w:rtl/>
        </w:rPr>
        <w:t>עלייה</w:t>
      </w:r>
      <w:r w:rsidR="001F3D99" w:rsidRPr="0080373C">
        <w:rPr>
          <w:rFonts w:cs="David" w:hint="cs"/>
          <w:sz w:val="24"/>
          <w:szCs w:val="24"/>
          <w:rtl/>
        </w:rPr>
        <w:t xml:space="preserve"> בנפח המסחר </w:t>
      </w:r>
      <w:r w:rsidR="00684AFE" w:rsidRPr="0080373C">
        <w:rPr>
          <w:rFonts w:cs="David" w:hint="cs"/>
          <w:sz w:val="24"/>
          <w:szCs w:val="24"/>
          <w:rtl/>
        </w:rPr>
        <w:t>ה</w:t>
      </w:r>
      <w:r w:rsidR="002F0975" w:rsidRPr="0080373C">
        <w:rPr>
          <w:rFonts w:cs="David" w:hint="cs"/>
          <w:sz w:val="24"/>
          <w:szCs w:val="24"/>
          <w:rtl/>
        </w:rPr>
        <w:t>יומי הממוצע במהלך 201</w:t>
      </w:r>
      <w:r w:rsidR="000D4B2F" w:rsidRPr="0080373C">
        <w:rPr>
          <w:rFonts w:cs="David" w:hint="cs"/>
          <w:sz w:val="24"/>
          <w:szCs w:val="24"/>
          <w:rtl/>
        </w:rPr>
        <w:t>5</w:t>
      </w:r>
      <w:r w:rsidR="002F0975" w:rsidRPr="0080373C">
        <w:rPr>
          <w:rFonts w:cs="David" w:hint="cs"/>
          <w:sz w:val="24"/>
          <w:szCs w:val="24"/>
          <w:rtl/>
        </w:rPr>
        <w:t xml:space="preserve"> במקביל </w:t>
      </w:r>
      <w:r w:rsidR="000D4B2F" w:rsidRPr="0080373C">
        <w:rPr>
          <w:rFonts w:cs="David" w:hint="cs"/>
          <w:sz w:val="24"/>
          <w:szCs w:val="24"/>
          <w:rtl/>
        </w:rPr>
        <w:t>לעלייה</w:t>
      </w:r>
      <w:r w:rsidR="00CC7597" w:rsidRPr="0080373C">
        <w:rPr>
          <w:rFonts w:cs="David" w:hint="cs"/>
          <w:sz w:val="24"/>
          <w:szCs w:val="24"/>
          <w:rtl/>
        </w:rPr>
        <w:t xml:space="preserve"> </w:t>
      </w:r>
      <w:r w:rsidR="00300B3A" w:rsidRPr="0080373C">
        <w:rPr>
          <w:rFonts w:cs="David" w:hint="cs"/>
          <w:sz w:val="24"/>
          <w:szCs w:val="24"/>
          <w:rtl/>
        </w:rPr>
        <w:t>בחלקם היחסי של תושבי חוץ בנפח המסחר.</w:t>
      </w:r>
    </w:p>
    <w:p w:rsidR="00054614" w:rsidRPr="0080373C" w:rsidRDefault="00054614" w:rsidP="0080373C">
      <w:pPr>
        <w:bidi/>
        <w:spacing w:line="360" w:lineRule="auto"/>
        <w:ind w:left="720"/>
        <w:rPr>
          <w:rFonts w:cs="David"/>
          <w:sz w:val="24"/>
          <w:szCs w:val="24"/>
          <w:rtl/>
        </w:rPr>
      </w:pPr>
      <w:r w:rsidRPr="0080373C">
        <w:rPr>
          <w:rFonts w:cs="David" w:hint="cs"/>
          <w:b/>
          <w:bCs/>
          <w:sz w:val="24"/>
          <w:szCs w:val="24"/>
          <w:rtl/>
        </w:rPr>
        <w:t>בשנת 201</w:t>
      </w:r>
      <w:r w:rsidR="000D4B2F" w:rsidRPr="0080373C">
        <w:rPr>
          <w:rFonts w:cs="David" w:hint="cs"/>
          <w:b/>
          <w:bCs/>
          <w:sz w:val="24"/>
          <w:szCs w:val="24"/>
          <w:rtl/>
        </w:rPr>
        <w:t>5</w:t>
      </w:r>
      <w:r w:rsidRPr="0080373C">
        <w:rPr>
          <w:rFonts w:cs="David" w:hint="cs"/>
          <w:b/>
          <w:bCs/>
          <w:sz w:val="24"/>
          <w:szCs w:val="24"/>
          <w:rtl/>
        </w:rPr>
        <w:t xml:space="preserve">, נפח המסחר היומי הממוצע </w:t>
      </w:r>
      <w:r w:rsidRPr="0080373C">
        <w:rPr>
          <w:rFonts w:cs="David" w:hint="cs"/>
          <w:sz w:val="24"/>
          <w:szCs w:val="24"/>
          <w:rtl/>
        </w:rPr>
        <w:t>במטבע חוץ הסתכם בכ-6.4 מיליארד</w:t>
      </w:r>
      <w:r w:rsidR="00550EF6" w:rsidRPr="0080373C">
        <w:rPr>
          <w:rFonts w:cs="David" w:hint="cs"/>
          <w:sz w:val="24"/>
          <w:szCs w:val="24"/>
          <w:rtl/>
        </w:rPr>
        <w:t>י</w:t>
      </w:r>
      <w:r w:rsidRPr="0080373C">
        <w:rPr>
          <w:rFonts w:cs="David" w:hint="cs"/>
          <w:sz w:val="24"/>
          <w:szCs w:val="24"/>
          <w:rtl/>
        </w:rPr>
        <w:t xml:space="preserve"> דולר</w:t>
      </w:r>
      <w:r w:rsidR="00550EF6" w:rsidRPr="0080373C">
        <w:rPr>
          <w:rFonts w:cs="David" w:hint="cs"/>
          <w:sz w:val="24"/>
          <w:szCs w:val="24"/>
          <w:rtl/>
        </w:rPr>
        <w:t>ים</w:t>
      </w:r>
      <w:r w:rsidRPr="0080373C">
        <w:rPr>
          <w:rFonts w:cs="David" w:hint="cs"/>
          <w:sz w:val="24"/>
          <w:szCs w:val="24"/>
          <w:rtl/>
        </w:rPr>
        <w:t>, עליה של כ-</w:t>
      </w:r>
      <w:r w:rsidR="00130168" w:rsidRPr="0080373C">
        <w:rPr>
          <w:rFonts w:cs="David" w:hint="cs"/>
          <w:sz w:val="24"/>
          <w:szCs w:val="24"/>
          <w:rtl/>
        </w:rPr>
        <w:t>1</w:t>
      </w:r>
      <w:r w:rsidRPr="0080373C">
        <w:rPr>
          <w:rFonts w:cs="David" w:hint="cs"/>
          <w:sz w:val="24"/>
          <w:szCs w:val="24"/>
          <w:rtl/>
        </w:rPr>
        <w:t xml:space="preserve">% בהשוואה </w:t>
      </w:r>
      <w:r w:rsidR="00550EF6" w:rsidRPr="0080373C">
        <w:rPr>
          <w:rFonts w:cs="David" w:hint="cs"/>
          <w:sz w:val="24"/>
          <w:szCs w:val="24"/>
          <w:rtl/>
        </w:rPr>
        <w:t>לשנה שעברה</w:t>
      </w:r>
      <w:r w:rsidRPr="0080373C">
        <w:rPr>
          <w:rFonts w:cs="David" w:hint="cs"/>
          <w:sz w:val="24"/>
          <w:szCs w:val="24"/>
          <w:rtl/>
        </w:rPr>
        <w:t xml:space="preserve">, זאת </w:t>
      </w:r>
      <w:r w:rsidR="00130168" w:rsidRPr="0080373C">
        <w:rPr>
          <w:rFonts w:cs="David" w:hint="cs"/>
          <w:sz w:val="24"/>
          <w:szCs w:val="24"/>
          <w:rtl/>
        </w:rPr>
        <w:t>בהמשך לעלייה המשמעותית</w:t>
      </w:r>
      <w:r w:rsidRPr="0080373C">
        <w:rPr>
          <w:rFonts w:cs="David" w:hint="cs"/>
          <w:sz w:val="24"/>
          <w:szCs w:val="24"/>
          <w:rtl/>
        </w:rPr>
        <w:t xml:space="preserve"> </w:t>
      </w:r>
      <w:r w:rsidR="00130168" w:rsidRPr="0080373C">
        <w:rPr>
          <w:rFonts w:cs="David" w:hint="cs"/>
          <w:sz w:val="24"/>
          <w:szCs w:val="24"/>
          <w:rtl/>
        </w:rPr>
        <w:t xml:space="preserve">שהייתה </w:t>
      </w:r>
      <w:r w:rsidRPr="0080373C">
        <w:rPr>
          <w:rFonts w:cs="David" w:hint="cs"/>
          <w:sz w:val="24"/>
          <w:szCs w:val="24"/>
          <w:rtl/>
        </w:rPr>
        <w:t xml:space="preserve">בנפח המסחר בשוק מט"ח </w:t>
      </w:r>
      <w:r w:rsidR="008A57E2" w:rsidRPr="0080373C">
        <w:rPr>
          <w:rFonts w:cs="David" w:hint="cs"/>
          <w:sz w:val="24"/>
          <w:szCs w:val="24"/>
          <w:rtl/>
        </w:rPr>
        <w:t xml:space="preserve">במהלך </w:t>
      </w:r>
      <w:r w:rsidRPr="0080373C">
        <w:rPr>
          <w:rFonts w:cs="David" w:hint="cs"/>
          <w:sz w:val="24"/>
          <w:szCs w:val="24"/>
          <w:rtl/>
        </w:rPr>
        <w:t xml:space="preserve">שנת </w:t>
      </w:r>
      <w:r w:rsidR="00130168" w:rsidRPr="0080373C">
        <w:rPr>
          <w:rFonts w:cs="David" w:hint="cs"/>
          <w:sz w:val="24"/>
          <w:szCs w:val="24"/>
          <w:rtl/>
        </w:rPr>
        <w:t>2014</w:t>
      </w:r>
      <w:r w:rsidRPr="0080373C">
        <w:rPr>
          <w:rFonts w:cs="David" w:hint="cs"/>
          <w:sz w:val="24"/>
          <w:szCs w:val="24"/>
          <w:rtl/>
        </w:rPr>
        <w:t xml:space="preserve">.  </w:t>
      </w:r>
    </w:p>
    <w:p w:rsidR="00550EF6" w:rsidRPr="0080373C" w:rsidRDefault="00054614" w:rsidP="0080373C">
      <w:pPr>
        <w:bidi/>
        <w:spacing w:line="360" w:lineRule="auto"/>
        <w:ind w:left="720"/>
        <w:rPr>
          <w:rFonts w:cs="David"/>
          <w:sz w:val="24"/>
          <w:szCs w:val="24"/>
          <w:rtl/>
        </w:rPr>
      </w:pPr>
      <w:r w:rsidRPr="0080373C">
        <w:rPr>
          <w:rFonts w:cs="David" w:hint="cs"/>
          <w:sz w:val="24"/>
          <w:szCs w:val="24"/>
          <w:rtl/>
        </w:rPr>
        <w:t>עיקר העלייה בנפח התרכזה בעסקאות החלף</w:t>
      </w:r>
      <w:r w:rsidR="00130168" w:rsidRPr="0080373C">
        <w:rPr>
          <w:rFonts w:cs="David" w:hint="cs"/>
          <w:sz w:val="24"/>
          <w:szCs w:val="24"/>
          <w:rtl/>
        </w:rPr>
        <w:t xml:space="preserve"> של תושבי חוץ</w:t>
      </w:r>
      <w:r w:rsidRPr="0080373C">
        <w:rPr>
          <w:rFonts w:cs="David" w:hint="cs"/>
          <w:sz w:val="24"/>
          <w:szCs w:val="24"/>
          <w:rtl/>
        </w:rPr>
        <w:t>, ש</w:t>
      </w:r>
      <w:r w:rsidR="008A57E2" w:rsidRPr="0080373C">
        <w:rPr>
          <w:rFonts w:cs="David" w:hint="cs"/>
          <w:sz w:val="24"/>
          <w:szCs w:val="24"/>
          <w:rtl/>
        </w:rPr>
        <w:t xml:space="preserve">בהן </w:t>
      </w:r>
      <w:r w:rsidRPr="0080373C">
        <w:rPr>
          <w:rFonts w:cs="David" w:hint="cs"/>
          <w:sz w:val="24"/>
          <w:szCs w:val="24"/>
          <w:rtl/>
        </w:rPr>
        <w:t>חלה עלייה של כ-</w:t>
      </w:r>
      <w:r w:rsidR="00130168" w:rsidRPr="0080373C">
        <w:rPr>
          <w:rFonts w:cs="David" w:hint="cs"/>
          <w:sz w:val="24"/>
          <w:szCs w:val="24"/>
          <w:rtl/>
        </w:rPr>
        <w:t>33</w:t>
      </w:r>
      <w:r w:rsidRPr="0080373C">
        <w:rPr>
          <w:rFonts w:cs="David" w:hint="cs"/>
          <w:sz w:val="24"/>
          <w:szCs w:val="24"/>
          <w:rtl/>
        </w:rPr>
        <w:t xml:space="preserve">% לרמה חודשית ממוצעת של כ- </w:t>
      </w:r>
      <w:r w:rsidR="00130168" w:rsidRPr="0080373C">
        <w:rPr>
          <w:rFonts w:cs="David" w:hint="cs"/>
          <w:sz w:val="24"/>
          <w:szCs w:val="24"/>
          <w:rtl/>
        </w:rPr>
        <w:t>28</w:t>
      </w:r>
      <w:r w:rsidRPr="0080373C">
        <w:rPr>
          <w:rFonts w:cs="David" w:hint="cs"/>
          <w:sz w:val="24"/>
          <w:szCs w:val="24"/>
          <w:rtl/>
        </w:rPr>
        <w:t xml:space="preserve"> מיליארד</w:t>
      </w:r>
      <w:r w:rsidR="00550EF6" w:rsidRPr="0080373C">
        <w:rPr>
          <w:rFonts w:cs="David" w:hint="cs"/>
          <w:sz w:val="24"/>
          <w:szCs w:val="24"/>
          <w:rtl/>
        </w:rPr>
        <w:t>י</w:t>
      </w:r>
      <w:r w:rsidRPr="0080373C">
        <w:rPr>
          <w:rFonts w:cs="David" w:hint="cs"/>
          <w:sz w:val="24"/>
          <w:szCs w:val="24"/>
          <w:rtl/>
        </w:rPr>
        <w:t xml:space="preserve"> דולר</w:t>
      </w:r>
      <w:r w:rsidR="00550EF6" w:rsidRPr="0080373C">
        <w:rPr>
          <w:rFonts w:cs="David" w:hint="cs"/>
          <w:sz w:val="24"/>
          <w:szCs w:val="24"/>
          <w:rtl/>
        </w:rPr>
        <w:t>ים</w:t>
      </w:r>
      <w:r w:rsidRPr="0080373C">
        <w:rPr>
          <w:rFonts w:cs="David" w:hint="cs"/>
          <w:sz w:val="24"/>
          <w:szCs w:val="24"/>
          <w:rtl/>
        </w:rPr>
        <w:t xml:space="preserve"> בשנת 201</w:t>
      </w:r>
      <w:r w:rsidR="00130168" w:rsidRPr="0080373C">
        <w:rPr>
          <w:rFonts w:cs="David" w:hint="cs"/>
          <w:sz w:val="24"/>
          <w:szCs w:val="24"/>
          <w:rtl/>
        </w:rPr>
        <w:t>5, בהשוואה ל-20 מיליארד</w:t>
      </w:r>
      <w:r w:rsidR="00550EF6" w:rsidRPr="0080373C">
        <w:rPr>
          <w:rFonts w:cs="David" w:hint="cs"/>
          <w:sz w:val="24"/>
          <w:szCs w:val="24"/>
          <w:rtl/>
        </w:rPr>
        <w:t xml:space="preserve">ים ב-2014. זאת בניגוד לירידה של 11% בנפח עסקאות </w:t>
      </w:r>
      <w:proofErr w:type="spellStart"/>
      <w:r w:rsidR="00550EF6" w:rsidRPr="0080373C">
        <w:rPr>
          <w:rFonts w:cs="David" w:hint="cs"/>
          <w:sz w:val="24"/>
          <w:szCs w:val="24"/>
          <w:rtl/>
        </w:rPr>
        <w:t>ההחלף</w:t>
      </w:r>
      <w:proofErr w:type="spellEnd"/>
      <w:r w:rsidR="00550EF6" w:rsidRPr="0080373C">
        <w:rPr>
          <w:rFonts w:cs="David" w:hint="cs"/>
          <w:sz w:val="24"/>
          <w:szCs w:val="24"/>
          <w:rtl/>
        </w:rPr>
        <w:t xml:space="preserve"> של תושבי ישראל.</w:t>
      </w:r>
    </w:p>
    <w:p w:rsidR="00054614" w:rsidRPr="0080373C" w:rsidRDefault="00054614" w:rsidP="0080373C">
      <w:pPr>
        <w:bidi/>
        <w:spacing w:line="360" w:lineRule="auto"/>
        <w:ind w:firstLine="720"/>
        <w:rPr>
          <w:rFonts w:cs="David"/>
          <w:b/>
          <w:bCs/>
          <w:sz w:val="24"/>
          <w:szCs w:val="24"/>
          <w:rtl/>
        </w:rPr>
      </w:pPr>
      <w:r w:rsidRPr="0080373C">
        <w:rPr>
          <w:rFonts w:cs="David" w:hint="cs"/>
          <w:sz w:val="24"/>
          <w:szCs w:val="24"/>
          <w:rtl/>
        </w:rPr>
        <w:t>נפחי עסקות ההמרה הממוצעים עלו  בכ- 1</w:t>
      </w:r>
      <w:r w:rsidR="00130168" w:rsidRPr="0080373C">
        <w:rPr>
          <w:rFonts w:cs="David" w:hint="cs"/>
          <w:sz w:val="24"/>
          <w:szCs w:val="24"/>
          <w:rtl/>
        </w:rPr>
        <w:t>2</w:t>
      </w:r>
      <w:r w:rsidRPr="0080373C">
        <w:rPr>
          <w:rFonts w:cs="David" w:hint="cs"/>
          <w:sz w:val="24"/>
          <w:szCs w:val="24"/>
          <w:rtl/>
        </w:rPr>
        <w:t>%  ועמדו ב-201</w:t>
      </w:r>
      <w:r w:rsidR="00130168" w:rsidRPr="0080373C">
        <w:rPr>
          <w:rFonts w:cs="David" w:hint="cs"/>
          <w:sz w:val="24"/>
          <w:szCs w:val="24"/>
          <w:rtl/>
        </w:rPr>
        <w:t>5</w:t>
      </w:r>
      <w:r w:rsidRPr="0080373C">
        <w:rPr>
          <w:rFonts w:cs="David" w:hint="cs"/>
          <w:sz w:val="24"/>
          <w:szCs w:val="24"/>
          <w:rtl/>
        </w:rPr>
        <w:t xml:space="preserve"> על כ- </w:t>
      </w:r>
      <w:r w:rsidR="00130168" w:rsidRPr="0080373C">
        <w:rPr>
          <w:rFonts w:cs="David" w:hint="cs"/>
          <w:sz w:val="24"/>
          <w:szCs w:val="24"/>
          <w:rtl/>
        </w:rPr>
        <w:t>42</w:t>
      </w:r>
      <w:r w:rsidRPr="0080373C">
        <w:rPr>
          <w:rFonts w:cs="David" w:hint="cs"/>
          <w:sz w:val="24"/>
          <w:szCs w:val="24"/>
          <w:rtl/>
        </w:rPr>
        <w:t xml:space="preserve"> מיליארד</w:t>
      </w:r>
      <w:r w:rsidR="00550EF6" w:rsidRPr="0080373C">
        <w:rPr>
          <w:rFonts w:cs="David" w:hint="cs"/>
          <w:sz w:val="24"/>
          <w:szCs w:val="24"/>
          <w:rtl/>
        </w:rPr>
        <w:t>י</w:t>
      </w:r>
      <w:r w:rsidRPr="0080373C">
        <w:rPr>
          <w:rFonts w:cs="David" w:hint="cs"/>
          <w:sz w:val="24"/>
          <w:szCs w:val="24"/>
          <w:rtl/>
        </w:rPr>
        <w:t xml:space="preserve"> דולר</w:t>
      </w:r>
      <w:r w:rsidR="00550EF6" w:rsidRPr="0080373C">
        <w:rPr>
          <w:rFonts w:cs="David" w:hint="cs"/>
          <w:sz w:val="24"/>
          <w:szCs w:val="24"/>
          <w:rtl/>
        </w:rPr>
        <w:t>ים</w:t>
      </w:r>
      <w:r w:rsidRPr="0080373C">
        <w:rPr>
          <w:rFonts w:cs="David" w:hint="cs"/>
          <w:sz w:val="24"/>
          <w:szCs w:val="24"/>
          <w:rtl/>
        </w:rPr>
        <w:t xml:space="preserve"> בחודש. </w:t>
      </w:r>
    </w:p>
    <w:p w:rsidR="00130168" w:rsidRPr="0080373C" w:rsidRDefault="00130168" w:rsidP="0080373C">
      <w:pPr>
        <w:bidi/>
        <w:spacing w:line="360" w:lineRule="auto"/>
        <w:ind w:left="720"/>
        <w:rPr>
          <w:rFonts w:cs="David"/>
          <w:b/>
          <w:bCs/>
          <w:sz w:val="24"/>
          <w:szCs w:val="24"/>
          <w:rtl/>
        </w:rPr>
      </w:pPr>
    </w:p>
    <w:p w:rsidR="006E1923" w:rsidRPr="0080373C" w:rsidRDefault="00054614" w:rsidP="0080373C">
      <w:pPr>
        <w:bidi/>
        <w:spacing w:line="360" w:lineRule="auto"/>
        <w:ind w:left="720"/>
        <w:rPr>
          <w:rFonts w:cs="David"/>
          <w:i/>
          <w:iCs/>
          <w:sz w:val="24"/>
          <w:szCs w:val="24"/>
        </w:rPr>
      </w:pPr>
      <w:r w:rsidRPr="0080373C">
        <w:rPr>
          <w:rFonts w:cs="David"/>
          <w:b/>
          <w:bCs/>
          <w:sz w:val="24"/>
          <w:szCs w:val="24"/>
          <w:rtl/>
        </w:rPr>
        <w:t>חלקם היחס</w:t>
      </w:r>
      <w:r w:rsidRPr="0080373C">
        <w:rPr>
          <w:rFonts w:cs="David" w:hint="cs"/>
          <w:b/>
          <w:bCs/>
          <w:sz w:val="24"/>
          <w:szCs w:val="24"/>
          <w:rtl/>
        </w:rPr>
        <w:t>י</w:t>
      </w:r>
      <w:r w:rsidRPr="0080373C">
        <w:rPr>
          <w:rFonts w:cs="David"/>
          <w:b/>
          <w:bCs/>
          <w:sz w:val="24"/>
          <w:szCs w:val="24"/>
          <w:rtl/>
        </w:rPr>
        <w:t xml:space="preserve"> </w:t>
      </w:r>
      <w:r w:rsidRPr="0080373C">
        <w:rPr>
          <w:rFonts w:cs="David" w:hint="cs"/>
          <w:b/>
          <w:bCs/>
          <w:sz w:val="24"/>
          <w:szCs w:val="24"/>
          <w:rtl/>
        </w:rPr>
        <w:t xml:space="preserve">הממוצע </w:t>
      </w:r>
      <w:r w:rsidRPr="0080373C">
        <w:rPr>
          <w:rFonts w:cs="David"/>
          <w:b/>
          <w:bCs/>
          <w:sz w:val="24"/>
          <w:szCs w:val="24"/>
          <w:rtl/>
        </w:rPr>
        <w:t xml:space="preserve">של תושבי חוץ בנפח המסחר </w:t>
      </w:r>
      <w:r w:rsidR="00AB0EFB" w:rsidRPr="0080373C">
        <w:rPr>
          <w:rFonts w:cs="David" w:hint="cs"/>
          <w:b/>
          <w:bCs/>
          <w:sz w:val="24"/>
          <w:szCs w:val="24"/>
          <w:rtl/>
        </w:rPr>
        <w:t xml:space="preserve">החודשי </w:t>
      </w:r>
      <w:r w:rsidRPr="0080373C">
        <w:rPr>
          <w:rFonts w:cs="David"/>
          <w:b/>
          <w:bCs/>
          <w:sz w:val="24"/>
          <w:szCs w:val="24"/>
          <w:rtl/>
        </w:rPr>
        <w:t>ה</w:t>
      </w:r>
      <w:r w:rsidR="00AB0EFB" w:rsidRPr="0080373C">
        <w:rPr>
          <w:rFonts w:cs="David" w:hint="cs"/>
          <w:b/>
          <w:bCs/>
          <w:sz w:val="24"/>
          <w:szCs w:val="24"/>
          <w:rtl/>
        </w:rPr>
        <w:t xml:space="preserve">ממוצע </w:t>
      </w:r>
      <w:r w:rsidR="00130168" w:rsidRPr="0080373C">
        <w:rPr>
          <w:rFonts w:cs="David" w:hint="cs"/>
          <w:sz w:val="24"/>
          <w:szCs w:val="24"/>
          <w:rtl/>
        </w:rPr>
        <w:t>עלה</w:t>
      </w:r>
      <w:r w:rsidRPr="0080373C">
        <w:rPr>
          <w:rFonts w:cs="David" w:hint="cs"/>
          <w:sz w:val="24"/>
          <w:szCs w:val="24"/>
          <w:rtl/>
        </w:rPr>
        <w:t xml:space="preserve"> </w:t>
      </w:r>
      <w:r w:rsidR="003501FD" w:rsidRPr="0080373C">
        <w:rPr>
          <w:rFonts w:cs="David" w:hint="cs"/>
          <w:sz w:val="24"/>
          <w:szCs w:val="24"/>
          <w:rtl/>
        </w:rPr>
        <w:t>ב-201</w:t>
      </w:r>
      <w:r w:rsidR="00130168" w:rsidRPr="0080373C">
        <w:rPr>
          <w:rFonts w:cs="David" w:hint="cs"/>
          <w:sz w:val="24"/>
          <w:szCs w:val="24"/>
          <w:rtl/>
        </w:rPr>
        <w:t>5</w:t>
      </w:r>
      <w:r w:rsidRPr="0080373C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80373C">
        <w:rPr>
          <w:rFonts w:cs="David" w:hint="cs"/>
          <w:sz w:val="24"/>
          <w:szCs w:val="24"/>
          <w:rtl/>
        </w:rPr>
        <w:t>ב</w:t>
      </w:r>
      <w:r w:rsidR="0004401B" w:rsidRPr="0080373C">
        <w:rPr>
          <w:rFonts w:cs="David" w:hint="cs"/>
          <w:sz w:val="24"/>
          <w:szCs w:val="24"/>
          <w:rtl/>
        </w:rPr>
        <w:t>כ</w:t>
      </w:r>
      <w:proofErr w:type="spellEnd"/>
      <w:r w:rsidRPr="0080373C">
        <w:rPr>
          <w:rFonts w:cs="David" w:hint="cs"/>
          <w:sz w:val="24"/>
          <w:szCs w:val="24"/>
          <w:rtl/>
        </w:rPr>
        <w:t xml:space="preserve">- </w:t>
      </w:r>
      <w:r w:rsidR="0004401B" w:rsidRPr="0080373C">
        <w:rPr>
          <w:rFonts w:cs="David" w:hint="cs"/>
          <w:sz w:val="24"/>
          <w:szCs w:val="24"/>
          <w:rtl/>
        </w:rPr>
        <w:t>5</w:t>
      </w:r>
      <w:r w:rsidRPr="0080373C">
        <w:rPr>
          <w:rFonts w:cs="David" w:hint="cs"/>
          <w:sz w:val="24"/>
          <w:szCs w:val="24"/>
          <w:rtl/>
        </w:rPr>
        <w:t xml:space="preserve"> נקודות האחוז לרמה </w:t>
      </w:r>
      <w:r w:rsidR="00130168" w:rsidRPr="0080373C">
        <w:rPr>
          <w:rFonts w:cs="David" w:hint="cs"/>
          <w:sz w:val="24"/>
          <w:szCs w:val="24"/>
          <w:rtl/>
        </w:rPr>
        <w:t xml:space="preserve">ממוצעת </w:t>
      </w:r>
      <w:r w:rsidRPr="0080373C">
        <w:rPr>
          <w:rFonts w:cs="David" w:hint="cs"/>
          <w:sz w:val="24"/>
          <w:szCs w:val="24"/>
          <w:rtl/>
        </w:rPr>
        <w:t>של כ-3</w:t>
      </w:r>
      <w:r w:rsidR="0004401B" w:rsidRPr="0080373C">
        <w:rPr>
          <w:rFonts w:cs="David" w:hint="cs"/>
          <w:sz w:val="24"/>
          <w:szCs w:val="24"/>
          <w:rtl/>
        </w:rPr>
        <w:t>5</w:t>
      </w:r>
      <w:r w:rsidRPr="0080373C">
        <w:rPr>
          <w:rFonts w:cs="David" w:hint="cs"/>
          <w:sz w:val="24"/>
          <w:szCs w:val="24"/>
          <w:rtl/>
        </w:rPr>
        <w:t>%</w:t>
      </w:r>
      <w:r w:rsidR="00130168" w:rsidRPr="0080373C">
        <w:rPr>
          <w:rFonts w:cs="David" w:hint="cs"/>
          <w:sz w:val="24"/>
          <w:szCs w:val="24"/>
          <w:rtl/>
        </w:rPr>
        <w:t>,</w:t>
      </w:r>
      <w:r w:rsidRPr="0080373C">
        <w:rPr>
          <w:rFonts w:cs="David" w:hint="cs"/>
          <w:sz w:val="24"/>
          <w:szCs w:val="24"/>
          <w:rtl/>
        </w:rPr>
        <w:t xml:space="preserve"> זאת </w:t>
      </w:r>
      <w:r w:rsidR="00130168" w:rsidRPr="0080373C">
        <w:rPr>
          <w:rFonts w:cs="David" w:hint="cs"/>
          <w:sz w:val="24"/>
          <w:szCs w:val="24"/>
          <w:rtl/>
        </w:rPr>
        <w:t xml:space="preserve">לאחר </w:t>
      </w:r>
      <w:r w:rsidRPr="0080373C">
        <w:rPr>
          <w:rFonts w:cs="David" w:hint="cs"/>
          <w:sz w:val="24"/>
          <w:szCs w:val="24"/>
          <w:rtl/>
        </w:rPr>
        <w:t>ירידה של כ-</w:t>
      </w:r>
      <w:r w:rsidR="00130168" w:rsidRPr="0080373C">
        <w:rPr>
          <w:rFonts w:cs="David" w:hint="cs"/>
          <w:sz w:val="24"/>
          <w:szCs w:val="24"/>
          <w:rtl/>
        </w:rPr>
        <w:t>9</w:t>
      </w:r>
      <w:r w:rsidRPr="0080373C">
        <w:rPr>
          <w:rFonts w:cs="David" w:hint="cs"/>
          <w:sz w:val="24"/>
          <w:szCs w:val="24"/>
          <w:rtl/>
        </w:rPr>
        <w:t xml:space="preserve"> נקודות האחוז במהלך שנת </w:t>
      </w:r>
      <w:r w:rsidR="00130168" w:rsidRPr="0080373C">
        <w:rPr>
          <w:rFonts w:cs="David" w:hint="cs"/>
          <w:sz w:val="24"/>
          <w:szCs w:val="24"/>
          <w:rtl/>
        </w:rPr>
        <w:t>2014</w:t>
      </w:r>
      <w:r w:rsidRPr="0080373C">
        <w:rPr>
          <w:rFonts w:cs="David" w:hint="cs"/>
          <w:sz w:val="24"/>
          <w:szCs w:val="24"/>
          <w:rtl/>
        </w:rPr>
        <w:t>.</w:t>
      </w:r>
      <w:r w:rsidR="00AA4435" w:rsidRPr="0080373C">
        <w:rPr>
          <w:rFonts w:cs="David"/>
          <w:i/>
          <w:iCs/>
          <w:sz w:val="24"/>
          <w:szCs w:val="24"/>
        </w:rPr>
        <w:tab/>
      </w:r>
    </w:p>
    <w:p w:rsidR="00382BC8" w:rsidRPr="0080373C" w:rsidRDefault="00382BC8" w:rsidP="0080373C">
      <w:pPr>
        <w:widowControl w:val="0"/>
        <w:bidi/>
        <w:spacing w:line="360" w:lineRule="auto"/>
        <w:ind w:left="720" w:right="-101"/>
        <w:rPr>
          <w:rFonts w:cs="David"/>
          <w:b/>
          <w:bCs/>
          <w:sz w:val="24"/>
          <w:szCs w:val="24"/>
          <w:rtl/>
        </w:rPr>
      </w:pPr>
    </w:p>
    <w:p w:rsidR="00382BC8" w:rsidRPr="00054614" w:rsidRDefault="00382BC8" w:rsidP="0080373C">
      <w:pPr>
        <w:widowControl w:val="0"/>
        <w:bidi/>
        <w:spacing w:line="360" w:lineRule="auto"/>
        <w:ind w:left="720" w:right="-101"/>
        <w:rPr>
          <w:rFonts w:cs="David"/>
          <w:sz w:val="24"/>
          <w:szCs w:val="24"/>
          <w:rtl/>
        </w:rPr>
      </w:pPr>
      <w:r w:rsidRPr="0080373C">
        <w:rPr>
          <w:rFonts w:cs="David" w:hint="cs"/>
          <w:b/>
          <w:bCs/>
          <w:sz w:val="24"/>
          <w:szCs w:val="24"/>
          <w:rtl/>
        </w:rPr>
        <w:t>בחודש דצמבר נפח המסחר הכולל</w:t>
      </w:r>
      <w:r w:rsidRPr="0080373C">
        <w:rPr>
          <w:rFonts w:cs="David" w:hint="cs"/>
          <w:sz w:val="24"/>
          <w:szCs w:val="24"/>
          <w:rtl/>
        </w:rPr>
        <w:t xml:space="preserve"> במטבע חוץ הסתכם </w:t>
      </w:r>
      <w:proofErr w:type="spellStart"/>
      <w:r w:rsidRPr="0080373C">
        <w:rPr>
          <w:rFonts w:cs="David" w:hint="cs"/>
          <w:sz w:val="24"/>
          <w:szCs w:val="24"/>
          <w:rtl/>
        </w:rPr>
        <w:t>בכ</w:t>
      </w:r>
      <w:proofErr w:type="spellEnd"/>
      <w:r w:rsidRPr="0080373C">
        <w:rPr>
          <w:rFonts w:cs="David" w:hint="cs"/>
          <w:sz w:val="24"/>
          <w:szCs w:val="24"/>
          <w:rtl/>
        </w:rPr>
        <w:t xml:space="preserve">- </w:t>
      </w:r>
      <w:r w:rsidR="007C728B" w:rsidRPr="0080373C">
        <w:rPr>
          <w:rFonts w:cs="David" w:hint="cs"/>
          <w:sz w:val="24"/>
          <w:szCs w:val="24"/>
          <w:rtl/>
        </w:rPr>
        <w:t>142</w:t>
      </w:r>
      <w:r w:rsidRPr="0080373C">
        <w:rPr>
          <w:rFonts w:cs="David" w:hint="cs"/>
          <w:sz w:val="24"/>
          <w:szCs w:val="24"/>
          <w:rtl/>
        </w:rPr>
        <w:t xml:space="preserve"> מיליארד</w:t>
      </w:r>
      <w:r w:rsidR="0004401B" w:rsidRPr="0080373C">
        <w:rPr>
          <w:rFonts w:cs="David" w:hint="cs"/>
          <w:sz w:val="24"/>
          <w:szCs w:val="24"/>
          <w:rtl/>
        </w:rPr>
        <w:t>י</w:t>
      </w:r>
      <w:r w:rsidRPr="0080373C">
        <w:rPr>
          <w:rFonts w:cs="David" w:hint="cs"/>
          <w:sz w:val="24"/>
          <w:szCs w:val="24"/>
          <w:rtl/>
        </w:rPr>
        <w:t xml:space="preserve"> דולר</w:t>
      </w:r>
      <w:r w:rsidR="0004401B" w:rsidRPr="0080373C">
        <w:rPr>
          <w:rFonts w:cs="David" w:hint="cs"/>
          <w:sz w:val="24"/>
          <w:szCs w:val="24"/>
          <w:rtl/>
        </w:rPr>
        <w:t>ים</w:t>
      </w:r>
      <w:r w:rsidRPr="0080373C">
        <w:rPr>
          <w:rFonts w:cs="David" w:hint="cs"/>
          <w:sz w:val="24"/>
          <w:szCs w:val="24"/>
          <w:rtl/>
        </w:rPr>
        <w:t>, בהשוואה לכ-</w:t>
      </w:r>
      <w:r w:rsidR="007C728B" w:rsidRPr="0080373C">
        <w:rPr>
          <w:rFonts w:cs="David" w:hint="cs"/>
          <w:sz w:val="24"/>
          <w:szCs w:val="24"/>
          <w:rtl/>
        </w:rPr>
        <w:t>121</w:t>
      </w:r>
      <w:r w:rsidRPr="0080373C">
        <w:rPr>
          <w:rFonts w:cs="David" w:hint="cs"/>
          <w:sz w:val="24"/>
          <w:szCs w:val="24"/>
          <w:rtl/>
        </w:rPr>
        <w:t xml:space="preserve"> מיליארד</w:t>
      </w:r>
      <w:r w:rsidR="0004401B" w:rsidRPr="0080373C">
        <w:rPr>
          <w:rFonts w:cs="David" w:hint="cs"/>
          <w:sz w:val="24"/>
          <w:szCs w:val="24"/>
          <w:rtl/>
        </w:rPr>
        <w:t>ים</w:t>
      </w:r>
      <w:r w:rsidRPr="0080373C">
        <w:rPr>
          <w:rFonts w:cs="David" w:hint="cs"/>
          <w:sz w:val="24"/>
          <w:szCs w:val="24"/>
          <w:rtl/>
        </w:rPr>
        <w:t xml:space="preserve"> בחודש נובמבר.</w:t>
      </w:r>
      <w:r w:rsidRPr="00054614">
        <w:rPr>
          <w:rFonts w:cs="David" w:hint="cs"/>
          <w:sz w:val="24"/>
          <w:szCs w:val="24"/>
          <w:rtl/>
        </w:rPr>
        <w:t xml:space="preserve"> </w:t>
      </w:r>
    </w:p>
    <w:p w:rsidR="0098626A" w:rsidRDefault="007C728B" w:rsidP="0075204C">
      <w:pPr>
        <w:spacing w:after="200" w:line="276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DB367B9">
            <wp:extent cx="5909643" cy="3236180"/>
            <wp:effectExtent l="0" t="0" r="0" b="2540"/>
            <wp:docPr id="18" name="תמונה 18" descr="תרשים 5: תושבי חוץ- נפח מסחר חודשי ממוצע, התפלגות לפי מכשירים" title="תרשים 5: תושבי חוץ- נפח מסחר חודשי ממוצע, התפלגות לפי מכשיר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880" cy="3237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73C" w:rsidRDefault="007C728B" w:rsidP="008A57E2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769DD616">
            <wp:extent cx="5753129" cy="3506525"/>
            <wp:effectExtent l="0" t="0" r="0" b="0"/>
            <wp:docPr id="19" name="תמונה 19" descr="תרשים 6: משקלם של הסקטורים בנפח המסחר" title="תרשים 6: משקלם של הסקטורים בנפח המסח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07" cy="3509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73C" w:rsidRDefault="0080373C">
      <w:pPr>
        <w:spacing w:after="200" w:line="276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br w:type="page"/>
      </w:r>
    </w:p>
    <w:p w:rsidR="00F92DFC" w:rsidRPr="0080373C" w:rsidRDefault="00F92DFC" w:rsidP="0080373C">
      <w:pPr>
        <w:ind w:firstLine="720"/>
        <w:rPr>
          <w:rFonts w:cs="David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530"/>
        <w:bidiVisual/>
        <w:tblW w:w="9723" w:type="dxa"/>
        <w:tblLook w:val="04A0" w:firstRow="1" w:lastRow="0" w:firstColumn="1" w:lastColumn="0" w:noHBand="0" w:noVBand="1"/>
      </w:tblPr>
      <w:tblGrid>
        <w:gridCol w:w="3343"/>
        <w:gridCol w:w="1121"/>
        <w:gridCol w:w="1063"/>
        <w:gridCol w:w="1352"/>
        <w:gridCol w:w="1178"/>
        <w:gridCol w:w="1666"/>
      </w:tblGrid>
      <w:tr w:rsidR="0080373C" w:rsidRPr="003364E6" w:rsidTr="0080373C">
        <w:trPr>
          <w:trHeight w:val="1156"/>
        </w:trPr>
        <w:tc>
          <w:tcPr>
            <w:tcW w:w="3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3C" w:rsidRPr="00FD3F51" w:rsidRDefault="0080373C" w:rsidP="007C728B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נפח עסקאות המרה (1) 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3C" w:rsidRPr="00FD3F51" w:rsidRDefault="0080373C" w:rsidP="007C728B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עסקאות החלף (</w:t>
            </w:r>
            <w:proofErr w:type="spellStart"/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סוופ</w:t>
            </w:r>
            <w:proofErr w:type="spellEnd"/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)</w:t>
            </w:r>
            <w:r w:rsidRPr="00FD3F51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1"/>
            </w: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(2)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3C" w:rsidRPr="00FD3F51" w:rsidRDefault="0080373C" w:rsidP="007C728B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עסקאות החלף</w:t>
            </w: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Cross Currency Swap</w:t>
            </w:r>
            <w:r w:rsidRPr="00FD3F51">
              <w:rPr>
                <w:rStyle w:val="ab"/>
                <w:rFonts w:ascii="Arial" w:hAnsi="Arial" w:cs="David"/>
                <w:b/>
                <w:bCs/>
                <w:sz w:val="24"/>
                <w:szCs w:val="24"/>
                <w:lang w:eastAsia="en-US"/>
              </w:rPr>
              <w:footnoteReference w:id="2"/>
            </w: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(3)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73C" w:rsidRPr="00FD3F51" w:rsidRDefault="0080373C" w:rsidP="007C728B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נפח עסקאות באופציות</w:t>
            </w:r>
            <w:r w:rsidRPr="00FD3F51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3"/>
            </w: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(4)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373C" w:rsidRPr="00FD3F51" w:rsidRDefault="0080373C" w:rsidP="007C728B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1"/>
              <w:t>נפח המסחר הכולל (1)+(2)+(3)+(4)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3C" w:rsidRPr="00FD3F51" w:rsidRDefault="0080373C" w:rsidP="0080373C">
            <w:pPr>
              <w:bidi/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דצמבר 2015  (נתון ארעי)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3C" w:rsidRPr="00FD3F51" w:rsidRDefault="0080373C" w:rsidP="007C728B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3C" w:rsidRPr="00FD3F51" w:rsidRDefault="0080373C" w:rsidP="007C728B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3C" w:rsidRPr="00FD3F51" w:rsidRDefault="0080373C" w:rsidP="007C728B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3C" w:rsidRPr="00FD3F51" w:rsidRDefault="0080373C" w:rsidP="007C728B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373C" w:rsidRPr="00FD3F51" w:rsidRDefault="0080373C" w:rsidP="007C728B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41,098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95,073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186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6,056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142,413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 (ממוצע יומי לפי 22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1,868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4,322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1" w:name="RANGE!F6"/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275 </w:t>
            </w:r>
            <w:bookmarkEnd w:id="1"/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6,473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12,907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33,091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151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1,356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47,505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12,135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31,763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151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1,336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45,385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28,191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61,982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35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4,700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94,908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6,616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7,856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35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2,023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16,530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80373C">
            <w:pPr>
              <w:pStyle w:val="af0"/>
              <w:numPr>
                <w:ilvl w:val="0"/>
                <w:numId w:val="3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2,349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7,944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331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10,624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80373C">
            <w:pPr>
              <w:pStyle w:val="af0"/>
              <w:numPr>
                <w:ilvl w:val="0"/>
                <w:numId w:val="3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4,947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7,754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12,701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80373C">
            <w:pPr>
              <w:pStyle w:val="af0"/>
              <w:numPr>
                <w:ilvl w:val="0"/>
                <w:numId w:val="3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1,937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3,529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375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5,841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80373C">
            <w:pPr>
              <w:pStyle w:val="af0"/>
              <w:numPr>
                <w:ilvl w:val="0"/>
                <w:numId w:val="3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  <w:r w:rsidRPr="00FD3F51">
              <w:rPr>
                <w:rStyle w:val="ab"/>
                <w:rFonts w:ascii="Arial" w:hAnsi="Arial" w:cs="David"/>
                <w:sz w:val="24"/>
                <w:szCs w:val="24"/>
                <w:lang w:eastAsia="en-US"/>
              </w:rPr>
              <w:footnoteReference w:id="4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8,424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24,424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1,508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34,356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80373C">
            <w:pPr>
              <w:pStyle w:val="af0"/>
              <w:numPr>
                <w:ilvl w:val="0"/>
                <w:numId w:val="3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  <w:r w:rsidRPr="00FD3F51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5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3,918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10,475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463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14,856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3C" w:rsidRPr="00FD3F51" w:rsidRDefault="0080373C" w:rsidP="007C728B">
            <w:pPr>
              <w:bidi/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נובמבר 2015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3C" w:rsidRPr="00FD3F51" w:rsidRDefault="0080373C" w:rsidP="007C728B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3C" w:rsidRPr="00FD3F51" w:rsidRDefault="0080373C" w:rsidP="007C728B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3C" w:rsidRPr="00FD3F51" w:rsidRDefault="0080373C" w:rsidP="007C728B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3C" w:rsidRPr="00FD3F51" w:rsidRDefault="0080373C" w:rsidP="007C728B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373C" w:rsidRPr="00FD3F51" w:rsidRDefault="0080373C" w:rsidP="007C728B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2" w:name="RANGE!C16"/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34,458 </w:t>
            </w:r>
            <w:bookmarkEnd w:id="2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78,631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341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7,617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121,047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 (ממוצע יומי לפי 21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3" w:name="RANGE!C17"/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1,641 </w:t>
            </w:r>
            <w:bookmarkEnd w:id="3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3,744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16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363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5,764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9,731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27,409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252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2,086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39,478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8,928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26,213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1,837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36,978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24,727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51,222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89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5,531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81,569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6,036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6,474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20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2,159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14,689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80373C">
            <w:pPr>
              <w:pStyle w:val="af0"/>
              <w:numPr>
                <w:ilvl w:val="0"/>
                <w:numId w:val="3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1,297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6,425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54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125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7,901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80373C">
            <w:pPr>
              <w:pStyle w:val="af0"/>
              <w:numPr>
                <w:ilvl w:val="0"/>
                <w:numId w:val="3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5,264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7,496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15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12,785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80373C">
            <w:pPr>
              <w:pStyle w:val="af0"/>
              <w:numPr>
                <w:ilvl w:val="0"/>
                <w:numId w:val="3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1,891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3,646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461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5,998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80373C">
            <w:pPr>
              <w:pStyle w:val="af0"/>
              <w:numPr>
                <w:ilvl w:val="0"/>
                <w:numId w:val="3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7,005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21,886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1,798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30,689 </w:t>
            </w:r>
          </w:p>
        </w:tc>
      </w:tr>
      <w:tr w:rsidR="0080373C" w:rsidRPr="003364E6" w:rsidTr="0080373C">
        <w:trPr>
          <w:trHeight w:val="331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80373C">
            <w:pPr>
              <w:pStyle w:val="af0"/>
              <w:numPr>
                <w:ilvl w:val="0"/>
                <w:numId w:val="3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FD3F51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3,234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5,295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978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73C" w:rsidRPr="00FD3F51" w:rsidRDefault="0080373C" w:rsidP="007C728B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FD3F51">
              <w:rPr>
                <w:rFonts w:ascii="Arial" w:hAnsi="Arial" w:cs="David" w:hint="cs"/>
                <w:sz w:val="24"/>
                <w:szCs w:val="24"/>
              </w:rPr>
              <w:t xml:space="preserve">9,507 </w:t>
            </w:r>
          </w:p>
        </w:tc>
      </w:tr>
    </w:tbl>
    <w:p w:rsidR="003376D6" w:rsidRDefault="007C728B" w:rsidP="003376D6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עסקות במט"ח עם הבנקים המקומיים לפי מכשירים ונגזרים (במיליוני דולרים)</w:t>
      </w:r>
    </w:p>
    <w:sectPr w:rsidR="003376D6" w:rsidSect="007C728B">
      <w:footerReference w:type="default" r:id="rId19"/>
      <w:pgSz w:w="11906" w:h="16838"/>
      <w:pgMar w:top="624" w:right="1077" w:bottom="624" w:left="1077" w:header="709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CB" w:rsidRDefault="000527CB" w:rsidP="00C04A6B">
      <w:r>
        <w:separator/>
      </w:r>
    </w:p>
  </w:endnote>
  <w:endnote w:type="continuationSeparator" w:id="0">
    <w:p w:rsidR="000527CB" w:rsidRDefault="000527CB" w:rsidP="00C04A6B">
      <w:r>
        <w:continuationSeparator/>
      </w:r>
    </w:p>
  </w:endnote>
  <w:endnote w:id="1">
    <w:p w:rsidR="0080373C" w:rsidRPr="008B42F8" w:rsidRDefault="0080373C" w:rsidP="007C728B">
      <w:pPr>
        <w:bidi/>
        <w:rPr>
          <w:rFonts w:cs="David" w:hint="cs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1030304150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-1768922938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7C728B" w:rsidRPr="0080373C" w:rsidRDefault="007C728B" w:rsidP="0080373C">
            <w:pPr>
              <w:pStyle w:val="a7"/>
              <w:bidi/>
              <w:rPr>
                <w:rFonts w:cs="David"/>
                <w:sz w:val="24"/>
                <w:szCs w:val="24"/>
                <w:rtl/>
              </w:rPr>
            </w:pPr>
            <w:r w:rsidRPr="0080373C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המסחר בשוק מטבע החוץ </w:t>
            </w:r>
            <w:r w:rsidR="00AA549D" w:rsidRPr="0080373C">
              <w:rPr>
                <w:rFonts w:cs="David" w:hint="cs"/>
                <w:sz w:val="24"/>
                <w:szCs w:val="24"/>
                <w:rtl/>
                <w:lang w:val="he-IL"/>
              </w:rPr>
              <w:t>בשנת 2015</w:t>
            </w:r>
            <w:r w:rsidRPr="0080373C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ab/>
            </w:r>
            <w:r w:rsidRPr="0080373C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80373C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80373C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80373C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FD3F51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1</w:t>
            </w:r>
            <w:r w:rsidRPr="0080373C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80373C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80373C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80373C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80373C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FD3F51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80373C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CB" w:rsidRDefault="000527CB" w:rsidP="00C04A6B">
      <w:r>
        <w:separator/>
      </w:r>
    </w:p>
  </w:footnote>
  <w:footnote w:type="continuationSeparator" w:id="0">
    <w:p w:rsidR="000527CB" w:rsidRDefault="000527CB" w:rsidP="00C04A6B">
      <w:r>
        <w:continuationSeparator/>
      </w:r>
    </w:p>
  </w:footnote>
  <w:footnote w:id="1">
    <w:p w:rsidR="0080373C" w:rsidRPr="0080373C" w:rsidRDefault="0080373C" w:rsidP="007C728B">
      <w:pPr>
        <w:pStyle w:val="a9"/>
        <w:bidi/>
        <w:rPr>
          <w:rFonts w:cs="David"/>
          <w:sz w:val="22"/>
          <w:szCs w:val="22"/>
          <w:rtl/>
        </w:rPr>
      </w:pPr>
      <w:r w:rsidRPr="00117379">
        <w:rPr>
          <w:rFonts w:cs="David" w:hint="cs"/>
          <w:sz w:val="18"/>
          <w:szCs w:val="18"/>
          <w:rtl/>
        </w:rPr>
        <w:t xml:space="preserve"> </w:t>
      </w:r>
      <w:r w:rsidRPr="00117379">
        <w:rPr>
          <w:rStyle w:val="ab"/>
          <w:rFonts w:cs="David"/>
          <w:sz w:val="18"/>
          <w:szCs w:val="18"/>
        </w:rPr>
        <w:footnoteRef/>
      </w:r>
      <w:r w:rsidRPr="00117379">
        <w:rPr>
          <w:rFonts w:cs="David" w:hint="cs"/>
          <w:sz w:val="18"/>
          <w:szCs w:val="18"/>
          <w:rtl/>
        </w:rPr>
        <w:t xml:space="preserve"> </w:t>
      </w:r>
      <w:r w:rsidRPr="0080373C">
        <w:rPr>
          <w:rFonts w:cs="David" w:hint="cs"/>
          <w:sz w:val="22"/>
          <w:szCs w:val="22"/>
          <w:rtl/>
        </w:rPr>
        <w:t xml:space="preserve">רגל אחת בלבד של עסקת החלף, כלומר הערך הנומינאלי של העסקה (בהתאם להגדרות ה- </w:t>
      </w:r>
      <w:r w:rsidRPr="0080373C">
        <w:rPr>
          <w:rFonts w:cs="David"/>
          <w:sz w:val="22"/>
          <w:szCs w:val="22"/>
        </w:rPr>
        <w:t>BIS</w:t>
      </w:r>
      <w:r w:rsidRPr="0080373C">
        <w:rPr>
          <w:rFonts w:cs="David" w:hint="cs"/>
          <w:sz w:val="22"/>
          <w:szCs w:val="22"/>
          <w:rtl/>
        </w:rPr>
        <w:t>).</w:t>
      </w:r>
    </w:p>
  </w:footnote>
  <w:footnote w:id="2">
    <w:p w:rsidR="00FD3F51" w:rsidRPr="0080373C" w:rsidRDefault="0080373C" w:rsidP="00FD3F51">
      <w:pPr>
        <w:pStyle w:val="a9"/>
        <w:bidi/>
        <w:rPr>
          <w:rFonts w:cs="David"/>
          <w:sz w:val="22"/>
          <w:szCs w:val="22"/>
        </w:rPr>
      </w:pPr>
      <w:r w:rsidRPr="0080373C">
        <w:rPr>
          <w:rStyle w:val="ab"/>
          <w:rFonts w:cs="David"/>
          <w:sz w:val="22"/>
          <w:szCs w:val="22"/>
        </w:rPr>
        <w:footnoteRef/>
      </w:r>
      <w:r w:rsidRPr="0080373C">
        <w:rPr>
          <w:rFonts w:cs="David"/>
          <w:sz w:val="22"/>
          <w:szCs w:val="22"/>
        </w:rPr>
        <w:t xml:space="preserve"> </w:t>
      </w:r>
      <w:r w:rsidRPr="0080373C">
        <w:rPr>
          <w:rFonts w:cs="David" w:hint="cs"/>
          <w:sz w:val="22"/>
          <w:szCs w:val="22"/>
          <w:rtl/>
        </w:rPr>
        <w:t xml:space="preserve"> הקרנות המוחלפות בעסקות </w:t>
      </w:r>
      <w:r w:rsidRPr="0080373C">
        <w:rPr>
          <w:rFonts w:cs="David"/>
          <w:sz w:val="22"/>
          <w:szCs w:val="22"/>
        </w:rPr>
        <w:t>Cross Currency Swap</w:t>
      </w:r>
      <w:r w:rsidRPr="0080373C">
        <w:rPr>
          <w:rFonts w:cs="David" w:hint="cs"/>
          <w:sz w:val="22"/>
          <w:szCs w:val="22"/>
          <w:rtl/>
        </w:rPr>
        <w:t xml:space="preserve"> יחושבו לצורך הנפח כרגל אחת בלבד, במקרים בהם </w:t>
      </w:r>
      <w:r w:rsidRPr="0080373C">
        <w:rPr>
          <w:rFonts w:cs="David" w:hint="cs"/>
          <w:sz w:val="22"/>
          <w:szCs w:val="22"/>
          <w:rtl/>
        </w:rPr>
        <w:t>הרגליים</w:t>
      </w:r>
      <w:bookmarkStart w:id="0" w:name="_GoBack"/>
      <w:bookmarkEnd w:id="0"/>
    </w:p>
    <w:p w:rsidR="0080373C" w:rsidRPr="0080373C" w:rsidRDefault="0080373C" w:rsidP="007C728B">
      <w:pPr>
        <w:pStyle w:val="a9"/>
        <w:bidi/>
        <w:rPr>
          <w:rFonts w:cs="David"/>
          <w:sz w:val="22"/>
          <w:szCs w:val="22"/>
          <w:rtl/>
        </w:rPr>
      </w:pPr>
      <w:r w:rsidRPr="0080373C">
        <w:rPr>
          <w:rFonts w:cs="David" w:hint="cs"/>
          <w:sz w:val="22"/>
          <w:szCs w:val="22"/>
          <w:rtl/>
        </w:rPr>
        <w:t>מקזזות זו את זו.</w:t>
      </w:r>
    </w:p>
  </w:footnote>
  <w:footnote w:id="3">
    <w:p w:rsidR="0080373C" w:rsidRPr="0080373C" w:rsidRDefault="0080373C" w:rsidP="007C728B">
      <w:pPr>
        <w:pStyle w:val="a9"/>
        <w:bidi/>
        <w:rPr>
          <w:rFonts w:cs="David"/>
          <w:sz w:val="22"/>
          <w:szCs w:val="22"/>
          <w:rtl/>
        </w:rPr>
      </w:pPr>
      <w:r w:rsidRPr="0080373C">
        <w:rPr>
          <w:rStyle w:val="ab"/>
          <w:rFonts w:cs="David"/>
          <w:sz w:val="22"/>
          <w:szCs w:val="22"/>
        </w:rPr>
        <w:footnoteRef/>
      </w:r>
      <w:r w:rsidRPr="0080373C">
        <w:rPr>
          <w:rFonts w:cs="David"/>
          <w:sz w:val="22"/>
          <w:szCs w:val="22"/>
        </w:rPr>
        <w:t xml:space="preserve"> </w:t>
      </w:r>
      <w:r w:rsidRPr="0080373C">
        <w:rPr>
          <w:rFonts w:cs="David" w:hint="cs"/>
          <w:sz w:val="22"/>
          <w:szCs w:val="22"/>
          <w:rtl/>
        </w:rPr>
        <w:t xml:space="preserve"> </w:t>
      </w:r>
      <w:r w:rsidRPr="0080373C">
        <w:rPr>
          <w:rFonts w:cs="David" w:hint="cs"/>
          <w:sz w:val="22"/>
          <w:szCs w:val="22"/>
          <w:rtl/>
        </w:rPr>
        <w:t xml:space="preserve">ה- </w:t>
      </w:r>
      <w:r w:rsidRPr="0080373C">
        <w:rPr>
          <w:rFonts w:cs="David"/>
          <w:sz w:val="22"/>
          <w:szCs w:val="22"/>
        </w:rPr>
        <w:t>National value</w:t>
      </w:r>
      <w:r w:rsidRPr="0080373C">
        <w:rPr>
          <w:rFonts w:cs="David" w:hint="cs"/>
          <w:sz w:val="22"/>
          <w:szCs w:val="22"/>
          <w:rtl/>
        </w:rPr>
        <w:t xml:space="preserve"> הכולל של עסקות קנייה ומכירה של </w:t>
      </w:r>
      <w:r w:rsidRPr="0080373C">
        <w:rPr>
          <w:rFonts w:cs="David"/>
          <w:sz w:val="22"/>
          <w:szCs w:val="22"/>
        </w:rPr>
        <w:t>Call</w:t>
      </w:r>
      <w:r w:rsidRPr="0080373C">
        <w:rPr>
          <w:rFonts w:cs="David" w:hint="cs"/>
          <w:sz w:val="22"/>
          <w:szCs w:val="22"/>
          <w:rtl/>
        </w:rPr>
        <w:t xml:space="preserve"> ו- </w:t>
      </w:r>
      <w:r w:rsidRPr="0080373C">
        <w:rPr>
          <w:rFonts w:cs="David"/>
          <w:sz w:val="22"/>
          <w:szCs w:val="22"/>
        </w:rPr>
        <w:t>Put</w:t>
      </w:r>
      <w:r w:rsidRPr="0080373C">
        <w:rPr>
          <w:rFonts w:cs="David" w:hint="cs"/>
          <w:sz w:val="22"/>
          <w:szCs w:val="22"/>
          <w:rtl/>
        </w:rPr>
        <w:t>.</w:t>
      </w:r>
    </w:p>
  </w:footnote>
  <w:footnote w:id="4">
    <w:p w:rsidR="0080373C" w:rsidRPr="0080373C" w:rsidRDefault="0080373C" w:rsidP="007C728B">
      <w:pPr>
        <w:pStyle w:val="a9"/>
        <w:bidi/>
        <w:rPr>
          <w:rFonts w:cs="David"/>
          <w:sz w:val="22"/>
          <w:szCs w:val="22"/>
          <w:rtl/>
        </w:rPr>
      </w:pPr>
      <w:r w:rsidRPr="0080373C">
        <w:rPr>
          <w:rStyle w:val="ab"/>
          <w:rFonts w:cs="David"/>
          <w:sz w:val="22"/>
          <w:szCs w:val="22"/>
        </w:rPr>
        <w:footnoteRef/>
      </w:r>
      <w:r w:rsidRPr="0080373C">
        <w:rPr>
          <w:rFonts w:cs="David"/>
          <w:sz w:val="22"/>
          <w:szCs w:val="22"/>
        </w:rPr>
        <w:t xml:space="preserve"> </w:t>
      </w:r>
      <w:r w:rsidRPr="0080373C">
        <w:rPr>
          <w:rFonts w:cs="David" w:hint="cs"/>
          <w:sz w:val="22"/>
          <w:szCs w:val="22"/>
          <w:rtl/>
        </w:rPr>
        <w:t xml:space="preserve"> כולל גופים כמו מנהלי תיקים, מלכ"רים, מוסדות לאומיים וכאלו שלא נכללים ביתר הסעיפים.</w:t>
      </w:r>
    </w:p>
  </w:footnote>
  <w:footnote w:id="5">
    <w:p w:rsidR="0080373C" w:rsidRPr="0080373C" w:rsidRDefault="0080373C" w:rsidP="007C728B">
      <w:pPr>
        <w:pStyle w:val="a9"/>
        <w:bidi/>
        <w:rPr>
          <w:sz w:val="22"/>
          <w:szCs w:val="22"/>
          <w:rtl/>
        </w:rPr>
      </w:pPr>
      <w:r w:rsidRPr="0080373C">
        <w:rPr>
          <w:rStyle w:val="ab"/>
          <w:rFonts w:cs="David"/>
          <w:sz w:val="22"/>
          <w:szCs w:val="22"/>
        </w:rPr>
        <w:footnoteRef/>
      </w:r>
      <w:r w:rsidRPr="0080373C">
        <w:rPr>
          <w:rFonts w:cs="David"/>
          <w:sz w:val="22"/>
          <w:szCs w:val="22"/>
        </w:rPr>
        <w:t xml:space="preserve"> </w:t>
      </w:r>
      <w:r w:rsidRPr="0080373C">
        <w:rPr>
          <w:rFonts w:cs="David" w:hint="cs"/>
          <w:sz w:val="22"/>
          <w:szCs w:val="22"/>
          <w:rtl/>
        </w:rPr>
        <w:t xml:space="preserve"> סך המסחר הבין בנקאי מחולק בשניים.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24C60"/>
    <w:multiLevelType w:val="hybridMultilevel"/>
    <w:tmpl w:val="0EF89630"/>
    <w:lvl w:ilvl="0" w:tplc="4232EDC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80963"/>
    <w:multiLevelType w:val="hybridMultilevel"/>
    <w:tmpl w:val="85CA017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1222D"/>
    <w:rsid w:val="00016D86"/>
    <w:rsid w:val="000261BE"/>
    <w:rsid w:val="00027F15"/>
    <w:rsid w:val="000355D0"/>
    <w:rsid w:val="00040540"/>
    <w:rsid w:val="0004401B"/>
    <w:rsid w:val="000453AD"/>
    <w:rsid w:val="000527CB"/>
    <w:rsid w:val="00053D76"/>
    <w:rsid w:val="00054614"/>
    <w:rsid w:val="00060CD7"/>
    <w:rsid w:val="00071CA9"/>
    <w:rsid w:val="00075BC2"/>
    <w:rsid w:val="00090558"/>
    <w:rsid w:val="00090D2F"/>
    <w:rsid w:val="00093E21"/>
    <w:rsid w:val="00095D41"/>
    <w:rsid w:val="00096E44"/>
    <w:rsid w:val="000A4120"/>
    <w:rsid w:val="000B7847"/>
    <w:rsid w:val="000B7AD6"/>
    <w:rsid w:val="000C2B2A"/>
    <w:rsid w:val="000D098E"/>
    <w:rsid w:val="000D1783"/>
    <w:rsid w:val="000D4B2F"/>
    <w:rsid w:val="000D5480"/>
    <w:rsid w:val="000E2C7D"/>
    <w:rsid w:val="000E4486"/>
    <w:rsid w:val="000E6BDB"/>
    <w:rsid w:val="000F4D18"/>
    <w:rsid w:val="000F5AB4"/>
    <w:rsid w:val="000F5CC1"/>
    <w:rsid w:val="001159FC"/>
    <w:rsid w:val="00115A82"/>
    <w:rsid w:val="00117379"/>
    <w:rsid w:val="00121A5F"/>
    <w:rsid w:val="001230E3"/>
    <w:rsid w:val="00124D6B"/>
    <w:rsid w:val="00130168"/>
    <w:rsid w:val="00133AB1"/>
    <w:rsid w:val="00133C19"/>
    <w:rsid w:val="001341A7"/>
    <w:rsid w:val="00140E0F"/>
    <w:rsid w:val="001507EB"/>
    <w:rsid w:val="0015310E"/>
    <w:rsid w:val="0015402E"/>
    <w:rsid w:val="00156760"/>
    <w:rsid w:val="00157EDF"/>
    <w:rsid w:val="0016750A"/>
    <w:rsid w:val="00173655"/>
    <w:rsid w:val="00177686"/>
    <w:rsid w:val="00180E8A"/>
    <w:rsid w:val="001843E5"/>
    <w:rsid w:val="00192212"/>
    <w:rsid w:val="001A29D0"/>
    <w:rsid w:val="001A2C93"/>
    <w:rsid w:val="001A3C78"/>
    <w:rsid w:val="001B39FB"/>
    <w:rsid w:val="001B6C5E"/>
    <w:rsid w:val="001D1757"/>
    <w:rsid w:val="001D7646"/>
    <w:rsid w:val="001E5A00"/>
    <w:rsid w:val="001E6258"/>
    <w:rsid w:val="001F03A0"/>
    <w:rsid w:val="001F3D99"/>
    <w:rsid w:val="00201ECB"/>
    <w:rsid w:val="00210869"/>
    <w:rsid w:val="0023501E"/>
    <w:rsid w:val="002438E2"/>
    <w:rsid w:val="00256E66"/>
    <w:rsid w:val="00266A17"/>
    <w:rsid w:val="00276063"/>
    <w:rsid w:val="00282980"/>
    <w:rsid w:val="00292718"/>
    <w:rsid w:val="002A5C19"/>
    <w:rsid w:val="002B0A9C"/>
    <w:rsid w:val="002B3FB0"/>
    <w:rsid w:val="002D01AB"/>
    <w:rsid w:val="002D368D"/>
    <w:rsid w:val="002D650F"/>
    <w:rsid w:val="002E1E36"/>
    <w:rsid w:val="002E4CFF"/>
    <w:rsid w:val="002E7747"/>
    <w:rsid w:val="002F0975"/>
    <w:rsid w:val="002F0F35"/>
    <w:rsid w:val="002F2100"/>
    <w:rsid w:val="00300B3A"/>
    <w:rsid w:val="003044F6"/>
    <w:rsid w:val="003241A7"/>
    <w:rsid w:val="003265FC"/>
    <w:rsid w:val="00331B01"/>
    <w:rsid w:val="003329C4"/>
    <w:rsid w:val="003364E6"/>
    <w:rsid w:val="003376D6"/>
    <w:rsid w:val="00337D6C"/>
    <w:rsid w:val="003433C9"/>
    <w:rsid w:val="00344613"/>
    <w:rsid w:val="003501FD"/>
    <w:rsid w:val="003537B9"/>
    <w:rsid w:val="003544E1"/>
    <w:rsid w:val="00357F2D"/>
    <w:rsid w:val="0036708A"/>
    <w:rsid w:val="00375D59"/>
    <w:rsid w:val="00382BC8"/>
    <w:rsid w:val="003901E0"/>
    <w:rsid w:val="00397697"/>
    <w:rsid w:val="003A7265"/>
    <w:rsid w:val="003B4AE3"/>
    <w:rsid w:val="003B5057"/>
    <w:rsid w:val="003E0C33"/>
    <w:rsid w:val="003F4C15"/>
    <w:rsid w:val="004024FA"/>
    <w:rsid w:val="004031B1"/>
    <w:rsid w:val="00411CD8"/>
    <w:rsid w:val="00413158"/>
    <w:rsid w:val="00416426"/>
    <w:rsid w:val="00420F93"/>
    <w:rsid w:val="00421EC3"/>
    <w:rsid w:val="00424756"/>
    <w:rsid w:val="0042738D"/>
    <w:rsid w:val="004330A6"/>
    <w:rsid w:val="004341A0"/>
    <w:rsid w:val="00436D8C"/>
    <w:rsid w:val="00440CA2"/>
    <w:rsid w:val="00446CA1"/>
    <w:rsid w:val="0044713E"/>
    <w:rsid w:val="00447E2D"/>
    <w:rsid w:val="004566C7"/>
    <w:rsid w:val="00456EC0"/>
    <w:rsid w:val="00456FB5"/>
    <w:rsid w:val="004625EB"/>
    <w:rsid w:val="00482F53"/>
    <w:rsid w:val="004B5D8D"/>
    <w:rsid w:val="004C46FB"/>
    <w:rsid w:val="004C7980"/>
    <w:rsid w:val="004D7CC7"/>
    <w:rsid w:val="004F06E0"/>
    <w:rsid w:val="004F3747"/>
    <w:rsid w:val="00502068"/>
    <w:rsid w:val="00502803"/>
    <w:rsid w:val="005044A0"/>
    <w:rsid w:val="005356A3"/>
    <w:rsid w:val="00540ADC"/>
    <w:rsid w:val="00541291"/>
    <w:rsid w:val="00543C49"/>
    <w:rsid w:val="00543F25"/>
    <w:rsid w:val="00550EF6"/>
    <w:rsid w:val="00562154"/>
    <w:rsid w:val="00565C6D"/>
    <w:rsid w:val="005709DB"/>
    <w:rsid w:val="00592303"/>
    <w:rsid w:val="00593FDD"/>
    <w:rsid w:val="00595552"/>
    <w:rsid w:val="005A0F74"/>
    <w:rsid w:val="005B0E08"/>
    <w:rsid w:val="005B3926"/>
    <w:rsid w:val="005B790C"/>
    <w:rsid w:val="005C18C7"/>
    <w:rsid w:val="005C480F"/>
    <w:rsid w:val="005C4BF8"/>
    <w:rsid w:val="005C6F0A"/>
    <w:rsid w:val="005D1B42"/>
    <w:rsid w:val="005D21E5"/>
    <w:rsid w:val="005D474E"/>
    <w:rsid w:val="005E2199"/>
    <w:rsid w:val="005F4D5D"/>
    <w:rsid w:val="006137C0"/>
    <w:rsid w:val="00614095"/>
    <w:rsid w:val="00614B30"/>
    <w:rsid w:val="0062534F"/>
    <w:rsid w:val="00643919"/>
    <w:rsid w:val="00660C5A"/>
    <w:rsid w:val="00662271"/>
    <w:rsid w:val="00664A34"/>
    <w:rsid w:val="0067168F"/>
    <w:rsid w:val="006800B3"/>
    <w:rsid w:val="006800DC"/>
    <w:rsid w:val="006805BD"/>
    <w:rsid w:val="00684AFE"/>
    <w:rsid w:val="00685174"/>
    <w:rsid w:val="0068710B"/>
    <w:rsid w:val="00687770"/>
    <w:rsid w:val="00694AA0"/>
    <w:rsid w:val="0069531F"/>
    <w:rsid w:val="006B06E8"/>
    <w:rsid w:val="006B4F6C"/>
    <w:rsid w:val="006B7E33"/>
    <w:rsid w:val="006C01FB"/>
    <w:rsid w:val="006C1D47"/>
    <w:rsid w:val="006C5E66"/>
    <w:rsid w:val="006D10C4"/>
    <w:rsid w:val="006D6FBD"/>
    <w:rsid w:val="006E155D"/>
    <w:rsid w:val="006E1923"/>
    <w:rsid w:val="0070423F"/>
    <w:rsid w:val="0071361C"/>
    <w:rsid w:val="00713751"/>
    <w:rsid w:val="007224B8"/>
    <w:rsid w:val="00722FF8"/>
    <w:rsid w:val="00723C59"/>
    <w:rsid w:val="00724CD4"/>
    <w:rsid w:val="0072782F"/>
    <w:rsid w:val="00736E4D"/>
    <w:rsid w:val="00747E74"/>
    <w:rsid w:val="007504C0"/>
    <w:rsid w:val="007510C2"/>
    <w:rsid w:val="0075204C"/>
    <w:rsid w:val="00752A31"/>
    <w:rsid w:val="00752F29"/>
    <w:rsid w:val="00754284"/>
    <w:rsid w:val="00755825"/>
    <w:rsid w:val="007614EB"/>
    <w:rsid w:val="00762D5A"/>
    <w:rsid w:val="00770DB2"/>
    <w:rsid w:val="00772CD4"/>
    <w:rsid w:val="0077472D"/>
    <w:rsid w:val="007A1FC2"/>
    <w:rsid w:val="007A3B7F"/>
    <w:rsid w:val="007B1767"/>
    <w:rsid w:val="007C21A5"/>
    <w:rsid w:val="007C2318"/>
    <w:rsid w:val="007C728B"/>
    <w:rsid w:val="007E18EE"/>
    <w:rsid w:val="007E29F7"/>
    <w:rsid w:val="007E56C5"/>
    <w:rsid w:val="007F4F34"/>
    <w:rsid w:val="008006AD"/>
    <w:rsid w:val="00801FEF"/>
    <w:rsid w:val="00802B68"/>
    <w:rsid w:val="0080373C"/>
    <w:rsid w:val="00804DD2"/>
    <w:rsid w:val="00815E62"/>
    <w:rsid w:val="00826810"/>
    <w:rsid w:val="00827F42"/>
    <w:rsid w:val="00830628"/>
    <w:rsid w:val="008315E7"/>
    <w:rsid w:val="00832014"/>
    <w:rsid w:val="00834569"/>
    <w:rsid w:val="00846F03"/>
    <w:rsid w:val="008515DC"/>
    <w:rsid w:val="00851BD0"/>
    <w:rsid w:val="00852D44"/>
    <w:rsid w:val="00856D64"/>
    <w:rsid w:val="00856F3E"/>
    <w:rsid w:val="0086330B"/>
    <w:rsid w:val="00870E8D"/>
    <w:rsid w:val="00881EF7"/>
    <w:rsid w:val="0088294C"/>
    <w:rsid w:val="00882C4C"/>
    <w:rsid w:val="00890B5E"/>
    <w:rsid w:val="008918CC"/>
    <w:rsid w:val="00894C70"/>
    <w:rsid w:val="00895DD5"/>
    <w:rsid w:val="00896B26"/>
    <w:rsid w:val="00896CB8"/>
    <w:rsid w:val="008A065A"/>
    <w:rsid w:val="008A57E2"/>
    <w:rsid w:val="008B42F8"/>
    <w:rsid w:val="008B55E9"/>
    <w:rsid w:val="008B7CEE"/>
    <w:rsid w:val="008C203C"/>
    <w:rsid w:val="008C25D0"/>
    <w:rsid w:val="008C31B4"/>
    <w:rsid w:val="008C412E"/>
    <w:rsid w:val="008C50B4"/>
    <w:rsid w:val="008D1A9E"/>
    <w:rsid w:val="008D3E93"/>
    <w:rsid w:val="008F1C78"/>
    <w:rsid w:val="008F3402"/>
    <w:rsid w:val="008F37B2"/>
    <w:rsid w:val="008F7B5E"/>
    <w:rsid w:val="00905C1D"/>
    <w:rsid w:val="00916014"/>
    <w:rsid w:val="009172CF"/>
    <w:rsid w:val="00917BC0"/>
    <w:rsid w:val="00927428"/>
    <w:rsid w:val="00930322"/>
    <w:rsid w:val="00931246"/>
    <w:rsid w:val="00942809"/>
    <w:rsid w:val="00961EFC"/>
    <w:rsid w:val="00975DB4"/>
    <w:rsid w:val="009818C2"/>
    <w:rsid w:val="0098626A"/>
    <w:rsid w:val="00986B50"/>
    <w:rsid w:val="00993A0F"/>
    <w:rsid w:val="00997F0F"/>
    <w:rsid w:val="009A1B95"/>
    <w:rsid w:val="009B58DA"/>
    <w:rsid w:val="009C16BD"/>
    <w:rsid w:val="009D15FB"/>
    <w:rsid w:val="009E2546"/>
    <w:rsid w:val="009E62A7"/>
    <w:rsid w:val="009F789B"/>
    <w:rsid w:val="00A027E1"/>
    <w:rsid w:val="00A14380"/>
    <w:rsid w:val="00A209C1"/>
    <w:rsid w:val="00A21471"/>
    <w:rsid w:val="00A26B40"/>
    <w:rsid w:val="00A31FDF"/>
    <w:rsid w:val="00A33480"/>
    <w:rsid w:val="00A34DCD"/>
    <w:rsid w:val="00A57161"/>
    <w:rsid w:val="00A57984"/>
    <w:rsid w:val="00A6403F"/>
    <w:rsid w:val="00A73465"/>
    <w:rsid w:val="00A8180D"/>
    <w:rsid w:val="00A81BCB"/>
    <w:rsid w:val="00A94AEC"/>
    <w:rsid w:val="00AA1546"/>
    <w:rsid w:val="00AA3EDF"/>
    <w:rsid w:val="00AA4435"/>
    <w:rsid w:val="00AA51B0"/>
    <w:rsid w:val="00AA549D"/>
    <w:rsid w:val="00AA5C25"/>
    <w:rsid w:val="00AB0EFB"/>
    <w:rsid w:val="00AB409F"/>
    <w:rsid w:val="00AC06FA"/>
    <w:rsid w:val="00AD689A"/>
    <w:rsid w:val="00AD759C"/>
    <w:rsid w:val="00AE1D53"/>
    <w:rsid w:val="00AE591E"/>
    <w:rsid w:val="00B058F3"/>
    <w:rsid w:val="00B17A25"/>
    <w:rsid w:val="00B2503D"/>
    <w:rsid w:val="00B357CE"/>
    <w:rsid w:val="00B40C5C"/>
    <w:rsid w:val="00B45525"/>
    <w:rsid w:val="00B50A27"/>
    <w:rsid w:val="00B53E37"/>
    <w:rsid w:val="00B84BD7"/>
    <w:rsid w:val="00B87681"/>
    <w:rsid w:val="00B91CB6"/>
    <w:rsid w:val="00BA3D2E"/>
    <w:rsid w:val="00BB3EDB"/>
    <w:rsid w:val="00BB4339"/>
    <w:rsid w:val="00BC2A5D"/>
    <w:rsid w:val="00BC56AF"/>
    <w:rsid w:val="00BD4188"/>
    <w:rsid w:val="00BD5F9E"/>
    <w:rsid w:val="00BD73BD"/>
    <w:rsid w:val="00BE235C"/>
    <w:rsid w:val="00BE2681"/>
    <w:rsid w:val="00BE49A2"/>
    <w:rsid w:val="00BE761C"/>
    <w:rsid w:val="00BE7C6B"/>
    <w:rsid w:val="00BF10B0"/>
    <w:rsid w:val="00C0119B"/>
    <w:rsid w:val="00C02BDE"/>
    <w:rsid w:val="00C04A6B"/>
    <w:rsid w:val="00C13B0B"/>
    <w:rsid w:val="00C25C1C"/>
    <w:rsid w:val="00C37694"/>
    <w:rsid w:val="00C4391C"/>
    <w:rsid w:val="00C45C9C"/>
    <w:rsid w:val="00C4672C"/>
    <w:rsid w:val="00C50FB8"/>
    <w:rsid w:val="00C55186"/>
    <w:rsid w:val="00C600CC"/>
    <w:rsid w:val="00C6112D"/>
    <w:rsid w:val="00C656C3"/>
    <w:rsid w:val="00C73107"/>
    <w:rsid w:val="00C84B20"/>
    <w:rsid w:val="00C9548A"/>
    <w:rsid w:val="00C95E41"/>
    <w:rsid w:val="00CA00C7"/>
    <w:rsid w:val="00CA2B23"/>
    <w:rsid w:val="00CA4FF3"/>
    <w:rsid w:val="00CA6285"/>
    <w:rsid w:val="00CA6619"/>
    <w:rsid w:val="00CA67B2"/>
    <w:rsid w:val="00CB1B2B"/>
    <w:rsid w:val="00CB314B"/>
    <w:rsid w:val="00CC7597"/>
    <w:rsid w:val="00CD0443"/>
    <w:rsid w:val="00CD07F7"/>
    <w:rsid w:val="00CF38C0"/>
    <w:rsid w:val="00D146B9"/>
    <w:rsid w:val="00D24BD7"/>
    <w:rsid w:val="00D340F8"/>
    <w:rsid w:val="00D3721C"/>
    <w:rsid w:val="00D4096E"/>
    <w:rsid w:val="00D451FC"/>
    <w:rsid w:val="00D72614"/>
    <w:rsid w:val="00D76516"/>
    <w:rsid w:val="00D77E8D"/>
    <w:rsid w:val="00D85776"/>
    <w:rsid w:val="00D85B79"/>
    <w:rsid w:val="00D87DC1"/>
    <w:rsid w:val="00D9772D"/>
    <w:rsid w:val="00DA3011"/>
    <w:rsid w:val="00DB28EA"/>
    <w:rsid w:val="00DB7252"/>
    <w:rsid w:val="00DB73BD"/>
    <w:rsid w:val="00DC3089"/>
    <w:rsid w:val="00DD0FD9"/>
    <w:rsid w:val="00DD21B3"/>
    <w:rsid w:val="00DD5923"/>
    <w:rsid w:val="00DD7ADF"/>
    <w:rsid w:val="00DE6DE5"/>
    <w:rsid w:val="00DF6FBD"/>
    <w:rsid w:val="00E00192"/>
    <w:rsid w:val="00E044B5"/>
    <w:rsid w:val="00E275BC"/>
    <w:rsid w:val="00E31AC8"/>
    <w:rsid w:val="00E4090A"/>
    <w:rsid w:val="00E52E4B"/>
    <w:rsid w:val="00E53653"/>
    <w:rsid w:val="00E55F96"/>
    <w:rsid w:val="00E61FB7"/>
    <w:rsid w:val="00E64790"/>
    <w:rsid w:val="00E66128"/>
    <w:rsid w:val="00E759FD"/>
    <w:rsid w:val="00E76EF7"/>
    <w:rsid w:val="00E829B5"/>
    <w:rsid w:val="00E85E11"/>
    <w:rsid w:val="00EB2021"/>
    <w:rsid w:val="00EB6B70"/>
    <w:rsid w:val="00EC44BF"/>
    <w:rsid w:val="00EC7226"/>
    <w:rsid w:val="00EC7E5E"/>
    <w:rsid w:val="00ED153D"/>
    <w:rsid w:val="00ED6D62"/>
    <w:rsid w:val="00ED7248"/>
    <w:rsid w:val="00EE0431"/>
    <w:rsid w:val="00EE0853"/>
    <w:rsid w:val="00EE453E"/>
    <w:rsid w:val="00EE4624"/>
    <w:rsid w:val="00EF040B"/>
    <w:rsid w:val="00EF410B"/>
    <w:rsid w:val="00F0301D"/>
    <w:rsid w:val="00F217EB"/>
    <w:rsid w:val="00F357D6"/>
    <w:rsid w:val="00F5190F"/>
    <w:rsid w:val="00F66303"/>
    <w:rsid w:val="00F66DDC"/>
    <w:rsid w:val="00F76404"/>
    <w:rsid w:val="00F92DFC"/>
    <w:rsid w:val="00F96916"/>
    <w:rsid w:val="00FB3590"/>
    <w:rsid w:val="00FB36DE"/>
    <w:rsid w:val="00FB4C31"/>
    <w:rsid w:val="00FB697B"/>
    <w:rsid w:val="00FC6D59"/>
    <w:rsid w:val="00FD3F51"/>
    <w:rsid w:val="00FD4DC2"/>
    <w:rsid w:val="00FE034E"/>
    <w:rsid w:val="00FF3586"/>
    <w:rsid w:val="00FF4461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paragraph" w:styleId="af1">
    <w:name w:val="Title"/>
    <w:basedOn w:val="a"/>
    <w:next w:val="a"/>
    <w:link w:val="af2"/>
    <w:uiPriority w:val="10"/>
    <w:qFormat/>
    <w:rsid w:val="0080373C"/>
    <w:pPr>
      <w:bidi/>
      <w:spacing w:line="360" w:lineRule="auto"/>
      <w:jc w:val="center"/>
      <w:outlineLvl w:val="0"/>
    </w:pPr>
    <w:rPr>
      <w:rFonts w:cs="David"/>
      <w:b/>
      <w:bCs/>
      <w:sz w:val="26"/>
      <w:szCs w:val="26"/>
    </w:rPr>
  </w:style>
  <w:style w:type="character" w:customStyle="1" w:styleId="af2">
    <w:name w:val="כותרת טקסט תו"/>
    <w:basedOn w:val="a0"/>
    <w:link w:val="af1"/>
    <w:uiPriority w:val="10"/>
    <w:rsid w:val="0080373C"/>
    <w:rPr>
      <w:rFonts w:ascii="Times New Roman" w:eastAsia="Times New Roman" w:hAnsi="Times New Roman" w:cs="David"/>
      <w:b/>
      <w:bCs/>
      <w:sz w:val="26"/>
      <w:szCs w:val="2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paragraph" w:styleId="af1">
    <w:name w:val="Title"/>
    <w:basedOn w:val="a"/>
    <w:next w:val="a"/>
    <w:link w:val="af2"/>
    <w:uiPriority w:val="10"/>
    <w:qFormat/>
    <w:rsid w:val="0080373C"/>
    <w:pPr>
      <w:bidi/>
      <w:spacing w:line="360" w:lineRule="auto"/>
      <w:jc w:val="center"/>
      <w:outlineLvl w:val="0"/>
    </w:pPr>
    <w:rPr>
      <w:rFonts w:cs="David"/>
      <w:b/>
      <w:bCs/>
      <w:sz w:val="26"/>
      <w:szCs w:val="26"/>
    </w:rPr>
  </w:style>
  <w:style w:type="character" w:customStyle="1" w:styleId="af2">
    <w:name w:val="כותרת טקסט תו"/>
    <w:basedOn w:val="a0"/>
    <w:link w:val="af1"/>
    <w:uiPriority w:val="10"/>
    <w:rsid w:val="0080373C"/>
    <w:rPr>
      <w:rFonts w:ascii="Times New Roman" w:eastAsia="Times New Roman" w:hAnsi="Times New Roman" w:cs="David"/>
      <w:b/>
      <w:bCs/>
      <w:sz w:val="26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E3540-75A3-4CAC-AC26-E1623495E691}"/>
</file>

<file path=customXml/itemProps2.xml><?xml version="1.0" encoding="utf-8"?>
<ds:datastoreItem xmlns:ds="http://schemas.openxmlformats.org/officeDocument/2006/customXml" ds:itemID="{FC6EB5DA-4A7E-4A27-967C-59117713369C}"/>
</file>

<file path=customXml/itemProps3.xml><?xml version="1.0" encoding="utf-8"?>
<ds:datastoreItem xmlns:ds="http://schemas.openxmlformats.org/officeDocument/2006/customXml" ds:itemID="{EEF733C5-894B-4B1A-B861-246C9DE68D88}"/>
</file>

<file path=customXml/itemProps4.xml><?xml version="1.0" encoding="utf-8"?>
<ds:datastoreItem xmlns:ds="http://schemas.openxmlformats.org/officeDocument/2006/customXml" ds:itemID="{296F905F-390A-4D2F-8F34-3FFF50C7C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2016-08-17T09:25:00Z</dcterms:created>
  <dcterms:modified xsi:type="dcterms:W3CDTF">2016-08-17T09:25:00Z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