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FA" w:rsidRPr="00E223E5" w:rsidRDefault="004233FA" w:rsidP="00E223E5">
      <w:pPr>
        <w:spacing w:line="360" w:lineRule="auto"/>
        <w:rPr>
          <w:rFonts w:cstheme="minorHAnsi"/>
          <w:sz w:val="24"/>
          <w:szCs w:val="24"/>
        </w:rPr>
      </w:pPr>
    </w:p>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8259C0" w:rsidRPr="00E223E5" w:rsidTr="008259C0">
        <w:trPr>
          <w:cantSplit/>
        </w:trPr>
        <w:tc>
          <w:tcPr>
            <w:tcW w:w="3392" w:type="dxa"/>
            <w:tcBorders>
              <w:top w:val="nil"/>
              <w:left w:val="nil"/>
              <w:bottom w:val="nil"/>
              <w:right w:val="nil"/>
            </w:tcBorders>
            <w:vAlign w:val="center"/>
          </w:tcPr>
          <w:p w:rsidR="008259C0" w:rsidRPr="00E223E5" w:rsidRDefault="008259C0" w:rsidP="00E223E5">
            <w:pPr>
              <w:spacing w:line="360" w:lineRule="auto"/>
              <w:jc w:val="center"/>
              <w:rPr>
                <w:rFonts w:cstheme="minorHAnsi"/>
                <w:b/>
                <w:bCs/>
                <w:sz w:val="24"/>
                <w:szCs w:val="24"/>
              </w:rPr>
            </w:pPr>
            <w:r w:rsidRPr="00E223E5">
              <w:rPr>
                <w:rFonts w:cstheme="minorHAnsi"/>
                <w:b/>
                <w:bCs/>
                <w:sz w:val="24"/>
                <w:szCs w:val="24"/>
                <w:rtl/>
              </w:rPr>
              <w:t>בנק ישראל</w:t>
            </w:r>
          </w:p>
          <w:p w:rsidR="008259C0" w:rsidRPr="00E223E5" w:rsidRDefault="008259C0" w:rsidP="00E223E5">
            <w:pPr>
              <w:spacing w:line="360" w:lineRule="auto"/>
              <w:ind w:right="-101"/>
              <w:jc w:val="center"/>
              <w:rPr>
                <w:rFonts w:cstheme="minorHAnsi"/>
                <w:sz w:val="24"/>
                <w:szCs w:val="24"/>
              </w:rPr>
            </w:pPr>
            <w:r w:rsidRPr="00E223E5">
              <w:rPr>
                <w:rFonts w:cstheme="minorHAnsi"/>
                <w:sz w:val="24"/>
                <w:szCs w:val="24"/>
                <w:rtl/>
              </w:rPr>
              <w:t>דוברות והסברה כלכלית</w:t>
            </w:r>
          </w:p>
        </w:tc>
        <w:tc>
          <w:tcPr>
            <w:tcW w:w="2596" w:type="dxa"/>
            <w:tcBorders>
              <w:top w:val="nil"/>
              <w:left w:val="nil"/>
              <w:bottom w:val="nil"/>
              <w:right w:val="nil"/>
            </w:tcBorders>
          </w:tcPr>
          <w:p w:rsidR="008259C0" w:rsidRPr="00E223E5" w:rsidRDefault="00B30D3B" w:rsidP="00E223E5">
            <w:pPr>
              <w:spacing w:line="360" w:lineRule="auto"/>
              <w:jc w:val="center"/>
              <w:rPr>
                <w:rFonts w:cstheme="minorHAnsi"/>
                <w:sz w:val="24"/>
                <w:szCs w:val="24"/>
              </w:rPr>
            </w:pPr>
            <w:r w:rsidRPr="00E223E5">
              <w:rPr>
                <w:rFonts w:cstheme="minorHAnsi"/>
                <w:noProof/>
                <w:sz w:val="24"/>
                <w:szCs w:val="24"/>
              </w:rPr>
              <w:drawing>
                <wp:inline distT="0" distB="0" distL="0" distR="0" wp14:anchorId="7D14941F" wp14:editId="198359E2">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8259C0" w:rsidRPr="00E223E5" w:rsidRDefault="008259C0" w:rsidP="00E223E5">
            <w:pPr>
              <w:spacing w:line="360" w:lineRule="auto"/>
              <w:jc w:val="right"/>
              <w:rPr>
                <w:rFonts w:cstheme="minorHAnsi"/>
                <w:sz w:val="24"/>
                <w:szCs w:val="24"/>
                <w:rtl/>
              </w:rPr>
            </w:pPr>
            <w:r w:rsidRPr="00E223E5">
              <w:rPr>
                <w:rFonts w:cstheme="minorHAnsi"/>
                <w:sz w:val="24"/>
                <w:szCs w:val="24"/>
                <w:rtl/>
              </w:rPr>
              <w:t xml:space="preserve">‏ירושלים, </w:t>
            </w:r>
            <w:r w:rsidR="0072305F" w:rsidRPr="00E223E5">
              <w:rPr>
                <w:rFonts w:cstheme="minorHAnsi"/>
                <w:sz w:val="24"/>
                <w:szCs w:val="24"/>
                <w:rtl/>
              </w:rPr>
              <w:t>‏</w:t>
            </w:r>
            <w:r w:rsidR="00DF23B3" w:rsidRPr="00E223E5">
              <w:rPr>
                <w:rFonts w:cstheme="minorHAnsi"/>
                <w:sz w:val="24"/>
                <w:szCs w:val="24"/>
                <w:rtl/>
              </w:rPr>
              <w:t>‏</w:t>
            </w:r>
            <w:r w:rsidR="00B06676" w:rsidRPr="00E223E5">
              <w:rPr>
                <w:rFonts w:cstheme="minorHAnsi"/>
                <w:sz w:val="24"/>
                <w:szCs w:val="24"/>
                <w:rtl/>
              </w:rPr>
              <w:t>‏</w:t>
            </w:r>
            <w:r w:rsidR="00813270" w:rsidRPr="00E223E5">
              <w:rPr>
                <w:rFonts w:cstheme="minorHAnsi"/>
                <w:sz w:val="24"/>
                <w:szCs w:val="24"/>
                <w:rtl/>
              </w:rPr>
              <w:t>ל'</w:t>
            </w:r>
            <w:r w:rsidR="00F50EB0" w:rsidRPr="00E223E5">
              <w:rPr>
                <w:rFonts w:cstheme="minorHAnsi"/>
                <w:sz w:val="24"/>
                <w:szCs w:val="24"/>
                <w:rtl/>
              </w:rPr>
              <w:t xml:space="preserve"> </w:t>
            </w:r>
            <w:r w:rsidR="00B06676" w:rsidRPr="00E223E5">
              <w:rPr>
                <w:rFonts w:cstheme="minorHAnsi"/>
                <w:sz w:val="24"/>
                <w:szCs w:val="24"/>
                <w:rtl/>
              </w:rPr>
              <w:t>אדר</w:t>
            </w:r>
            <w:r w:rsidR="00813270" w:rsidRPr="00E223E5">
              <w:rPr>
                <w:rFonts w:cstheme="minorHAnsi"/>
                <w:sz w:val="24"/>
                <w:szCs w:val="24"/>
                <w:rtl/>
              </w:rPr>
              <w:t xml:space="preserve"> א</w:t>
            </w:r>
            <w:r w:rsidR="00B06676" w:rsidRPr="00E223E5">
              <w:rPr>
                <w:rFonts w:cstheme="minorHAnsi"/>
                <w:sz w:val="24"/>
                <w:szCs w:val="24"/>
                <w:rtl/>
              </w:rPr>
              <w:t>, תשפ"</w:t>
            </w:r>
            <w:r w:rsidR="00813270" w:rsidRPr="00E223E5">
              <w:rPr>
                <w:rFonts w:cstheme="minorHAnsi"/>
                <w:sz w:val="24"/>
                <w:szCs w:val="24"/>
                <w:rtl/>
              </w:rPr>
              <w:t>ד</w:t>
            </w:r>
          </w:p>
          <w:p w:rsidR="008259C0" w:rsidRPr="00E223E5" w:rsidRDefault="008259C0" w:rsidP="00E223E5">
            <w:pPr>
              <w:spacing w:line="360" w:lineRule="auto"/>
              <w:jc w:val="right"/>
              <w:rPr>
                <w:rFonts w:cstheme="minorHAnsi"/>
                <w:sz w:val="24"/>
                <w:szCs w:val="24"/>
              </w:rPr>
            </w:pPr>
            <w:r w:rsidRPr="00E223E5">
              <w:rPr>
                <w:rFonts w:cstheme="minorHAnsi"/>
                <w:sz w:val="24"/>
                <w:szCs w:val="24"/>
                <w:rtl/>
              </w:rPr>
              <w:t>‏‏</w:t>
            </w:r>
            <w:r w:rsidR="0072305F" w:rsidRPr="00E223E5">
              <w:rPr>
                <w:rFonts w:cstheme="minorHAnsi"/>
                <w:sz w:val="24"/>
                <w:szCs w:val="24"/>
                <w:rtl/>
              </w:rPr>
              <w:t>‏</w:t>
            </w:r>
            <w:r w:rsidR="00DF23B3" w:rsidRPr="00E223E5">
              <w:rPr>
                <w:rFonts w:cstheme="minorHAnsi"/>
                <w:sz w:val="24"/>
                <w:szCs w:val="24"/>
                <w:rtl/>
              </w:rPr>
              <w:t>‏</w:t>
            </w:r>
            <w:r w:rsidR="00B06676" w:rsidRPr="00E223E5">
              <w:rPr>
                <w:rFonts w:cstheme="minorHAnsi"/>
                <w:sz w:val="24"/>
                <w:szCs w:val="24"/>
                <w:rtl/>
              </w:rPr>
              <w:t>‏</w:t>
            </w:r>
            <w:r w:rsidR="00F26DCF" w:rsidRPr="00E223E5">
              <w:rPr>
                <w:rFonts w:cstheme="minorHAnsi"/>
                <w:sz w:val="24"/>
                <w:szCs w:val="24"/>
                <w:rtl/>
              </w:rPr>
              <w:t>1</w:t>
            </w:r>
            <w:r w:rsidR="00813270" w:rsidRPr="00E223E5">
              <w:rPr>
                <w:rFonts w:cstheme="minorHAnsi"/>
                <w:sz w:val="24"/>
                <w:szCs w:val="24"/>
                <w:rtl/>
              </w:rPr>
              <w:t>0</w:t>
            </w:r>
            <w:r w:rsidR="00B06676" w:rsidRPr="00E223E5">
              <w:rPr>
                <w:rFonts w:cstheme="minorHAnsi"/>
                <w:sz w:val="24"/>
                <w:szCs w:val="24"/>
                <w:rtl/>
              </w:rPr>
              <w:t xml:space="preserve"> </w:t>
            </w:r>
            <w:r w:rsidR="00341677" w:rsidRPr="00E223E5">
              <w:rPr>
                <w:rFonts w:cstheme="minorHAnsi"/>
                <w:sz w:val="24"/>
                <w:szCs w:val="24"/>
                <w:rtl/>
              </w:rPr>
              <w:t>ב</w:t>
            </w:r>
            <w:r w:rsidR="00E942E7" w:rsidRPr="00E223E5">
              <w:rPr>
                <w:rFonts w:cstheme="minorHAnsi"/>
                <w:sz w:val="24"/>
                <w:szCs w:val="24"/>
                <w:rtl/>
              </w:rPr>
              <w:t>מרץ</w:t>
            </w:r>
            <w:r w:rsidR="00B06676" w:rsidRPr="00E223E5">
              <w:rPr>
                <w:rFonts w:cstheme="minorHAnsi"/>
                <w:sz w:val="24"/>
                <w:szCs w:val="24"/>
                <w:rtl/>
              </w:rPr>
              <w:t>, 202</w:t>
            </w:r>
            <w:r w:rsidR="00813270" w:rsidRPr="00E223E5">
              <w:rPr>
                <w:rFonts w:cstheme="minorHAnsi"/>
                <w:sz w:val="24"/>
                <w:szCs w:val="24"/>
                <w:rtl/>
              </w:rPr>
              <w:t>4</w:t>
            </w:r>
          </w:p>
        </w:tc>
      </w:tr>
    </w:tbl>
    <w:p w:rsidR="008259C0" w:rsidRPr="00E223E5" w:rsidRDefault="008259C0" w:rsidP="00E223E5">
      <w:pPr>
        <w:spacing w:line="360" w:lineRule="auto"/>
        <w:rPr>
          <w:rFonts w:cstheme="minorHAnsi"/>
          <w:sz w:val="24"/>
          <w:szCs w:val="24"/>
          <w:rtl/>
        </w:rPr>
      </w:pPr>
      <w:r w:rsidRPr="00E223E5">
        <w:rPr>
          <w:rFonts w:cstheme="minorHAnsi"/>
          <w:sz w:val="24"/>
          <w:szCs w:val="24"/>
          <w:rtl/>
        </w:rPr>
        <w:t>הודעה לעיתונות:</w:t>
      </w:r>
      <w:bookmarkStart w:id="0" w:name="_GoBack"/>
      <w:bookmarkEnd w:id="0"/>
    </w:p>
    <w:p w:rsidR="004B17B0" w:rsidRPr="00E223E5" w:rsidRDefault="004B17B0" w:rsidP="00E223E5">
      <w:pPr>
        <w:tabs>
          <w:tab w:val="left" w:pos="2315"/>
        </w:tabs>
        <w:spacing w:line="360" w:lineRule="auto"/>
        <w:jc w:val="center"/>
        <w:rPr>
          <w:rFonts w:cstheme="minorHAnsi"/>
          <w:b/>
          <w:bCs/>
          <w:sz w:val="24"/>
          <w:szCs w:val="24"/>
          <w:rtl/>
        </w:rPr>
      </w:pPr>
      <w:r w:rsidRPr="00E223E5">
        <w:rPr>
          <w:rFonts w:cstheme="minorHAnsi"/>
          <w:b/>
          <w:bCs/>
          <w:sz w:val="24"/>
          <w:szCs w:val="24"/>
          <w:rtl/>
        </w:rPr>
        <w:t>הפיקוח על הבנקים קיים את מפגש העדכון השנתי בנושא</w:t>
      </w:r>
      <w:r w:rsidR="003201F8" w:rsidRPr="00E223E5">
        <w:rPr>
          <w:rFonts w:cstheme="minorHAnsi"/>
          <w:b/>
          <w:bCs/>
          <w:sz w:val="24"/>
          <w:szCs w:val="24"/>
          <w:rtl/>
        </w:rPr>
        <w:t>:</w:t>
      </w:r>
    </w:p>
    <w:p w:rsidR="007B7E83" w:rsidRPr="00E223E5" w:rsidRDefault="004B17B0" w:rsidP="00E223E5">
      <w:pPr>
        <w:tabs>
          <w:tab w:val="left" w:pos="2315"/>
        </w:tabs>
        <w:spacing w:line="360" w:lineRule="auto"/>
        <w:jc w:val="center"/>
        <w:rPr>
          <w:rFonts w:cstheme="minorHAnsi"/>
          <w:b/>
          <w:bCs/>
          <w:sz w:val="24"/>
          <w:szCs w:val="24"/>
          <w:rtl/>
        </w:rPr>
      </w:pPr>
      <w:r w:rsidRPr="00E223E5">
        <w:rPr>
          <w:rFonts w:cstheme="minorHAnsi"/>
          <w:b/>
          <w:bCs/>
          <w:sz w:val="24"/>
          <w:szCs w:val="24"/>
          <w:rtl/>
        </w:rPr>
        <w:t xml:space="preserve"> </w:t>
      </w:r>
      <w:r w:rsidR="007B4BD2" w:rsidRPr="00E223E5">
        <w:rPr>
          <w:rFonts w:cstheme="minorHAnsi"/>
          <w:b/>
          <w:bCs/>
          <w:sz w:val="24"/>
          <w:szCs w:val="24"/>
          <w:rtl/>
        </w:rPr>
        <w:t xml:space="preserve">"אמנת זמינות </w:t>
      </w:r>
      <w:r w:rsidRPr="00E223E5">
        <w:rPr>
          <w:rFonts w:cstheme="minorHAnsi"/>
          <w:b/>
          <w:bCs/>
          <w:sz w:val="24"/>
          <w:szCs w:val="24"/>
          <w:rtl/>
        </w:rPr>
        <w:t>פיננסית</w:t>
      </w:r>
      <w:r w:rsidR="007B4BD2" w:rsidRPr="00E223E5">
        <w:rPr>
          <w:rFonts w:cstheme="minorHAnsi"/>
          <w:b/>
          <w:bCs/>
          <w:sz w:val="24"/>
          <w:szCs w:val="24"/>
          <w:rtl/>
        </w:rPr>
        <w:t>"</w:t>
      </w:r>
      <w:r w:rsidR="00F25A6E" w:rsidRPr="00E223E5">
        <w:rPr>
          <w:rFonts w:cstheme="minorHAnsi"/>
          <w:b/>
          <w:bCs/>
          <w:sz w:val="24"/>
          <w:szCs w:val="24"/>
          <w:rtl/>
        </w:rPr>
        <w:t xml:space="preserve"> </w:t>
      </w:r>
      <w:r w:rsidR="00930D28" w:rsidRPr="00E223E5">
        <w:rPr>
          <w:rFonts w:cstheme="minorHAnsi"/>
          <w:b/>
          <w:bCs/>
          <w:sz w:val="24"/>
          <w:szCs w:val="24"/>
          <w:rtl/>
        </w:rPr>
        <w:t>–</w:t>
      </w:r>
      <w:r w:rsidR="00A71582" w:rsidRPr="00E223E5">
        <w:rPr>
          <w:rFonts w:cstheme="minorHAnsi"/>
          <w:b/>
          <w:bCs/>
          <w:sz w:val="24"/>
          <w:szCs w:val="24"/>
          <w:rtl/>
        </w:rPr>
        <w:t xml:space="preserve"> </w:t>
      </w:r>
      <w:r w:rsidR="007B7E83" w:rsidRPr="00E223E5">
        <w:rPr>
          <w:rFonts w:cstheme="minorHAnsi"/>
          <w:b/>
          <w:bCs/>
          <w:sz w:val="24"/>
          <w:szCs w:val="24"/>
          <w:rtl/>
        </w:rPr>
        <w:t>אמנה</w:t>
      </w:r>
      <w:r w:rsidR="007B7E83" w:rsidRPr="00E223E5">
        <w:rPr>
          <w:rFonts w:cstheme="minorHAnsi"/>
          <w:b/>
          <w:bCs/>
          <w:sz w:val="24"/>
          <w:szCs w:val="24"/>
        </w:rPr>
        <w:t xml:space="preserve"> </w:t>
      </w:r>
      <w:r w:rsidR="007B7E83" w:rsidRPr="00E223E5">
        <w:rPr>
          <w:rFonts w:cstheme="minorHAnsi"/>
          <w:b/>
          <w:bCs/>
          <w:sz w:val="24"/>
          <w:szCs w:val="24"/>
          <w:rtl/>
        </w:rPr>
        <w:t>להקלת</w:t>
      </w:r>
      <w:r w:rsidR="007B7E83" w:rsidRPr="00E223E5">
        <w:rPr>
          <w:rFonts w:cstheme="minorHAnsi"/>
          <w:b/>
          <w:bCs/>
          <w:sz w:val="24"/>
          <w:szCs w:val="24"/>
        </w:rPr>
        <w:t xml:space="preserve"> </w:t>
      </w:r>
      <w:r w:rsidR="007B7E83" w:rsidRPr="00E223E5">
        <w:rPr>
          <w:rFonts w:cstheme="minorHAnsi"/>
          <w:b/>
          <w:bCs/>
          <w:sz w:val="24"/>
          <w:szCs w:val="24"/>
          <w:rtl/>
        </w:rPr>
        <w:t>ההתמודדות</w:t>
      </w:r>
      <w:r w:rsidR="007B7E83" w:rsidRPr="00E223E5">
        <w:rPr>
          <w:rFonts w:cstheme="minorHAnsi"/>
          <w:b/>
          <w:bCs/>
          <w:sz w:val="24"/>
          <w:szCs w:val="24"/>
        </w:rPr>
        <w:t xml:space="preserve"> </w:t>
      </w:r>
      <w:r w:rsidR="007B7E83" w:rsidRPr="00E223E5">
        <w:rPr>
          <w:rFonts w:cstheme="minorHAnsi"/>
          <w:b/>
          <w:bCs/>
          <w:sz w:val="24"/>
          <w:szCs w:val="24"/>
          <w:rtl/>
        </w:rPr>
        <w:t>הפיננסית</w:t>
      </w:r>
      <w:r w:rsidR="007B7E83" w:rsidRPr="00E223E5">
        <w:rPr>
          <w:rFonts w:cstheme="minorHAnsi"/>
          <w:b/>
          <w:bCs/>
          <w:sz w:val="24"/>
          <w:szCs w:val="24"/>
        </w:rPr>
        <w:t xml:space="preserve"> </w:t>
      </w:r>
      <w:r w:rsidR="007B7E83" w:rsidRPr="00E223E5">
        <w:rPr>
          <w:rFonts w:cstheme="minorHAnsi"/>
          <w:b/>
          <w:bCs/>
          <w:sz w:val="24"/>
          <w:szCs w:val="24"/>
          <w:rtl/>
        </w:rPr>
        <w:t>של</w:t>
      </w:r>
      <w:r w:rsidR="007B7E83" w:rsidRPr="00E223E5">
        <w:rPr>
          <w:rFonts w:cstheme="minorHAnsi"/>
          <w:b/>
          <w:bCs/>
          <w:sz w:val="24"/>
          <w:szCs w:val="24"/>
        </w:rPr>
        <w:t xml:space="preserve"> </w:t>
      </w:r>
      <w:r w:rsidR="007B7E83" w:rsidRPr="00E223E5">
        <w:rPr>
          <w:rFonts w:cstheme="minorHAnsi"/>
          <w:b/>
          <w:bCs/>
          <w:sz w:val="24"/>
          <w:szCs w:val="24"/>
          <w:rtl/>
        </w:rPr>
        <w:t>נפגעות</w:t>
      </w:r>
      <w:r w:rsidR="006F670B" w:rsidRPr="00E223E5">
        <w:rPr>
          <w:rFonts w:cstheme="minorHAnsi"/>
          <w:b/>
          <w:bCs/>
          <w:sz w:val="24"/>
          <w:szCs w:val="24"/>
          <w:rtl/>
        </w:rPr>
        <w:t xml:space="preserve"> </w:t>
      </w:r>
      <w:r w:rsidR="007B7E83" w:rsidRPr="00E223E5">
        <w:rPr>
          <w:rFonts w:cstheme="minorHAnsi"/>
          <w:b/>
          <w:bCs/>
          <w:sz w:val="24"/>
          <w:szCs w:val="24"/>
          <w:rtl/>
        </w:rPr>
        <w:t>אלימות</w:t>
      </w:r>
      <w:r w:rsidR="007B7E83" w:rsidRPr="00E223E5">
        <w:rPr>
          <w:rFonts w:cstheme="minorHAnsi"/>
          <w:b/>
          <w:bCs/>
          <w:sz w:val="24"/>
          <w:szCs w:val="24"/>
        </w:rPr>
        <w:t xml:space="preserve"> </w:t>
      </w:r>
      <w:r w:rsidR="007B7E83" w:rsidRPr="00E223E5">
        <w:rPr>
          <w:rFonts w:cstheme="minorHAnsi"/>
          <w:b/>
          <w:bCs/>
          <w:sz w:val="24"/>
          <w:szCs w:val="24"/>
          <w:rtl/>
        </w:rPr>
        <w:t>ונשים</w:t>
      </w:r>
      <w:r w:rsidR="007B7E83" w:rsidRPr="00E223E5">
        <w:rPr>
          <w:rFonts w:cstheme="minorHAnsi"/>
          <w:b/>
          <w:bCs/>
          <w:sz w:val="24"/>
          <w:szCs w:val="24"/>
        </w:rPr>
        <w:t xml:space="preserve"> </w:t>
      </w:r>
      <w:r w:rsidR="007B7E83" w:rsidRPr="00E223E5">
        <w:rPr>
          <w:rFonts w:cstheme="minorHAnsi"/>
          <w:b/>
          <w:bCs/>
          <w:sz w:val="24"/>
          <w:szCs w:val="24"/>
          <w:rtl/>
        </w:rPr>
        <w:t>המצויות בתהליך</w:t>
      </w:r>
      <w:r w:rsidR="007B7E83" w:rsidRPr="00E223E5">
        <w:rPr>
          <w:rFonts w:cstheme="minorHAnsi"/>
          <w:b/>
          <w:bCs/>
          <w:sz w:val="24"/>
          <w:szCs w:val="24"/>
        </w:rPr>
        <w:t xml:space="preserve"> </w:t>
      </w:r>
      <w:r w:rsidR="007B7E83" w:rsidRPr="00E223E5">
        <w:rPr>
          <w:rFonts w:cstheme="minorHAnsi"/>
          <w:b/>
          <w:bCs/>
          <w:sz w:val="24"/>
          <w:szCs w:val="24"/>
          <w:rtl/>
        </w:rPr>
        <w:t>היציאה</w:t>
      </w:r>
      <w:r w:rsidR="00B26FA3" w:rsidRPr="00E223E5">
        <w:rPr>
          <w:rFonts w:cstheme="minorHAnsi"/>
          <w:b/>
          <w:bCs/>
          <w:sz w:val="24"/>
          <w:szCs w:val="24"/>
          <w:rtl/>
        </w:rPr>
        <w:t xml:space="preserve"> </w:t>
      </w:r>
      <w:r w:rsidR="007B7E83" w:rsidRPr="00E223E5">
        <w:rPr>
          <w:rFonts w:cstheme="minorHAnsi"/>
          <w:b/>
          <w:bCs/>
          <w:sz w:val="24"/>
          <w:szCs w:val="24"/>
          <w:rtl/>
        </w:rPr>
        <w:t>ממעגל</w:t>
      </w:r>
      <w:r w:rsidR="007B7E83" w:rsidRPr="00E223E5">
        <w:rPr>
          <w:rFonts w:cstheme="minorHAnsi"/>
          <w:b/>
          <w:bCs/>
          <w:sz w:val="24"/>
          <w:szCs w:val="24"/>
        </w:rPr>
        <w:t xml:space="preserve"> </w:t>
      </w:r>
      <w:r w:rsidR="007B7E83" w:rsidRPr="00E223E5">
        <w:rPr>
          <w:rFonts w:cstheme="minorHAnsi"/>
          <w:b/>
          <w:bCs/>
          <w:sz w:val="24"/>
          <w:szCs w:val="24"/>
          <w:rtl/>
        </w:rPr>
        <w:t>הזנות</w:t>
      </w:r>
    </w:p>
    <w:p w:rsidR="003F68A6" w:rsidRPr="00E223E5" w:rsidRDefault="002658A3" w:rsidP="00E223E5">
      <w:pPr>
        <w:tabs>
          <w:tab w:val="left" w:pos="2315"/>
        </w:tabs>
        <w:spacing w:line="360" w:lineRule="auto"/>
        <w:jc w:val="both"/>
        <w:rPr>
          <w:rFonts w:cstheme="minorHAnsi"/>
          <w:sz w:val="24"/>
          <w:szCs w:val="24"/>
          <w:rtl/>
        </w:rPr>
      </w:pPr>
      <w:r w:rsidRPr="00E223E5">
        <w:rPr>
          <w:rFonts w:cstheme="minorHAnsi"/>
          <w:sz w:val="24"/>
          <w:szCs w:val="24"/>
          <w:rtl/>
        </w:rPr>
        <w:t>השנה עמד הכנס בסימן משבר בתוך משבר, אלימות כלכלית במשפחה בצל מלחמה</w:t>
      </w:r>
      <w:r w:rsidR="003F68A6" w:rsidRPr="00E223E5">
        <w:rPr>
          <w:rFonts w:cstheme="minorHAnsi"/>
          <w:sz w:val="24"/>
          <w:szCs w:val="24"/>
          <w:rtl/>
        </w:rPr>
        <w:t xml:space="preserve">. </w:t>
      </w:r>
      <w:r w:rsidRPr="00E223E5">
        <w:rPr>
          <w:rFonts w:cstheme="minorHAnsi"/>
          <w:sz w:val="24"/>
          <w:szCs w:val="24"/>
          <w:rtl/>
        </w:rPr>
        <w:t>ההרצאות הוקדשו ל</w:t>
      </w:r>
      <w:r w:rsidR="003F68A6" w:rsidRPr="00E223E5">
        <w:rPr>
          <w:rFonts w:cstheme="minorHAnsi"/>
          <w:sz w:val="24"/>
          <w:szCs w:val="24"/>
          <w:rtl/>
        </w:rPr>
        <w:t>העלאת המודעות לקושי המועצם ולסיוע הניתן על ידי המערכת הבנקאית לטובת נפגעות האלימות.</w:t>
      </w:r>
    </w:p>
    <w:p w:rsidR="002E5C11" w:rsidRPr="00E223E5" w:rsidRDefault="006F670B" w:rsidP="00E223E5">
      <w:pPr>
        <w:tabs>
          <w:tab w:val="left" w:pos="2315"/>
        </w:tabs>
        <w:spacing w:line="360" w:lineRule="auto"/>
        <w:jc w:val="both"/>
        <w:rPr>
          <w:rFonts w:cstheme="minorHAnsi"/>
          <w:sz w:val="24"/>
          <w:szCs w:val="24"/>
          <w:rtl/>
        </w:rPr>
      </w:pPr>
      <w:r w:rsidRPr="00E223E5">
        <w:rPr>
          <w:rFonts w:cstheme="minorHAnsi"/>
          <w:sz w:val="24"/>
          <w:szCs w:val="24"/>
          <w:rtl/>
        </w:rPr>
        <w:t>"אמנת זמינות פיננסית", אשר הושקה ב-2016, הינה מתווה וולונטרי לסיוע לנפגעות</w:t>
      </w:r>
      <w:r w:rsidR="005D61D6" w:rsidRPr="00E223E5">
        <w:rPr>
          <w:rStyle w:val="af1"/>
          <w:rFonts w:cstheme="minorHAnsi"/>
          <w:sz w:val="24"/>
          <w:szCs w:val="24"/>
          <w:rtl/>
        </w:rPr>
        <w:footnoteReference w:id="1"/>
      </w:r>
      <w:r w:rsidRPr="00E223E5">
        <w:rPr>
          <w:rFonts w:cstheme="minorHAnsi"/>
          <w:sz w:val="24"/>
          <w:szCs w:val="24"/>
          <w:rtl/>
        </w:rPr>
        <w:t xml:space="preserve"> אלימות, לו שותפים אגוד הבנקים, הבנקים וחברות כרטיסי האשראי, בנק הדואר ארגונים חברתיים ורשות האכיפה והגביה. במסגרת האמנה מוצעים לנפגעות האלימות, פתרונות פיננסיים המותאמים לצרכים שלהן, במטרה לסייע להן לצמוח מהמשבר אליו נקלעו ולצאת לדרך חדשה ועצמאות כלכלית. הסיוע כיום ניתן לנשים השוהות במקלטים ובדירות מעבר</w:t>
      </w:r>
      <w:r w:rsidR="00BB1BCD" w:rsidRPr="00E223E5">
        <w:rPr>
          <w:rFonts w:cstheme="minorHAnsi"/>
          <w:sz w:val="24"/>
          <w:szCs w:val="24"/>
          <w:rtl/>
        </w:rPr>
        <w:t>,</w:t>
      </w:r>
      <w:r w:rsidRPr="00E223E5">
        <w:rPr>
          <w:rFonts w:cstheme="minorHAnsi"/>
          <w:sz w:val="24"/>
          <w:szCs w:val="24"/>
          <w:rtl/>
        </w:rPr>
        <w:t xml:space="preserve"> </w:t>
      </w:r>
      <w:r w:rsidR="00BB1BCD" w:rsidRPr="00E223E5">
        <w:rPr>
          <w:rFonts w:cstheme="minorHAnsi"/>
          <w:sz w:val="24"/>
          <w:szCs w:val="24"/>
          <w:rtl/>
        </w:rPr>
        <w:t>לנשים</w:t>
      </w:r>
      <w:r w:rsidRPr="00E223E5">
        <w:rPr>
          <w:rFonts w:cstheme="minorHAnsi"/>
          <w:sz w:val="24"/>
          <w:szCs w:val="24"/>
          <w:rtl/>
        </w:rPr>
        <w:t xml:space="preserve"> </w:t>
      </w:r>
      <w:r w:rsidR="00BB1BCD" w:rsidRPr="00E223E5">
        <w:rPr>
          <w:rFonts w:cstheme="minorHAnsi"/>
          <w:sz w:val="24"/>
          <w:szCs w:val="24"/>
          <w:rtl/>
        </w:rPr>
        <w:t>ה</w:t>
      </w:r>
      <w:r w:rsidRPr="00E223E5">
        <w:rPr>
          <w:rFonts w:cstheme="minorHAnsi"/>
          <w:sz w:val="24"/>
          <w:szCs w:val="24"/>
          <w:rtl/>
        </w:rPr>
        <w:t xml:space="preserve">מקבלות סיוע </w:t>
      </w:r>
      <w:r w:rsidR="00BB1BCD" w:rsidRPr="00E223E5">
        <w:rPr>
          <w:rFonts w:cstheme="minorHAnsi"/>
          <w:sz w:val="24"/>
          <w:szCs w:val="24"/>
          <w:rtl/>
        </w:rPr>
        <w:t>ב</w:t>
      </w:r>
      <w:r w:rsidRPr="00E223E5">
        <w:rPr>
          <w:rFonts w:cstheme="minorHAnsi"/>
          <w:sz w:val="24"/>
          <w:szCs w:val="24"/>
          <w:rtl/>
        </w:rPr>
        <w:t>מרכזים למניעה ולטיפול באלימות במשפחה ברחבי הארץ וכן לנשים חסרות מעמד</w:t>
      </w:r>
      <w:r w:rsidR="00BB1BCD" w:rsidRPr="00E223E5">
        <w:rPr>
          <w:rFonts w:cstheme="minorHAnsi"/>
          <w:sz w:val="24"/>
          <w:szCs w:val="24"/>
          <w:rtl/>
        </w:rPr>
        <w:t>,</w:t>
      </w:r>
      <w:r w:rsidRPr="00E223E5">
        <w:rPr>
          <w:rFonts w:cstheme="minorHAnsi"/>
          <w:sz w:val="24"/>
          <w:szCs w:val="24"/>
          <w:rtl/>
        </w:rPr>
        <w:t xml:space="preserve"> </w:t>
      </w:r>
      <w:r w:rsidR="00BB1BCD" w:rsidRPr="00E223E5">
        <w:rPr>
          <w:rFonts w:cstheme="minorHAnsi"/>
          <w:sz w:val="24"/>
          <w:szCs w:val="24"/>
          <w:rtl/>
        </w:rPr>
        <w:t>ולנשים</w:t>
      </w:r>
      <w:r w:rsidR="00BB1BCD" w:rsidRPr="00E223E5">
        <w:rPr>
          <w:rFonts w:cstheme="minorHAnsi"/>
          <w:sz w:val="24"/>
          <w:szCs w:val="24"/>
        </w:rPr>
        <w:t xml:space="preserve"> </w:t>
      </w:r>
      <w:r w:rsidR="00BB1BCD" w:rsidRPr="00E223E5">
        <w:rPr>
          <w:rFonts w:cstheme="minorHAnsi"/>
          <w:sz w:val="24"/>
          <w:szCs w:val="24"/>
          <w:rtl/>
        </w:rPr>
        <w:t>המצויות בתהליך</w:t>
      </w:r>
      <w:r w:rsidR="00BB1BCD" w:rsidRPr="00E223E5">
        <w:rPr>
          <w:rFonts w:cstheme="minorHAnsi"/>
          <w:sz w:val="24"/>
          <w:szCs w:val="24"/>
        </w:rPr>
        <w:t xml:space="preserve"> </w:t>
      </w:r>
      <w:r w:rsidR="00BB1BCD" w:rsidRPr="00E223E5">
        <w:rPr>
          <w:rFonts w:cstheme="minorHAnsi"/>
          <w:sz w:val="24"/>
          <w:szCs w:val="24"/>
          <w:rtl/>
        </w:rPr>
        <w:t>היציאה ממעגל</w:t>
      </w:r>
      <w:r w:rsidR="00BB1BCD" w:rsidRPr="00E223E5">
        <w:rPr>
          <w:rFonts w:cstheme="minorHAnsi"/>
          <w:sz w:val="24"/>
          <w:szCs w:val="24"/>
        </w:rPr>
        <w:t xml:space="preserve"> </w:t>
      </w:r>
      <w:r w:rsidR="00BB1BCD" w:rsidRPr="00E223E5">
        <w:rPr>
          <w:rFonts w:cstheme="minorHAnsi"/>
          <w:sz w:val="24"/>
          <w:szCs w:val="24"/>
          <w:rtl/>
        </w:rPr>
        <w:t>הזנות.</w:t>
      </w:r>
    </w:p>
    <w:p w:rsidR="000C31F9" w:rsidRPr="00E223E5" w:rsidRDefault="002E5C11" w:rsidP="00E223E5">
      <w:pPr>
        <w:spacing w:line="360" w:lineRule="auto"/>
        <w:jc w:val="both"/>
        <w:rPr>
          <w:rFonts w:cstheme="minorHAnsi"/>
          <w:sz w:val="24"/>
          <w:szCs w:val="24"/>
          <w:rtl/>
        </w:rPr>
      </w:pPr>
      <w:r w:rsidRPr="00E223E5">
        <w:rPr>
          <w:rFonts w:cstheme="minorHAnsi"/>
          <w:sz w:val="24"/>
          <w:szCs w:val="24"/>
          <w:rtl/>
        </w:rPr>
        <w:t xml:space="preserve">מאז השקתה, סייעה האמנה </w:t>
      </w:r>
      <w:proofErr w:type="spellStart"/>
      <w:r w:rsidRPr="00E223E5">
        <w:rPr>
          <w:rFonts w:cstheme="minorHAnsi"/>
          <w:sz w:val="24"/>
          <w:szCs w:val="24"/>
          <w:rtl/>
        </w:rPr>
        <w:t>לכ</w:t>
      </w:r>
      <w:proofErr w:type="spellEnd"/>
      <w:r w:rsidRPr="00E223E5">
        <w:rPr>
          <w:rFonts w:cstheme="minorHAnsi"/>
          <w:sz w:val="24"/>
          <w:szCs w:val="24"/>
          <w:rtl/>
        </w:rPr>
        <w:t xml:space="preserve">- </w:t>
      </w:r>
      <w:r w:rsidR="00C530DF" w:rsidRPr="00E223E5">
        <w:rPr>
          <w:rFonts w:cstheme="minorHAnsi"/>
          <w:sz w:val="24"/>
          <w:szCs w:val="24"/>
          <w:rtl/>
        </w:rPr>
        <w:t xml:space="preserve">2,465 </w:t>
      </w:r>
      <w:r w:rsidRPr="00E223E5">
        <w:rPr>
          <w:rFonts w:cstheme="minorHAnsi"/>
          <w:sz w:val="24"/>
          <w:szCs w:val="24"/>
          <w:rtl/>
        </w:rPr>
        <w:t>נשים בהתמודדות עם האלימות הכלכלית במגוון נושאים, ביניהם: פתיחת חשבון חדש, הסדר חוב ובירור עיקולים, הקפאת משכנתא, בקשות ליציאה מחשבון משותף</w:t>
      </w:r>
      <w:r w:rsidR="00BB1BCD" w:rsidRPr="00E223E5">
        <w:rPr>
          <w:rFonts w:cstheme="minorHAnsi"/>
          <w:sz w:val="24"/>
          <w:szCs w:val="24"/>
          <w:rtl/>
        </w:rPr>
        <w:t>,</w:t>
      </w:r>
      <w:r w:rsidRPr="00E223E5">
        <w:rPr>
          <w:rFonts w:cstheme="minorHAnsi"/>
          <w:sz w:val="24"/>
          <w:szCs w:val="24"/>
          <w:rtl/>
        </w:rPr>
        <w:t xml:space="preserve"> גריעת בעלים מהחשבון, ביטול כרטיסי אשראי ועוד. </w:t>
      </w:r>
    </w:p>
    <w:p w:rsidR="00B46914" w:rsidRPr="00E223E5" w:rsidRDefault="00813270" w:rsidP="00E223E5">
      <w:pPr>
        <w:spacing w:after="0" w:line="360" w:lineRule="auto"/>
        <w:jc w:val="both"/>
        <w:rPr>
          <w:rFonts w:cstheme="minorHAnsi"/>
          <w:b/>
          <w:bCs/>
          <w:sz w:val="24"/>
          <w:szCs w:val="24"/>
          <w:rtl/>
        </w:rPr>
      </w:pPr>
      <w:r w:rsidRPr="00E223E5">
        <w:rPr>
          <w:rFonts w:cstheme="minorHAnsi"/>
          <w:b/>
          <w:bCs/>
          <w:sz w:val="24"/>
          <w:szCs w:val="24"/>
          <w:rtl/>
        </w:rPr>
        <w:t>דניאל חחיאשוילי</w:t>
      </w:r>
      <w:r w:rsidR="001B4434" w:rsidRPr="00E223E5">
        <w:rPr>
          <w:rFonts w:cstheme="minorHAnsi"/>
          <w:b/>
          <w:bCs/>
          <w:sz w:val="24"/>
          <w:szCs w:val="24"/>
          <w:rtl/>
        </w:rPr>
        <w:t xml:space="preserve">, המפקח על הבנקים: </w:t>
      </w:r>
    </w:p>
    <w:p w:rsidR="000D7199" w:rsidRPr="00E223E5" w:rsidRDefault="001B4434" w:rsidP="00E223E5">
      <w:pPr>
        <w:spacing w:after="0" w:line="360" w:lineRule="auto"/>
        <w:jc w:val="both"/>
        <w:rPr>
          <w:rFonts w:cstheme="minorHAnsi"/>
          <w:sz w:val="24"/>
          <w:szCs w:val="24"/>
          <w:rtl/>
        </w:rPr>
      </w:pPr>
      <w:r w:rsidRPr="00E223E5">
        <w:rPr>
          <w:rFonts w:cstheme="minorHAnsi"/>
          <w:sz w:val="24"/>
          <w:szCs w:val="24"/>
          <w:rtl/>
        </w:rPr>
        <w:t>"</w:t>
      </w:r>
      <w:r w:rsidR="0071321E" w:rsidRPr="00E223E5">
        <w:rPr>
          <w:rFonts w:cstheme="minorHAnsi"/>
          <w:sz w:val="24"/>
          <w:szCs w:val="24"/>
          <w:rtl/>
        </w:rPr>
        <w:t>הציפייה שלנו בפיקוח על הבנקים, מהתאגידים הבנקאיים, היא למעורבות ואחריות חברתית ענפה</w:t>
      </w:r>
      <w:r w:rsidR="00B46914" w:rsidRPr="00E223E5">
        <w:rPr>
          <w:rFonts w:cstheme="minorHAnsi"/>
          <w:sz w:val="24"/>
          <w:szCs w:val="24"/>
          <w:rtl/>
        </w:rPr>
        <w:t xml:space="preserve"> ולגילוי מעורבות גבוהה ומשמעותית בסיוע לקהילה.</w:t>
      </w:r>
      <w:r w:rsidR="00BC185B" w:rsidRPr="00E223E5">
        <w:rPr>
          <w:rFonts w:cstheme="minorHAnsi"/>
          <w:sz w:val="24"/>
          <w:szCs w:val="24"/>
          <w:rtl/>
        </w:rPr>
        <w:t xml:space="preserve"> אחריותה החברתית של המערכת הבנקאית באה לידי ביטוי ביתר שאת בתקופת המלחמה, בסיוע למגוון אוכלוסיות במצוקה: משפחות נרצחים, חטופים, פצועים, מפונים, אנשי מילואים ועוד. ציפייה זו מתממשת בין היתר גם בפעילות המבורכת </w:t>
      </w:r>
      <w:r w:rsidR="00417EAD" w:rsidRPr="00E223E5">
        <w:rPr>
          <w:rFonts w:cstheme="minorHAnsi"/>
          <w:sz w:val="24"/>
          <w:szCs w:val="24"/>
          <w:rtl/>
        </w:rPr>
        <w:t xml:space="preserve">ביישום </w:t>
      </w:r>
      <w:r w:rsidR="00BC185B" w:rsidRPr="00E223E5">
        <w:rPr>
          <w:rFonts w:cstheme="minorHAnsi"/>
          <w:sz w:val="24"/>
          <w:szCs w:val="24"/>
          <w:rtl/>
        </w:rPr>
        <w:t xml:space="preserve"> האמנה, במסגרתה מתגייסת המערכת הפיננסית לטובת נפגעות ונפגעי אלימות ואוכלוסיות </w:t>
      </w:r>
      <w:proofErr w:type="spellStart"/>
      <w:r w:rsidR="00BC185B" w:rsidRPr="00E223E5">
        <w:rPr>
          <w:rFonts w:cstheme="minorHAnsi"/>
          <w:sz w:val="24"/>
          <w:szCs w:val="24"/>
          <w:rtl/>
        </w:rPr>
        <w:t>שורדי</w:t>
      </w:r>
      <w:proofErr w:type="spellEnd"/>
      <w:r w:rsidR="00BC185B" w:rsidRPr="00E223E5">
        <w:rPr>
          <w:rFonts w:cstheme="minorHAnsi"/>
          <w:sz w:val="24"/>
          <w:szCs w:val="24"/>
          <w:rtl/>
        </w:rPr>
        <w:t xml:space="preserve"> מעגל הזנות, תוך הפעלת חשיבה יצירתית ואיתור פתרונות ייעודיים </w:t>
      </w:r>
      <w:r w:rsidR="00BC185B" w:rsidRPr="00E223E5">
        <w:rPr>
          <w:rFonts w:cstheme="minorHAnsi"/>
          <w:sz w:val="24"/>
          <w:szCs w:val="24"/>
          <w:rtl/>
        </w:rPr>
        <w:lastRenderedPageBreak/>
        <w:t xml:space="preserve">מותאמים לסוגיות המורכבות איתן הן מתמודדות. במיוחד בזמני משבר, </w:t>
      </w:r>
      <w:r w:rsidR="00523786" w:rsidRPr="00E223E5">
        <w:rPr>
          <w:rFonts w:cstheme="minorHAnsi"/>
          <w:sz w:val="24"/>
          <w:szCs w:val="24"/>
          <w:rtl/>
        </w:rPr>
        <w:t>הירתמותם של כלל המוסדות הפיננסיים לטובת העניין ראוי</w:t>
      </w:r>
      <w:r w:rsidR="00BC185B" w:rsidRPr="00E223E5">
        <w:rPr>
          <w:rFonts w:cstheme="minorHAnsi"/>
          <w:sz w:val="24"/>
          <w:szCs w:val="24"/>
          <w:rtl/>
        </w:rPr>
        <w:t>ה</w:t>
      </w:r>
      <w:r w:rsidR="00523786" w:rsidRPr="00E223E5">
        <w:rPr>
          <w:rFonts w:cstheme="minorHAnsi"/>
          <w:sz w:val="24"/>
          <w:szCs w:val="24"/>
          <w:rtl/>
        </w:rPr>
        <w:t xml:space="preserve"> להערכה רבה</w:t>
      </w:r>
      <w:r w:rsidR="000C31F9" w:rsidRPr="00E223E5">
        <w:rPr>
          <w:rFonts w:cstheme="minorHAnsi"/>
          <w:sz w:val="24"/>
          <w:szCs w:val="24"/>
          <w:rtl/>
        </w:rPr>
        <w:t>".</w:t>
      </w:r>
    </w:p>
    <w:p w:rsidR="00523786" w:rsidRPr="00E223E5" w:rsidRDefault="00523786" w:rsidP="00E223E5">
      <w:pPr>
        <w:spacing w:after="0" w:line="360" w:lineRule="auto"/>
        <w:jc w:val="both"/>
        <w:rPr>
          <w:rFonts w:cstheme="minorHAnsi"/>
          <w:sz w:val="24"/>
          <w:szCs w:val="24"/>
          <w:rtl/>
        </w:rPr>
      </w:pPr>
    </w:p>
    <w:p w:rsidR="00BB1BCD" w:rsidRPr="00E223E5" w:rsidRDefault="005D61D6" w:rsidP="00E223E5">
      <w:pPr>
        <w:spacing w:after="0" w:line="360" w:lineRule="auto"/>
        <w:jc w:val="both"/>
        <w:rPr>
          <w:rFonts w:cstheme="minorHAnsi"/>
          <w:sz w:val="24"/>
          <w:szCs w:val="24"/>
          <w:rtl/>
        </w:rPr>
      </w:pPr>
      <w:r w:rsidRPr="00E223E5">
        <w:rPr>
          <w:rFonts w:cstheme="minorHAnsi"/>
          <w:sz w:val="24"/>
          <w:szCs w:val="24"/>
          <w:rtl/>
        </w:rPr>
        <w:t>את המפגש פתח</w:t>
      </w:r>
      <w:r w:rsidR="00813270" w:rsidRPr="00E223E5">
        <w:rPr>
          <w:rFonts w:cstheme="minorHAnsi"/>
          <w:sz w:val="24"/>
          <w:szCs w:val="24"/>
          <w:rtl/>
        </w:rPr>
        <w:t>ו</w:t>
      </w:r>
      <w:r w:rsidRPr="00E223E5">
        <w:rPr>
          <w:rFonts w:cstheme="minorHAnsi"/>
          <w:sz w:val="24"/>
          <w:szCs w:val="24"/>
          <w:rtl/>
        </w:rPr>
        <w:t xml:space="preserve"> </w:t>
      </w:r>
      <w:r w:rsidR="00BB1BCD" w:rsidRPr="00E223E5">
        <w:rPr>
          <w:rFonts w:cstheme="minorHAnsi"/>
          <w:sz w:val="24"/>
          <w:szCs w:val="24"/>
          <w:rtl/>
        </w:rPr>
        <w:t xml:space="preserve">דניאל </w:t>
      </w:r>
      <w:proofErr w:type="spellStart"/>
      <w:r w:rsidR="00BB1BCD" w:rsidRPr="00E223E5">
        <w:rPr>
          <w:rFonts w:cstheme="minorHAnsi"/>
          <w:sz w:val="24"/>
          <w:szCs w:val="24"/>
          <w:rtl/>
        </w:rPr>
        <w:t>חחיאשווילי</w:t>
      </w:r>
      <w:proofErr w:type="spellEnd"/>
      <w:r w:rsidR="00BB1BCD" w:rsidRPr="00E223E5">
        <w:rPr>
          <w:rFonts w:cstheme="minorHAnsi"/>
          <w:sz w:val="24"/>
          <w:szCs w:val="24"/>
          <w:rtl/>
        </w:rPr>
        <w:t xml:space="preserve"> </w:t>
      </w:r>
      <w:r w:rsidR="006151C6" w:rsidRPr="00E223E5">
        <w:rPr>
          <w:rFonts w:cstheme="minorHAnsi"/>
          <w:sz w:val="24"/>
          <w:szCs w:val="24"/>
          <w:rtl/>
        </w:rPr>
        <w:t xml:space="preserve">- </w:t>
      </w:r>
      <w:r w:rsidRPr="00E223E5">
        <w:rPr>
          <w:rFonts w:cstheme="minorHAnsi"/>
          <w:sz w:val="24"/>
          <w:szCs w:val="24"/>
          <w:rtl/>
        </w:rPr>
        <w:t>המפקח על הבנקים</w:t>
      </w:r>
      <w:r w:rsidR="00813270" w:rsidRPr="00E223E5">
        <w:rPr>
          <w:rFonts w:cstheme="minorHAnsi"/>
          <w:sz w:val="24"/>
          <w:szCs w:val="24"/>
          <w:rtl/>
        </w:rPr>
        <w:t xml:space="preserve">, </w:t>
      </w:r>
      <w:r w:rsidR="00BB1BCD" w:rsidRPr="00E223E5">
        <w:rPr>
          <w:rFonts w:cstheme="minorHAnsi"/>
          <w:sz w:val="24"/>
          <w:szCs w:val="24"/>
          <w:rtl/>
        </w:rPr>
        <w:t>משה לארי</w:t>
      </w:r>
      <w:r w:rsidR="006151C6" w:rsidRPr="00E223E5">
        <w:rPr>
          <w:rFonts w:cstheme="minorHAnsi"/>
          <w:sz w:val="24"/>
          <w:szCs w:val="24"/>
          <w:rtl/>
        </w:rPr>
        <w:t xml:space="preserve"> -</w:t>
      </w:r>
      <w:r w:rsidR="00BB1BCD" w:rsidRPr="00E223E5">
        <w:rPr>
          <w:rFonts w:cstheme="minorHAnsi"/>
          <w:sz w:val="24"/>
          <w:szCs w:val="24"/>
          <w:rtl/>
        </w:rPr>
        <w:t xml:space="preserve"> </w:t>
      </w:r>
      <w:r w:rsidR="00813270" w:rsidRPr="00E223E5">
        <w:rPr>
          <w:rFonts w:cstheme="minorHAnsi"/>
          <w:sz w:val="24"/>
          <w:szCs w:val="24"/>
          <w:rtl/>
        </w:rPr>
        <w:t xml:space="preserve">מנכ"ל בנק מזרחי טפחות, </w:t>
      </w:r>
      <w:r w:rsidR="00BB1BCD" w:rsidRPr="00E223E5">
        <w:rPr>
          <w:rFonts w:cstheme="minorHAnsi"/>
          <w:sz w:val="24"/>
          <w:szCs w:val="24"/>
          <w:rtl/>
        </w:rPr>
        <w:t>איתן מדמון</w:t>
      </w:r>
      <w:r w:rsidR="006151C6" w:rsidRPr="00E223E5">
        <w:rPr>
          <w:rFonts w:cstheme="minorHAnsi"/>
          <w:sz w:val="24"/>
          <w:szCs w:val="24"/>
          <w:rtl/>
        </w:rPr>
        <w:t xml:space="preserve"> -</w:t>
      </w:r>
      <w:r w:rsidR="00BB1BCD" w:rsidRPr="00E223E5">
        <w:rPr>
          <w:rFonts w:cstheme="minorHAnsi"/>
          <w:sz w:val="24"/>
          <w:szCs w:val="24"/>
          <w:rtl/>
        </w:rPr>
        <w:t xml:space="preserve"> </w:t>
      </w:r>
      <w:r w:rsidR="00813270" w:rsidRPr="00E223E5">
        <w:rPr>
          <w:rFonts w:cstheme="minorHAnsi"/>
          <w:sz w:val="24"/>
          <w:szCs w:val="24"/>
          <w:rtl/>
        </w:rPr>
        <w:t>מנכ"ל איגוד הבנקים ו</w:t>
      </w:r>
      <w:r w:rsidR="00BB1BCD" w:rsidRPr="00E223E5">
        <w:rPr>
          <w:rFonts w:cstheme="minorHAnsi"/>
          <w:sz w:val="24"/>
          <w:szCs w:val="24"/>
          <w:rtl/>
        </w:rPr>
        <w:t xml:space="preserve">מלי אורגד </w:t>
      </w:r>
      <w:r w:rsidR="006151C6" w:rsidRPr="00E223E5">
        <w:rPr>
          <w:rFonts w:cstheme="minorHAnsi"/>
          <w:sz w:val="24"/>
          <w:szCs w:val="24"/>
          <w:rtl/>
        </w:rPr>
        <w:t xml:space="preserve">- </w:t>
      </w:r>
      <w:r w:rsidR="00813270" w:rsidRPr="00E223E5">
        <w:rPr>
          <w:rFonts w:cstheme="minorHAnsi"/>
          <w:sz w:val="24"/>
          <w:szCs w:val="24"/>
          <w:rtl/>
        </w:rPr>
        <w:t>מנהלת</w:t>
      </w:r>
      <w:r w:rsidR="006F2666" w:rsidRPr="00E223E5">
        <w:rPr>
          <w:rFonts w:cstheme="minorHAnsi"/>
          <w:sz w:val="24"/>
          <w:szCs w:val="24"/>
          <w:rtl/>
        </w:rPr>
        <w:t xml:space="preserve"> השירות לטיפול במצבי טראומה ומשבר במשרד הרווחה והביטחון החברתי.</w:t>
      </w:r>
      <w:r w:rsidR="00813270" w:rsidRPr="00E223E5">
        <w:rPr>
          <w:rFonts w:cstheme="minorHAnsi"/>
          <w:sz w:val="24"/>
          <w:szCs w:val="24"/>
          <w:rtl/>
        </w:rPr>
        <w:t xml:space="preserve"> </w:t>
      </w:r>
    </w:p>
    <w:p w:rsidR="006F2666" w:rsidRPr="00E223E5" w:rsidRDefault="006F2666" w:rsidP="00E223E5">
      <w:pPr>
        <w:spacing w:after="0" w:line="360" w:lineRule="auto"/>
        <w:jc w:val="both"/>
        <w:rPr>
          <w:rFonts w:cstheme="minorHAnsi"/>
          <w:sz w:val="24"/>
          <w:szCs w:val="24"/>
          <w:rtl/>
        </w:rPr>
      </w:pPr>
      <w:r w:rsidRPr="00E223E5">
        <w:rPr>
          <w:rFonts w:cstheme="minorHAnsi"/>
          <w:sz w:val="24"/>
          <w:szCs w:val="24"/>
          <w:rtl/>
        </w:rPr>
        <w:t>דברי המפקח</w:t>
      </w:r>
      <w:r w:rsidR="005D61D6" w:rsidRPr="00E223E5">
        <w:rPr>
          <w:rFonts w:cstheme="minorHAnsi"/>
          <w:sz w:val="24"/>
          <w:szCs w:val="24"/>
          <w:rtl/>
        </w:rPr>
        <w:t xml:space="preserve"> מצורפים במלואם להודעה זו. </w:t>
      </w:r>
    </w:p>
    <w:p w:rsidR="002658A3" w:rsidRPr="00E223E5" w:rsidRDefault="005D61D6" w:rsidP="00E223E5">
      <w:pPr>
        <w:spacing w:after="0" w:line="360" w:lineRule="auto"/>
        <w:jc w:val="both"/>
        <w:rPr>
          <w:rFonts w:cstheme="minorHAnsi"/>
          <w:sz w:val="24"/>
          <w:szCs w:val="24"/>
          <w:rtl/>
        </w:rPr>
      </w:pPr>
      <w:r w:rsidRPr="00E223E5">
        <w:rPr>
          <w:rFonts w:cstheme="minorHAnsi"/>
          <w:sz w:val="24"/>
          <w:szCs w:val="24"/>
          <w:rtl/>
        </w:rPr>
        <w:t>בנוסף כיבדו בנוכחותם מספר דובר</w:t>
      </w:r>
      <w:r w:rsidR="003457C2" w:rsidRPr="00E223E5">
        <w:rPr>
          <w:rFonts w:cstheme="minorHAnsi"/>
          <w:sz w:val="24"/>
          <w:szCs w:val="24"/>
          <w:rtl/>
        </w:rPr>
        <w:t>ות</w:t>
      </w:r>
      <w:r w:rsidRPr="00E223E5">
        <w:rPr>
          <w:rFonts w:cstheme="minorHAnsi"/>
          <w:sz w:val="24"/>
          <w:szCs w:val="24"/>
          <w:rtl/>
        </w:rPr>
        <w:t xml:space="preserve"> ודובר</w:t>
      </w:r>
      <w:r w:rsidR="003457C2" w:rsidRPr="00E223E5">
        <w:rPr>
          <w:rFonts w:cstheme="minorHAnsi"/>
          <w:sz w:val="24"/>
          <w:szCs w:val="24"/>
          <w:rtl/>
        </w:rPr>
        <w:t>ים</w:t>
      </w:r>
      <w:r w:rsidRPr="00E223E5">
        <w:rPr>
          <w:rFonts w:cstheme="minorHAnsi"/>
          <w:sz w:val="24"/>
          <w:szCs w:val="24"/>
          <w:rtl/>
        </w:rPr>
        <w:t xml:space="preserve"> אשר העשירו את המשתתפים בהרצאותיהם; </w:t>
      </w:r>
    </w:p>
    <w:p w:rsidR="002658A3" w:rsidRPr="00E223E5" w:rsidRDefault="006F2666" w:rsidP="00E223E5">
      <w:pPr>
        <w:spacing w:after="0" w:line="360" w:lineRule="auto"/>
        <w:jc w:val="both"/>
        <w:rPr>
          <w:rFonts w:cstheme="minorHAnsi"/>
          <w:sz w:val="24"/>
          <w:szCs w:val="24"/>
          <w:rtl/>
        </w:rPr>
      </w:pPr>
      <w:r w:rsidRPr="00E223E5">
        <w:rPr>
          <w:rFonts w:cstheme="minorHAnsi"/>
          <w:sz w:val="24"/>
          <w:szCs w:val="24"/>
          <w:rtl/>
        </w:rPr>
        <w:t xml:space="preserve">ח"כ מירב כהן שמקדמת את החקיקה העוסקת במניעת אלימות כלכלית; </w:t>
      </w:r>
    </w:p>
    <w:p w:rsidR="002658A3" w:rsidRPr="00E223E5" w:rsidRDefault="006F2666" w:rsidP="00E223E5">
      <w:pPr>
        <w:spacing w:after="0" w:line="360" w:lineRule="auto"/>
        <w:jc w:val="both"/>
        <w:rPr>
          <w:rFonts w:cstheme="minorHAnsi"/>
          <w:sz w:val="24"/>
          <w:szCs w:val="24"/>
          <w:rtl/>
        </w:rPr>
      </w:pPr>
      <w:r w:rsidRPr="00E223E5">
        <w:rPr>
          <w:rFonts w:cstheme="minorHAnsi"/>
          <w:sz w:val="24"/>
          <w:szCs w:val="24"/>
          <w:rtl/>
        </w:rPr>
        <w:t xml:space="preserve">ליאור אביאל מנהלת תחום הדיור וההוסטלים בעמותת אנוש אשר </w:t>
      </w:r>
      <w:r w:rsidR="009E261E" w:rsidRPr="00E223E5">
        <w:rPr>
          <w:rFonts w:cstheme="minorHAnsi"/>
          <w:sz w:val="24"/>
          <w:szCs w:val="24"/>
          <w:rtl/>
        </w:rPr>
        <w:t xml:space="preserve">הרחיבה את היריעה על הפרעת דחק פוסט טראומטית ועל הקשר האפשרי לאלימות פיזית וכלכלית; </w:t>
      </w:r>
    </w:p>
    <w:p w:rsidR="003F68A6" w:rsidRPr="00E223E5" w:rsidRDefault="009E261E" w:rsidP="00E223E5">
      <w:pPr>
        <w:spacing w:after="0" w:line="360" w:lineRule="auto"/>
        <w:jc w:val="both"/>
        <w:rPr>
          <w:rFonts w:cstheme="minorHAnsi"/>
          <w:sz w:val="24"/>
          <w:szCs w:val="24"/>
          <w:rtl/>
        </w:rPr>
      </w:pPr>
      <w:r w:rsidRPr="00E223E5">
        <w:rPr>
          <w:rFonts w:cstheme="minorHAnsi"/>
          <w:sz w:val="24"/>
          <w:szCs w:val="24"/>
          <w:rtl/>
        </w:rPr>
        <w:t xml:space="preserve">גבריאלה ואלי פורמן שיר אשר שיתפו בחוויה הזוגית </w:t>
      </w:r>
      <w:r w:rsidR="0073535F" w:rsidRPr="00E223E5">
        <w:rPr>
          <w:rFonts w:cstheme="minorHAnsi"/>
          <w:sz w:val="24"/>
          <w:szCs w:val="24"/>
          <w:rtl/>
        </w:rPr>
        <w:t>בהתמודדות</w:t>
      </w:r>
      <w:r w:rsidRPr="00E223E5">
        <w:rPr>
          <w:rFonts w:cstheme="minorHAnsi"/>
          <w:sz w:val="24"/>
          <w:szCs w:val="24"/>
          <w:rtl/>
        </w:rPr>
        <w:t xml:space="preserve"> עם הלם קרב ועל חשיבות העלאת המודעות, והשיח בנושא</w:t>
      </w:r>
      <w:r w:rsidR="00417EAD" w:rsidRPr="00E223E5">
        <w:rPr>
          <w:rFonts w:cstheme="minorHAnsi"/>
          <w:sz w:val="24"/>
          <w:szCs w:val="24"/>
          <w:rtl/>
        </w:rPr>
        <w:t xml:space="preserve"> זה</w:t>
      </w:r>
      <w:r w:rsidRPr="00E223E5">
        <w:rPr>
          <w:rFonts w:cstheme="minorHAnsi"/>
          <w:sz w:val="24"/>
          <w:szCs w:val="24"/>
          <w:rtl/>
        </w:rPr>
        <w:t xml:space="preserve">; </w:t>
      </w:r>
    </w:p>
    <w:p w:rsidR="003F68A6" w:rsidRPr="00E223E5" w:rsidRDefault="009E261E" w:rsidP="00E223E5">
      <w:pPr>
        <w:spacing w:after="0" w:line="360" w:lineRule="auto"/>
        <w:jc w:val="both"/>
        <w:rPr>
          <w:rFonts w:cstheme="minorHAnsi"/>
          <w:sz w:val="24"/>
          <w:szCs w:val="24"/>
          <w:rtl/>
        </w:rPr>
      </w:pPr>
      <w:r w:rsidRPr="00E223E5">
        <w:rPr>
          <w:rFonts w:cstheme="minorHAnsi"/>
          <w:sz w:val="24"/>
          <w:szCs w:val="24"/>
          <w:rtl/>
        </w:rPr>
        <w:t xml:space="preserve">יעל מרון, מנהלת תכנית דירות מעבר בעמותת </w:t>
      </w:r>
      <w:r w:rsidR="00417EAD" w:rsidRPr="00E223E5">
        <w:rPr>
          <w:rFonts w:cstheme="minorHAnsi"/>
          <w:sz w:val="24"/>
          <w:szCs w:val="24"/>
          <w:rtl/>
        </w:rPr>
        <w:t>"</w:t>
      </w:r>
      <w:r w:rsidRPr="00E223E5">
        <w:rPr>
          <w:rFonts w:cstheme="minorHAnsi"/>
          <w:sz w:val="24"/>
          <w:szCs w:val="24"/>
          <w:rtl/>
        </w:rPr>
        <w:t>א</w:t>
      </w:r>
      <w:r w:rsidR="00417EAD" w:rsidRPr="00E223E5">
        <w:rPr>
          <w:rFonts w:cstheme="minorHAnsi"/>
          <w:sz w:val="24"/>
          <w:szCs w:val="24"/>
          <w:rtl/>
        </w:rPr>
        <w:t>י</w:t>
      </w:r>
      <w:r w:rsidRPr="00E223E5">
        <w:rPr>
          <w:rFonts w:cstheme="minorHAnsi"/>
          <w:sz w:val="24"/>
          <w:szCs w:val="24"/>
          <w:rtl/>
        </w:rPr>
        <w:t>שה לא</w:t>
      </w:r>
      <w:r w:rsidR="00C530DF" w:rsidRPr="00E223E5">
        <w:rPr>
          <w:rFonts w:cstheme="minorHAnsi"/>
          <w:sz w:val="24"/>
          <w:szCs w:val="24"/>
          <w:rtl/>
        </w:rPr>
        <w:t>י</w:t>
      </w:r>
      <w:r w:rsidRPr="00E223E5">
        <w:rPr>
          <w:rFonts w:cstheme="minorHAnsi"/>
          <w:sz w:val="24"/>
          <w:szCs w:val="24"/>
          <w:rtl/>
        </w:rPr>
        <w:t>שה</w:t>
      </w:r>
      <w:r w:rsidR="00417EAD" w:rsidRPr="00E223E5">
        <w:rPr>
          <w:rFonts w:cstheme="minorHAnsi"/>
          <w:sz w:val="24"/>
          <w:szCs w:val="24"/>
          <w:rtl/>
        </w:rPr>
        <w:t>"</w:t>
      </w:r>
      <w:r w:rsidRPr="00E223E5">
        <w:rPr>
          <w:rFonts w:cstheme="minorHAnsi"/>
          <w:sz w:val="24"/>
          <w:szCs w:val="24"/>
          <w:rtl/>
        </w:rPr>
        <w:t xml:space="preserve"> אשר הנחתה שיח בנושא אתגרי השיקום של נשים נפגעות אלימות בצל מלחמה</w:t>
      </w:r>
      <w:r w:rsidR="0073535F" w:rsidRPr="00E223E5">
        <w:rPr>
          <w:rFonts w:cstheme="minorHAnsi"/>
          <w:sz w:val="24"/>
          <w:szCs w:val="24"/>
          <w:rtl/>
        </w:rPr>
        <w:t xml:space="preserve">. בשיח השתתפו: דפנה בריל, עובדת סוציאלית בעמותת </w:t>
      </w:r>
      <w:r w:rsidR="00417EAD" w:rsidRPr="00E223E5">
        <w:rPr>
          <w:rFonts w:cstheme="minorHAnsi"/>
          <w:sz w:val="24"/>
          <w:szCs w:val="24"/>
          <w:rtl/>
        </w:rPr>
        <w:t>"</w:t>
      </w:r>
      <w:r w:rsidR="0073535F" w:rsidRPr="00E223E5">
        <w:rPr>
          <w:rFonts w:cstheme="minorHAnsi"/>
          <w:sz w:val="24"/>
          <w:szCs w:val="24"/>
          <w:rtl/>
        </w:rPr>
        <w:t>א</w:t>
      </w:r>
      <w:r w:rsidR="00417EAD" w:rsidRPr="00E223E5">
        <w:rPr>
          <w:rFonts w:cstheme="minorHAnsi"/>
          <w:sz w:val="24"/>
          <w:szCs w:val="24"/>
          <w:rtl/>
        </w:rPr>
        <w:t>י</w:t>
      </w:r>
      <w:r w:rsidR="0073535F" w:rsidRPr="00E223E5">
        <w:rPr>
          <w:rFonts w:cstheme="minorHAnsi"/>
          <w:sz w:val="24"/>
          <w:szCs w:val="24"/>
          <w:rtl/>
        </w:rPr>
        <w:t>שה לא</w:t>
      </w:r>
      <w:r w:rsidR="00C530DF" w:rsidRPr="00E223E5">
        <w:rPr>
          <w:rFonts w:cstheme="minorHAnsi"/>
          <w:sz w:val="24"/>
          <w:szCs w:val="24"/>
          <w:rtl/>
        </w:rPr>
        <w:t>י</w:t>
      </w:r>
      <w:r w:rsidR="0073535F" w:rsidRPr="00E223E5">
        <w:rPr>
          <w:rFonts w:cstheme="minorHAnsi"/>
          <w:sz w:val="24"/>
          <w:szCs w:val="24"/>
          <w:rtl/>
        </w:rPr>
        <w:t>שה</w:t>
      </w:r>
      <w:r w:rsidR="00417EAD" w:rsidRPr="00E223E5">
        <w:rPr>
          <w:rFonts w:cstheme="minorHAnsi"/>
          <w:sz w:val="24"/>
          <w:szCs w:val="24"/>
          <w:rtl/>
        </w:rPr>
        <w:t>"</w:t>
      </w:r>
      <w:r w:rsidR="0073535F" w:rsidRPr="00E223E5">
        <w:rPr>
          <w:rFonts w:cstheme="minorHAnsi"/>
          <w:sz w:val="24"/>
          <w:szCs w:val="24"/>
          <w:rtl/>
        </w:rPr>
        <w:t xml:space="preserve">, שרון גולד נציבת פניות הציבור בבנק הפועלים וישראלה סלומון ששיתפה </w:t>
      </w:r>
      <w:r w:rsidR="00417EAD" w:rsidRPr="00E223E5">
        <w:rPr>
          <w:rFonts w:cstheme="minorHAnsi"/>
          <w:sz w:val="24"/>
          <w:szCs w:val="24"/>
          <w:rtl/>
        </w:rPr>
        <w:t>בסיפורה האישי</w:t>
      </w:r>
      <w:r w:rsidR="00C530DF" w:rsidRPr="00E223E5">
        <w:rPr>
          <w:rFonts w:cstheme="minorHAnsi"/>
          <w:sz w:val="24"/>
          <w:szCs w:val="24"/>
          <w:rtl/>
        </w:rPr>
        <w:t>.</w:t>
      </w:r>
      <w:r w:rsidR="00C530DF" w:rsidRPr="00E223E5" w:rsidDel="00C530DF">
        <w:rPr>
          <w:rFonts w:cstheme="minorHAnsi"/>
          <w:sz w:val="24"/>
          <w:szCs w:val="24"/>
          <w:rtl/>
        </w:rPr>
        <w:t xml:space="preserve"> </w:t>
      </w:r>
    </w:p>
    <w:p w:rsidR="003F68A6" w:rsidRPr="00E223E5" w:rsidRDefault="0073535F" w:rsidP="00E223E5">
      <w:pPr>
        <w:spacing w:after="0" w:line="360" w:lineRule="auto"/>
        <w:jc w:val="both"/>
        <w:rPr>
          <w:rFonts w:cstheme="minorHAnsi"/>
          <w:sz w:val="24"/>
          <w:szCs w:val="24"/>
          <w:u w:val="single"/>
          <w:rtl/>
        </w:rPr>
      </w:pPr>
      <w:r w:rsidRPr="00E223E5">
        <w:rPr>
          <w:rFonts w:cstheme="minorHAnsi"/>
          <w:sz w:val="24"/>
          <w:szCs w:val="24"/>
          <w:rtl/>
        </w:rPr>
        <w:t>את הכנס חתם פאנל בנושא הגברת מודעות הבנקאים לזיהוי אלימות כלכלית</w:t>
      </w:r>
      <w:r w:rsidR="00417EAD" w:rsidRPr="00E223E5">
        <w:rPr>
          <w:rFonts w:cstheme="minorHAnsi"/>
          <w:sz w:val="24"/>
          <w:szCs w:val="24"/>
          <w:rtl/>
        </w:rPr>
        <w:t xml:space="preserve"> שעסק ביוזמות למניעת אלימות כלכלית ובתפקיד של המערכת הבנקאית בתחום זה</w:t>
      </w:r>
      <w:r w:rsidRPr="00E223E5">
        <w:rPr>
          <w:rFonts w:cstheme="minorHAnsi"/>
          <w:sz w:val="24"/>
          <w:szCs w:val="24"/>
          <w:rtl/>
        </w:rPr>
        <w:t xml:space="preserve">. </w:t>
      </w:r>
      <w:r w:rsidR="00417EAD" w:rsidRPr="00E223E5">
        <w:rPr>
          <w:rFonts w:cstheme="minorHAnsi"/>
          <w:sz w:val="24"/>
          <w:szCs w:val="24"/>
          <w:rtl/>
        </w:rPr>
        <w:t xml:space="preserve">את הפאנל הנחה </w:t>
      </w:r>
      <w:r w:rsidRPr="00E223E5">
        <w:rPr>
          <w:rFonts w:cstheme="minorHAnsi"/>
          <w:sz w:val="24"/>
          <w:szCs w:val="24"/>
          <w:rtl/>
        </w:rPr>
        <w:t>טיבי רבינוביץ</w:t>
      </w:r>
      <w:r w:rsidR="00EB5586" w:rsidRPr="00E223E5">
        <w:rPr>
          <w:rFonts w:cstheme="minorHAnsi"/>
          <w:sz w:val="24"/>
          <w:szCs w:val="24"/>
          <w:rtl/>
        </w:rPr>
        <w:t>'</w:t>
      </w:r>
      <w:r w:rsidR="008F7C60" w:rsidRPr="00E223E5">
        <w:rPr>
          <w:rFonts w:cstheme="minorHAnsi"/>
          <w:sz w:val="24"/>
          <w:szCs w:val="24"/>
          <w:rtl/>
        </w:rPr>
        <w:t xml:space="preserve"> -</w:t>
      </w:r>
      <w:r w:rsidRPr="00E223E5">
        <w:rPr>
          <w:rFonts w:cstheme="minorHAnsi"/>
          <w:sz w:val="24"/>
          <w:szCs w:val="24"/>
          <w:rtl/>
        </w:rPr>
        <w:t xml:space="preserve"> מנהל קשרי חוץ באיגוד הבנקים</w:t>
      </w:r>
      <w:r w:rsidR="003F68A6" w:rsidRPr="00E223E5">
        <w:rPr>
          <w:rFonts w:cstheme="minorHAnsi"/>
          <w:sz w:val="24"/>
          <w:szCs w:val="24"/>
          <w:rtl/>
        </w:rPr>
        <w:t>,</w:t>
      </w:r>
      <w:r w:rsidRPr="00E223E5">
        <w:rPr>
          <w:rFonts w:cstheme="minorHAnsi"/>
          <w:sz w:val="24"/>
          <w:szCs w:val="24"/>
          <w:rtl/>
        </w:rPr>
        <w:t xml:space="preserve"> אשר שוחח עם</w:t>
      </w:r>
      <w:r w:rsidR="00EB5586" w:rsidRPr="00E223E5">
        <w:rPr>
          <w:rFonts w:cstheme="minorHAnsi"/>
          <w:sz w:val="24"/>
          <w:szCs w:val="24"/>
          <w:rtl/>
        </w:rPr>
        <w:t xml:space="preserve"> עודדה פרץ </w:t>
      </w:r>
      <w:r w:rsidR="008F7C60" w:rsidRPr="00E223E5">
        <w:rPr>
          <w:rFonts w:cstheme="minorHAnsi"/>
          <w:sz w:val="24"/>
          <w:szCs w:val="24"/>
          <w:rtl/>
        </w:rPr>
        <w:t>-</w:t>
      </w:r>
      <w:r w:rsidR="00EB5586" w:rsidRPr="00E223E5">
        <w:rPr>
          <w:rFonts w:cstheme="minorHAnsi"/>
          <w:sz w:val="24"/>
          <w:szCs w:val="24"/>
          <w:rtl/>
        </w:rPr>
        <w:t xml:space="preserve">סגנית המפקח על הבנקים, </w:t>
      </w:r>
      <w:r w:rsidRPr="00E223E5">
        <w:rPr>
          <w:rFonts w:cstheme="minorHAnsi"/>
          <w:sz w:val="24"/>
          <w:szCs w:val="24"/>
          <w:rtl/>
        </w:rPr>
        <w:t xml:space="preserve">ד"ר מרב שמואלי </w:t>
      </w:r>
      <w:r w:rsidR="008F7C60" w:rsidRPr="00E223E5">
        <w:rPr>
          <w:rFonts w:cstheme="minorHAnsi"/>
          <w:sz w:val="24"/>
          <w:szCs w:val="24"/>
          <w:rtl/>
        </w:rPr>
        <w:t xml:space="preserve">- </w:t>
      </w:r>
      <w:r w:rsidRPr="00E223E5">
        <w:rPr>
          <w:rFonts w:cstheme="minorHAnsi"/>
          <w:sz w:val="24"/>
          <w:szCs w:val="24"/>
          <w:rtl/>
        </w:rPr>
        <w:t xml:space="preserve">מנהלת תחום שינוי מדיניות וחקיקה בעמותת רוח נשית, דקלה צרפתי </w:t>
      </w:r>
      <w:proofErr w:type="spellStart"/>
      <w:r w:rsidRPr="00E223E5">
        <w:rPr>
          <w:rFonts w:cstheme="minorHAnsi"/>
          <w:sz w:val="24"/>
          <w:szCs w:val="24"/>
          <w:rtl/>
        </w:rPr>
        <w:t>דלג'ו</w:t>
      </w:r>
      <w:proofErr w:type="spellEnd"/>
      <w:r w:rsidRPr="00E223E5">
        <w:rPr>
          <w:rFonts w:cstheme="minorHAnsi"/>
          <w:sz w:val="24"/>
          <w:szCs w:val="24"/>
          <w:rtl/>
        </w:rPr>
        <w:t xml:space="preserve"> </w:t>
      </w:r>
      <w:r w:rsidR="008F7C60" w:rsidRPr="00E223E5">
        <w:rPr>
          <w:rFonts w:cstheme="minorHAnsi"/>
          <w:sz w:val="24"/>
          <w:szCs w:val="24"/>
          <w:rtl/>
        </w:rPr>
        <w:t xml:space="preserve">- </w:t>
      </w:r>
      <w:r w:rsidRPr="00E223E5">
        <w:rPr>
          <w:rFonts w:cstheme="minorHAnsi"/>
          <w:sz w:val="24"/>
          <w:szCs w:val="24"/>
          <w:rtl/>
        </w:rPr>
        <w:t xml:space="preserve">סגנית מנהלת מחוז מרכז הסיוע המשפטי של משרד המשפטים, רננה לוין </w:t>
      </w:r>
      <w:proofErr w:type="spellStart"/>
      <w:r w:rsidRPr="00E223E5">
        <w:rPr>
          <w:rFonts w:cstheme="minorHAnsi"/>
          <w:sz w:val="24"/>
          <w:szCs w:val="24"/>
          <w:rtl/>
        </w:rPr>
        <w:t>פשקוס</w:t>
      </w:r>
      <w:proofErr w:type="spellEnd"/>
      <w:r w:rsidRPr="00E223E5">
        <w:rPr>
          <w:rFonts w:cstheme="minorHAnsi"/>
          <w:sz w:val="24"/>
          <w:szCs w:val="24"/>
          <w:rtl/>
        </w:rPr>
        <w:t xml:space="preserve"> </w:t>
      </w:r>
      <w:r w:rsidR="008F7C60" w:rsidRPr="00E223E5">
        <w:rPr>
          <w:rFonts w:cstheme="minorHAnsi"/>
          <w:sz w:val="24"/>
          <w:szCs w:val="24"/>
          <w:rtl/>
        </w:rPr>
        <w:t xml:space="preserve">- </w:t>
      </w:r>
      <w:r w:rsidRPr="00E223E5">
        <w:rPr>
          <w:rFonts w:cstheme="minorHAnsi"/>
          <w:sz w:val="24"/>
          <w:szCs w:val="24"/>
          <w:rtl/>
        </w:rPr>
        <w:t xml:space="preserve">מנהלת תחום בכירה בקרן </w:t>
      </w:r>
      <w:proofErr w:type="spellStart"/>
      <w:r w:rsidRPr="00E223E5">
        <w:rPr>
          <w:rFonts w:cstheme="minorHAnsi"/>
          <w:sz w:val="24"/>
          <w:szCs w:val="24"/>
          <w:rtl/>
        </w:rPr>
        <w:t>שוסטרמן</w:t>
      </w:r>
      <w:proofErr w:type="spellEnd"/>
      <w:r w:rsidRPr="00E223E5">
        <w:rPr>
          <w:rFonts w:cstheme="minorHAnsi"/>
          <w:sz w:val="24"/>
          <w:szCs w:val="24"/>
          <w:rtl/>
        </w:rPr>
        <w:t xml:space="preserve"> והילה זך </w:t>
      </w:r>
      <w:r w:rsidR="008F7C60" w:rsidRPr="00E223E5">
        <w:rPr>
          <w:rFonts w:cstheme="minorHAnsi"/>
          <w:sz w:val="24"/>
          <w:szCs w:val="24"/>
          <w:rtl/>
        </w:rPr>
        <w:t xml:space="preserve">- </w:t>
      </w:r>
      <w:r w:rsidRPr="00E223E5">
        <w:rPr>
          <w:rFonts w:cstheme="minorHAnsi"/>
          <w:sz w:val="24"/>
          <w:szCs w:val="24"/>
          <w:rtl/>
        </w:rPr>
        <w:t>מנהלת אגף לקו</w:t>
      </w:r>
      <w:r w:rsidR="00EB5586" w:rsidRPr="00E223E5">
        <w:rPr>
          <w:rFonts w:cstheme="minorHAnsi"/>
          <w:sz w:val="24"/>
          <w:szCs w:val="24"/>
          <w:rtl/>
        </w:rPr>
        <w:t>חות בחטיבה הבנקאית בבנק דיסקונט</w:t>
      </w:r>
      <w:r w:rsidR="00417EAD" w:rsidRPr="00E223E5">
        <w:rPr>
          <w:rFonts w:cstheme="minorHAnsi"/>
          <w:sz w:val="24"/>
          <w:szCs w:val="24"/>
          <w:rtl/>
        </w:rPr>
        <w:t>.</w:t>
      </w:r>
    </w:p>
    <w:p w:rsidR="00BB1BCD" w:rsidRPr="00E223E5" w:rsidRDefault="00BB1BCD" w:rsidP="00E223E5">
      <w:pPr>
        <w:spacing w:line="360" w:lineRule="auto"/>
        <w:jc w:val="both"/>
        <w:rPr>
          <w:rFonts w:cstheme="minorHAnsi"/>
          <w:sz w:val="24"/>
          <w:szCs w:val="24"/>
          <w:u w:val="single"/>
          <w:rtl/>
        </w:rPr>
      </w:pPr>
    </w:p>
    <w:p w:rsidR="00F7471D" w:rsidRPr="00E223E5" w:rsidRDefault="00F7471D" w:rsidP="00E223E5">
      <w:pPr>
        <w:spacing w:line="360" w:lineRule="auto"/>
        <w:jc w:val="both"/>
        <w:rPr>
          <w:rFonts w:cstheme="minorHAnsi"/>
          <w:sz w:val="24"/>
          <w:szCs w:val="24"/>
          <w:rtl/>
        </w:rPr>
      </w:pPr>
      <w:r w:rsidRPr="00E223E5">
        <w:rPr>
          <w:rFonts w:cstheme="minorHAnsi"/>
          <w:sz w:val="24"/>
          <w:szCs w:val="24"/>
          <w:u w:val="single"/>
          <w:rtl/>
        </w:rPr>
        <w:t>מצ"ב</w:t>
      </w:r>
      <w:r w:rsidRPr="00E223E5">
        <w:rPr>
          <w:rFonts w:cstheme="minorHAnsi"/>
          <w:sz w:val="24"/>
          <w:szCs w:val="24"/>
          <w:rtl/>
        </w:rPr>
        <w:t xml:space="preserve">: </w:t>
      </w:r>
    </w:p>
    <w:p w:rsidR="00F7471D" w:rsidRPr="00E223E5" w:rsidRDefault="00F7471D" w:rsidP="00E223E5">
      <w:pPr>
        <w:spacing w:line="360" w:lineRule="auto"/>
        <w:jc w:val="both"/>
        <w:rPr>
          <w:rFonts w:cstheme="minorHAnsi"/>
          <w:b/>
          <w:bCs/>
          <w:sz w:val="24"/>
          <w:szCs w:val="24"/>
          <w:rtl/>
        </w:rPr>
      </w:pPr>
      <w:r w:rsidRPr="00E223E5">
        <w:rPr>
          <w:rFonts w:cstheme="minorHAnsi"/>
          <w:b/>
          <w:bCs/>
          <w:sz w:val="24"/>
          <w:szCs w:val="24"/>
          <w:rtl/>
        </w:rPr>
        <w:t>דברי הפתיחה של המפקח על הבנקים</w:t>
      </w:r>
    </w:p>
    <w:p w:rsidR="00C530DF" w:rsidRPr="00E223E5" w:rsidRDefault="006B5461" w:rsidP="00E223E5">
      <w:pPr>
        <w:pStyle w:val="NormalWeb"/>
        <w:shd w:val="clear" w:color="auto" w:fill="FFFFFF"/>
        <w:spacing w:before="0" w:beforeAutospacing="0" w:line="360" w:lineRule="auto"/>
        <w:jc w:val="right"/>
        <w:rPr>
          <w:rFonts w:asciiTheme="minorHAnsi" w:eastAsiaTheme="minorHAnsi" w:hAnsiTheme="minorHAnsi" w:cstheme="minorHAnsi"/>
        </w:rPr>
      </w:pPr>
      <w:hyperlink r:id="rId12" w:history="1">
        <w:r w:rsidR="00C530DF" w:rsidRPr="00E223E5">
          <w:rPr>
            <w:rStyle w:val="Hyperlink"/>
            <w:rFonts w:asciiTheme="minorHAnsi" w:eastAsiaTheme="minorHAnsi" w:hAnsiTheme="minorHAnsi" w:cstheme="minorHAnsi"/>
            <w:rtl/>
          </w:rPr>
          <w:t>אמנת זמינות פיננסית</w:t>
        </w:r>
      </w:hyperlink>
      <w:r w:rsidR="00C530DF" w:rsidRPr="00E223E5">
        <w:rPr>
          <w:rFonts w:asciiTheme="minorHAnsi" w:eastAsiaTheme="minorHAnsi" w:hAnsiTheme="minorHAnsi" w:cstheme="minorHAnsi"/>
          <w:b/>
          <w:bCs/>
        </w:rPr>
        <w:t>: </w:t>
      </w:r>
      <w:hyperlink r:id="rId13" w:history="1">
        <w:r w:rsidR="00C530DF" w:rsidRPr="00E223E5">
          <w:rPr>
            <w:rFonts w:asciiTheme="minorHAnsi" w:eastAsiaTheme="minorHAnsi" w:hAnsiTheme="minorHAnsi" w:cstheme="minorHAnsi"/>
            <w:rtl/>
          </w:rPr>
          <w:t>מצ"ב כנספח</w:t>
        </w:r>
      </w:hyperlink>
      <w:r w:rsidR="00C530DF" w:rsidRPr="00E223E5">
        <w:rPr>
          <w:rFonts w:asciiTheme="minorHAnsi" w:eastAsiaTheme="minorHAnsi" w:hAnsiTheme="minorHAnsi" w:cstheme="minorHAnsi"/>
          <w:b/>
          <w:bCs/>
        </w:rPr>
        <w:t> + </w:t>
      </w:r>
      <w:hyperlink r:id="rId14" w:history="1">
        <w:r w:rsidR="00C530DF" w:rsidRPr="00E223E5">
          <w:rPr>
            <w:rFonts w:asciiTheme="minorHAnsi" w:eastAsiaTheme="minorHAnsi" w:hAnsiTheme="minorHAnsi" w:cstheme="minorHAnsi"/>
            <w:rtl/>
          </w:rPr>
          <w:t>קישור למידע מורחב באתר בנק ישראל</w:t>
        </w:r>
      </w:hyperlink>
      <w:r w:rsidR="00C530DF" w:rsidRPr="00E223E5">
        <w:rPr>
          <w:rFonts w:asciiTheme="minorHAnsi" w:eastAsiaTheme="minorHAnsi" w:hAnsiTheme="minorHAnsi" w:cstheme="minorHAnsi"/>
        </w:rPr>
        <w:t> </w:t>
      </w:r>
    </w:p>
    <w:p w:rsidR="00F6149C" w:rsidRPr="00E223E5" w:rsidRDefault="00C530DF" w:rsidP="00E223E5">
      <w:pPr>
        <w:spacing w:line="360" w:lineRule="auto"/>
        <w:jc w:val="both"/>
        <w:rPr>
          <w:rFonts w:cstheme="minorHAnsi"/>
          <w:sz w:val="24"/>
          <w:szCs w:val="24"/>
        </w:rPr>
      </w:pPr>
      <w:r w:rsidRPr="00E223E5">
        <w:rPr>
          <w:rFonts w:cstheme="minorHAnsi"/>
          <w:noProof/>
        </w:rPr>
        <w:lastRenderedPageBreak/>
        <w:drawing>
          <wp:inline distT="0" distB="0" distL="0" distR="0" wp14:anchorId="3CAEEB85" wp14:editId="1D8E28E2">
            <wp:extent cx="2214147" cy="3898265"/>
            <wp:effectExtent l="0" t="0" r="0" b="698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14147" cy="3898265"/>
                    </a:xfrm>
                    <a:prstGeom prst="rect">
                      <a:avLst/>
                    </a:prstGeom>
                  </pic:spPr>
                </pic:pic>
              </a:graphicData>
            </a:graphic>
          </wp:inline>
        </w:drawing>
      </w:r>
    </w:p>
    <w:sectPr w:rsidR="00F6149C" w:rsidRPr="00E223E5" w:rsidSect="008259C0">
      <w:footerReference w:type="default" r:id="rId1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461" w:rsidRDefault="006B5461" w:rsidP="008755E3">
      <w:pPr>
        <w:spacing w:after="0" w:line="240" w:lineRule="auto"/>
      </w:pPr>
      <w:r>
        <w:separator/>
      </w:r>
    </w:p>
  </w:endnote>
  <w:endnote w:type="continuationSeparator" w:id="0">
    <w:p w:rsidR="006B5461" w:rsidRDefault="006B5461"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09" w:rsidRDefault="00075A09" w:rsidP="00075A09">
    <w:pPr>
      <w:pStyle w:val="ad"/>
      <w:bidi w:val="0"/>
      <w:rPr>
        <w:rtl/>
      </w:rPr>
    </w:pPr>
    <w:r w:rsidRPr="00571971">
      <w:rPr>
        <w:rFonts w:cs="Calibri"/>
        <w:noProof/>
        <w:rtl/>
      </w:rPr>
      <w:drawing>
        <wp:anchor distT="0" distB="0" distL="114300" distR="114300" simplePos="0" relativeHeight="251664896" behindDoc="0" locked="0" layoutInCell="1" allowOverlap="1" wp14:anchorId="7CFB3AE6" wp14:editId="4D0F905A">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69219DD7" wp14:editId="49B1367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5920" behindDoc="0" locked="0" layoutInCell="1" allowOverlap="1" wp14:anchorId="2E827820" wp14:editId="5E472CC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6944" behindDoc="0" locked="0" layoutInCell="1" allowOverlap="1" wp14:anchorId="6B8CCCBD" wp14:editId="13976CB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848" behindDoc="0" locked="0" layoutInCell="1" allowOverlap="1" wp14:anchorId="333189DC" wp14:editId="0E82824F">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075A09" w:rsidRPr="00B677DC" w:rsidRDefault="00075A09" w:rsidP="00075A09">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189DC"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075A09" w:rsidRPr="00B677DC" w:rsidRDefault="00075A09" w:rsidP="00075A09">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67968" behindDoc="0" locked="0" layoutInCell="1" allowOverlap="1" wp14:anchorId="3FCDCBD1" wp14:editId="5510F6D4">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075A09" w:rsidRPr="00F20046" w:rsidRDefault="00075A09" w:rsidP="00075A0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DCBD1" id="תיבת טקסט 22" o:spid="_x0000_s1027" type="#_x0000_t202" style="position:absolute;margin-left:-23.05pt;margin-top:6pt;width:167.75pt;height:48.9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075A09" w:rsidRPr="00F20046" w:rsidRDefault="00075A09" w:rsidP="00075A0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06D9FE0F" wp14:editId="73F42D29">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075A09" w:rsidRPr="00B677DC" w:rsidRDefault="00075A09" w:rsidP="00075A09">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D9FE0F" id="תיבת טקסט 9" o:spid="_x0000_s1028" type="#_x0000_t202" style="position:absolute;margin-left:256.5pt;margin-top:7.05pt;width:171.8pt;height:36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075A09" w:rsidRPr="00B677DC" w:rsidRDefault="00075A09" w:rsidP="00075A09">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9756212" wp14:editId="27404733">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075A09" w:rsidRPr="00B677DC" w:rsidRDefault="00075A09" w:rsidP="00075A09">
                          <w:pPr>
                            <w:jc w:val="center"/>
                            <w:rPr>
                              <w:rFonts w:cstheme="minorHAnsi"/>
                              <w:sz w:val="16"/>
                              <w:szCs w:val="16"/>
                              <w:rtl/>
                            </w:rPr>
                          </w:pPr>
                          <w:r w:rsidRPr="00B677DC">
                            <w:rPr>
                              <w:rFonts w:cs="Calibri" w:hint="cs"/>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756212" id="תיבת טקסט 7" o:spid="_x0000_s1029" type="#_x0000_t202" style="position:absolute;margin-left:394.85pt;margin-top:7pt;width:120.9pt;height:36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075A09" w:rsidRPr="00B677DC" w:rsidRDefault="00075A09" w:rsidP="00075A09">
                    <w:pPr>
                      <w:jc w:val="center"/>
                      <w:rPr>
                        <w:rFonts w:cstheme="minorHAnsi"/>
                        <w:sz w:val="16"/>
                        <w:szCs w:val="16"/>
                        <w:rtl/>
                      </w:rPr>
                    </w:pPr>
                    <w:r w:rsidRPr="00B677DC">
                      <w:rPr>
                        <w:rFonts w:cs="Calibri" w:hint="cs"/>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67F83057" wp14:editId="37635804">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16AE0" id="מחבר ישר 15" o:spid="_x0000_s1026" style="position:absolute;left:0;text-align:left;flip:x;z-index:25166387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Pr="00571971">
      <w:rPr>
        <w:rFonts w:cs="Calibri"/>
        <w:noProof/>
        <w:rtl/>
      </w:rPr>
      <w:t xml:space="preserve"> </w:t>
    </w:r>
  </w:p>
  <w:p w:rsidR="00FA1F8B" w:rsidRDefault="00FA1F8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461" w:rsidRDefault="006B5461" w:rsidP="008755E3">
      <w:pPr>
        <w:spacing w:after="0" w:line="240" w:lineRule="auto"/>
      </w:pPr>
      <w:r>
        <w:separator/>
      </w:r>
    </w:p>
  </w:footnote>
  <w:footnote w:type="continuationSeparator" w:id="0">
    <w:p w:rsidR="006B5461" w:rsidRDefault="006B5461" w:rsidP="008755E3">
      <w:pPr>
        <w:spacing w:after="0" w:line="240" w:lineRule="auto"/>
      </w:pPr>
      <w:r>
        <w:continuationSeparator/>
      </w:r>
    </w:p>
  </w:footnote>
  <w:footnote w:id="1">
    <w:p w:rsidR="005D61D6" w:rsidRDefault="005D61D6" w:rsidP="00997485">
      <w:pPr>
        <w:pStyle w:val="af"/>
        <w:rPr>
          <w:rFonts w:ascii="David" w:hAnsi="David"/>
          <w:sz w:val="16"/>
          <w:szCs w:val="16"/>
          <w:rtl/>
        </w:rPr>
      </w:pPr>
      <w:r>
        <w:rPr>
          <w:rStyle w:val="af1"/>
        </w:rPr>
        <w:footnoteRef/>
      </w:r>
      <w:r>
        <w:rPr>
          <w:rtl/>
        </w:rPr>
        <w:t xml:space="preserve"> </w:t>
      </w:r>
      <w:r w:rsidRPr="00183868">
        <w:rPr>
          <w:rFonts w:ascii="David" w:hAnsi="David" w:hint="eastAsia"/>
          <w:sz w:val="16"/>
          <w:szCs w:val="16"/>
          <w:rtl/>
        </w:rPr>
        <w:t>מאחר</w:t>
      </w:r>
      <w:r w:rsidRPr="00183868">
        <w:rPr>
          <w:rFonts w:ascii="David" w:hAnsi="David"/>
          <w:sz w:val="16"/>
          <w:szCs w:val="16"/>
          <w:rtl/>
        </w:rPr>
        <w:t xml:space="preserve"> שרוב נפגעי האלימות המטופלים במרכזים הן נשים, האמנה </w:t>
      </w:r>
      <w:r w:rsidRPr="00183868">
        <w:rPr>
          <w:rFonts w:ascii="David" w:hAnsi="David" w:hint="eastAsia"/>
          <w:sz w:val="16"/>
          <w:szCs w:val="16"/>
          <w:rtl/>
        </w:rPr>
        <w:t>נוסחה</w:t>
      </w:r>
      <w:r w:rsidRPr="00183868">
        <w:rPr>
          <w:rFonts w:ascii="David" w:hAnsi="David"/>
          <w:sz w:val="16"/>
          <w:szCs w:val="16"/>
          <w:rtl/>
        </w:rPr>
        <w:t xml:space="preserve"> בלשון נקבה</w:t>
      </w:r>
      <w:r>
        <w:rPr>
          <w:rFonts w:ascii="David" w:hAnsi="David" w:hint="cs"/>
          <w:sz w:val="16"/>
          <w:szCs w:val="16"/>
          <w:rtl/>
        </w:rPr>
        <w:t xml:space="preserve"> וההתייחסות לנפגעי האלימות תהא כ'נפגעת' או 'נפגעת אלימות'</w:t>
      </w:r>
      <w:r w:rsidRPr="00183868">
        <w:rPr>
          <w:rFonts w:ascii="David" w:hAnsi="David"/>
          <w:sz w:val="16"/>
          <w:szCs w:val="16"/>
          <w:rtl/>
        </w:rPr>
        <w:t xml:space="preserve">, אולם היא מיועדת לנשים וגברים כאחד, ובמסגרתה יוענק סיוע לנפגעי אלימות </w:t>
      </w:r>
      <w:r w:rsidRPr="00183868">
        <w:rPr>
          <w:rFonts w:ascii="David" w:hAnsi="David" w:hint="eastAsia"/>
          <w:sz w:val="16"/>
          <w:szCs w:val="16"/>
          <w:rtl/>
        </w:rPr>
        <w:t>בני</w:t>
      </w:r>
      <w:r w:rsidRPr="00183868">
        <w:rPr>
          <w:rFonts w:ascii="David" w:hAnsi="David"/>
          <w:sz w:val="16"/>
          <w:szCs w:val="16"/>
          <w:rtl/>
        </w:rPr>
        <w:t xml:space="preserve"> שני המינים</w:t>
      </w:r>
      <w:r>
        <w:rPr>
          <w:rFonts w:ascii="David" w:hAnsi="David" w:hint="cs"/>
          <w:sz w:val="16"/>
          <w:szCs w:val="16"/>
          <w:rtl/>
        </w:rPr>
        <w:t>.</w:t>
      </w:r>
    </w:p>
    <w:p w:rsidR="002F2A28" w:rsidRDefault="002F2A28" w:rsidP="00997485">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7D3"/>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701A9"/>
    <w:multiLevelType w:val="hybridMultilevel"/>
    <w:tmpl w:val="DB48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14949"/>
    <w:multiLevelType w:val="multilevel"/>
    <w:tmpl w:val="55C87372"/>
    <w:lvl w:ilvl="0">
      <w:start w:val="1"/>
      <w:numFmt w:val="bullet"/>
      <w:lvlText w:val=""/>
      <w:lvlJc w:val="right"/>
      <w:pPr>
        <w:tabs>
          <w:tab w:val="num" w:pos="720"/>
        </w:tabs>
        <w:ind w:left="720" w:hanging="360"/>
      </w:pPr>
      <w:rPr>
        <w:rFonts w:ascii="Symbol" w:hAnsi="Symbol" w:cs="Open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Open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Open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3" w15:restartNumberingAfterBreak="0">
    <w:nsid w:val="2F0A4C63"/>
    <w:multiLevelType w:val="hybridMultilevel"/>
    <w:tmpl w:val="F13E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E5FE0"/>
    <w:multiLevelType w:val="hybridMultilevel"/>
    <w:tmpl w:val="9E7A413E"/>
    <w:lvl w:ilvl="0" w:tplc="4570262E">
      <w:start w:val="1"/>
      <w:numFmt w:val="bullet"/>
      <w:lvlText w:val="•"/>
      <w:lvlJc w:val="left"/>
      <w:pPr>
        <w:tabs>
          <w:tab w:val="num" w:pos="720"/>
        </w:tabs>
        <w:ind w:left="720" w:hanging="360"/>
      </w:pPr>
      <w:rPr>
        <w:rFonts w:ascii="Times New Roman" w:hAnsi="Times New Roman" w:hint="default"/>
      </w:rPr>
    </w:lvl>
    <w:lvl w:ilvl="1" w:tplc="1D84B50E" w:tentative="1">
      <w:start w:val="1"/>
      <w:numFmt w:val="bullet"/>
      <w:lvlText w:val="•"/>
      <w:lvlJc w:val="left"/>
      <w:pPr>
        <w:tabs>
          <w:tab w:val="num" w:pos="1440"/>
        </w:tabs>
        <w:ind w:left="1440" w:hanging="360"/>
      </w:pPr>
      <w:rPr>
        <w:rFonts w:ascii="Times New Roman" w:hAnsi="Times New Roman" w:hint="default"/>
      </w:rPr>
    </w:lvl>
    <w:lvl w:ilvl="2" w:tplc="5DF2828C" w:tentative="1">
      <w:start w:val="1"/>
      <w:numFmt w:val="bullet"/>
      <w:lvlText w:val="•"/>
      <w:lvlJc w:val="left"/>
      <w:pPr>
        <w:tabs>
          <w:tab w:val="num" w:pos="2160"/>
        </w:tabs>
        <w:ind w:left="2160" w:hanging="360"/>
      </w:pPr>
      <w:rPr>
        <w:rFonts w:ascii="Times New Roman" w:hAnsi="Times New Roman" w:hint="default"/>
      </w:rPr>
    </w:lvl>
    <w:lvl w:ilvl="3" w:tplc="BF84C426" w:tentative="1">
      <w:start w:val="1"/>
      <w:numFmt w:val="bullet"/>
      <w:lvlText w:val="•"/>
      <w:lvlJc w:val="left"/>
      <w:pPr>
        <w:tabs>
          <w:tab w:val="num" w:pos="2880"/>
        </w:tabs>
        <w:ind w:left="2880" w:hanging="360"/>
      </w:pPr>
      <w:rPr>
        <w:rFonts w:ascii="Times New Roman" w:hAnsi="Times New Roman" w:hint="default"/>
      </w:rPr>
    </w:lvl>
    <w:lvl w:ilvl="4" w:tplc="8A18292A" w:tentative="1">
      <w:start w:val="1"/>
      <w:numFmt w:val="bullet"/>
      <w:lvlText w:val="•"/>
      <w:lvlJc w:val="left"/>
      <w:pPr>
        <w:tabs>
          <w:tab w:val="num" w:pos="3600"/>
        </w:tabs>
        <w:ind w:left="3600" w:hanging="360"/>
      </w:pPr>
      <w:rPr>
        <w:rFonts w:ascii="Times New Roman" w:hAnsi="Times New Roman" w:hint="default"/>
      </w:rPr>
    </w:lvl>
    <w:lvl w:ilvl="5" w:tplc="BF2479E0" w:tentative="1">
      <w:start w:val="1"/>
      <w:numFmt w:val="bullet"/>
      <w:lvlText w:val="•"/>
      <w:lvlJc w:val="left"/>
      <w:pPr>
        <w:tabs>
          <w:tab w:val="num" w:pos="4320"/>
        </w:tabs>
        <w:ind w:left="4320" w:hanging="360"/>
      </w:pPr>
      <w:rPr>
        <w:rFonts w:ascii="Times New Roman" w:hAnsi="Times New Roman" w:hint="default"/>
      </w:rPr>
    </w:lvl>
    <w:lvl w:ilvl="6" w:tplc="EBFE174E" w:tentative="1">
      <w:start w:val="1"/>
      <w:numFmt w:val="bullet"/>
      <w:lvlText w:val="•"/>
      <w:lvlJc w:val="left"/>
      <w:pPr>
        <w:tabs>
          <w:tab w:val="num" w:pos="5040"/>
        </w:tabs>
        <w:ind w:left="5040" w:hanging="360"/>
      </w:pPr>
      <w:rPr>
        <w:rFonts w:ascii="Times New Roman" w:hAnsi="Times New Roman" w:hint="default"/>
      </w:rPr>
    </w:lvl>
    <w:lvl w:ilvl="7" w:tplc="582C28CC" w:tentative="1">
      <w:start w:val="1"/>
      <w:numFmt w:val="bullet"/>
      <w:lvlText w:val="•"/>
      <w:lvlJc w:val="left"/>
      <w:pPr>
        <w:tabs>
          <w:tab w:val="num" w:pos="5760"/>
        </w:tabs>
        <w:ind w:left="5760" w:hanging="360"/>
      </w:pPr>
      <w:rPr>
        <w:rFonts w:ascii="Times New Roman" w:hAnsi="Times New Roman" w:hint="default"/>
      </w:rPr>
    </w:lvl>
    <w:lvl w:ilvl="8" w:tplc="631248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71672A0"/>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DD19ED"/>
    <w:multiLevelType w:val="hybridMultilevel"/>
    <w:tmpl w:val="FDC65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470CFF"/>
    <w:multiLevelType w:val="hybridMultilevel"/>
    <w:tmpl w:val="8FC03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AC77079"/>
    <w:multiLevelType w:val="hybridMultilevel"/>
    <w:tmpl w:val="6134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A341A"/>
    <w:multiLevelType w:val="hybridMultilevel"/>
    <w:tmpl w:val="03867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A76F20"/>
    <w:multiLevelType w:val="hybridMultilevel"/>
    <w:tmpl w:val="BD4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B1AD7"/>
    <w:multiLevelType w:val="hybridMultilevel"/>
    <w:tmpl w:val="E38AE794"/>
    <w:lvl w:ilvl="0" w:tplc="457026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A6E04"/>
    <w:multiLevelType w:val="hybridMultilevel"/>
    <w:tmpl w:val="E122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06357"/>
    <w:multiLevelType w:val="hybridMultilevel"/>
    <w:tmpl w:val="A9D0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F754D"/>
    <w:multiLevelType w:val="hybridMultilevel"/>
    <w:tmpl w:val="C4E644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10"/>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7"/>
  </w:num>
  <w:num w:numId="10">
    <w:abstractNumId w:val="11"/>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0"/>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1525C"/>
    <w:rsid w:val="0001766D"/>
    <w:rsid w:val="00017BFC"/>
    <w:rsid w:val="00022107"/>
    <w:rsid w:val="00031600"/>
    <w:rsid w:val="000453E0"/>
    <w:rsid w:val="00046F61"/>
    <w:rsid w:val="00064D3C"/>
    <w:rsid w:val="000720A6"/>
    <w:rsid w:val="00075A09"/>
    <w:rsid w:val="000842F4"/>
    <w:rsid w:val="00091068"/>
    <w:rsid w:val="000924A8"/>
    <w:rsid w:val="000A3F6D"/>
    <w:rsid w:val="000A54C8"/>
    <w:rsid w:val="000A75E0"/>
    <w:rsid w:val="000B4FF9"/>
    <w:rsid w:val="000C221B"/>
    <w:rsid w:val="000C31F9"/>
    <w:rsid w:val="000D7199"/>
    <w:rsid w:val="000E779F"/>
    <w:rsid w:val="000F4A85"/>
    <w:rsid w:val="00102F4F"/>
    <w:rsid w:val="001043A5"/>
    <w:rsid w:val="001047A7"/>
    <w:rsid w:val="00104C0C"/>
    <w:rsid w:val="001051E1"/>
    <w:rsid w:val="00107516"/>
    <w:rsid w:val="00110548"/>
    <w:rsid w:val="00120279"/>
    <w:rsid w:val="00123EE6"/>
    <w:rsid w:val="00131AB3"/>
    <w:rsid w:val="001353DD"/>
    <w:rsid w:val="0013763C"/>
    <w:rsid w:val="00142115"/>
    <w:rsid w:val="00146AD6"/>
    <w:rsid w:val="001472FC"/>
    <w:rsid w:val="00160889"/>
    <w:rsid w:val="00161A75"/>
    <w:rsid w:val="0016448A"/>
    <w:rsid w:val="00166FE3"/>
    <w:rsid w:val="00167449"/>
    <w:rsid w:val="0017071A"/>
    <w:rsid w:val="001727DA"/>
    <w:rsid w:val="001A319B"/>
    <w:rsid w:val="001A41EE"/>
    <w:rsid w:val="001A546D"/>
    <w:rsid w:val="001B4434"/>
    <w:rsid w:val="001C00E9"/>
    <w:rsid w:val="001C3136"/>
    <w:rsid w:val="001C3794"/>
    <w:rsid w:val="001D4E21"/>
    <w:rsid w:val="001E5686"/>
    <w:rsid w:val="001E7BF7"/>
    <w:rsid w:val="001F34B1"/>
    <w:rsid w:val="002137C5"/>
    <w:rsid w:val="0021439A"/>
    <w:rsid w:val="00222298"/>
    <w:rsid w:val="002242B9"/>
    <w:rsid w:val="002243FE"/>
    <w:rsid w:val="00227862"/>
    <w:rsid w:val="002328EE"/>
    <w:rsid w:val="00242CED"/>
    <w:rsid w:val="002454AE"/>
    <w:rsid w:val="00253EEE"/>
    <w:rsid w:val="00256FF4"/>
    <w:rsid w:val="002634E2"/>
    <w:rsid w:val="002647EF"/>
    <w:rsid w:val="002658A3"/>
    <w:rsid w:val="00267BFA"/>
    <w:rsid w:val="00270E19"/>
    <w:rsid w:val="00280E3C"/>
    <w:rsid w:val="00282A55"/>
    <w:rsid w:val="00295120"/>
    <w:rsid w:val="002A1B82"/>
    <w:rsid w:val="002A29E8"/>
    <w:rsid w:val="002A60C9"/>
    <w:rsid w:val="002B5F94"/>
    <w:rsid w:val="002B665C"/>
    <w:rsid w:val="002D0C24"/>
    <w:rsid w:val="002E0034"/>
    <w:rsid w:val="002E3BD1"/>
    <w:rsid w:val="002E5C11"/>
    <w:rsid w:val="002F2A28"/>
    <w:rsid w:val="002F7C9A"/>
    <w:rsid w:val="0031263A"/>
    <w:rsid w:val="003174C8"/>
    <w:rsid w:val="003201F8"/>
    <w:rsid w:val="003248FF"/>
    <w:rsid w:val="00324C9F"/>
    <w:rsid w:val="00325A0A"/>
    <w:rsid w:val="00341677"/>
    <w:rsid w:val="003457C2"/>
    <w:rsid w:val="003462FB"/>
    <w:rsid w:val="0036092C"/>
    <w:rsid w:val="00360A85"/>
    <w:rsid w:val="003634B5"/>
    <w:rsid w:val="003662E7"/>
    <w:rsid w:val="003720B1"/>
    <w:rsid w:val="00373A72"/>
    <w:rsid w:val="00386B74"/>
    <w:rsid w:val="00387232"/>
    <w:rsid w:val="00387920"/>
    <w:rsid w:val="00391B92"/>
    <w:rsid w:val="00396518"/>
    <w:rsid w:val="003970D7"/>
    <w:rsid w:val="003A3CFE"/>
    <w:rsid w:val="003C0DA9"/>
    <w:rsid w:val="003C6EA7"/>
    <w:rsid w:val="003D0694"/>
    <w:rsid w:val="003D1B6A"/>
    <w:rsid w:val="003D7881"/>
    <w:rsid w:val="003E1AFF"/>
    <w:rsid w:val="003E239B"/>
    <w:rsid w:val="003E3672"/>
    <w:rsid w:val="003E41EA"/>
    <w:rsid w:val="003E4CB5"/>
    <w:rsid w:val="003F02DC"/>
    <w:rsid w:val="003F68A6"/>
    <w:rsid w:val="0040658F"/>
    <w:rsid w:val="004113C3"/>
    <w:rsid w:val="00412E40"/>
    <w:rsid w:val="0041536C"/>
    <w:rsid w:val="00417EAD"/>
    <w:rsid w:val="00420041"/>
    <w:rsid w:val="004233FA"/>
    <w:rsid w:val="00423E6D"/>
    <w:rsid w:val="00427651"/>
    <w:rsid w:val="00432CBA"/>
    <w:rsid w:val="00433F61"/>
    <w:rsid w:val="00453F39"/>
    <w:rsid w:val="00456854"/>
    <w:rsid w:val="00456E54"/>
    <w:rsid w:val="00465B0F"/>
    <w:rsid w:val="00467246"/>
    <w:rsid w:val="00490CD9"/>
    <w:rsid w:val="0049729F"/>
    <w:rsid w:val="004A4711"/>
    <w:rsid w:val="004A74CC"/>
    <w:rsid w:val="004B17B0"/>
    <w:rsid w:val="004B4330"/>
    <w:rsid w:val="004B44CB"/>
    <w:rsid w:val="004B6D20"/>
    <w:rsid w:val="004C48CC"/>
    <w:rsid w:val="004C56D2"/>
    <w:rsid w:val="004E7059"/>
    <w:rsid w:val="004F32D3"/>
    <w:rsid w:val="004F6B72"/>
    <w:rsid w:val="004F6E70"/>
    <w:rsid w:val="00510150"/>
    <w:rsid w:val="00523786"/>
    <w:rsid w:val="0053227B"/>
    <w:rsid w:val="00532F56"/>
    <w:rsid w:val="00560CB9"/>
    <w:rsid w:val="00563189"/>
    <w:rsid w:val="00580ADC"/>
    <w:rsid w:val="00594A7B"/>
    <w:rsid w:val="005A4ED4"/>
    <w:rsid w:val="005B2C4E"/>
    <w:rsid w:val="005B36B8"/>
    <w:rsid w:val="005B5302"/>
    <w:rsid w:val="005B67C0"/>
    <w:rsid w:val="005C41D6"/>
    <w:rsid w:val="005C562E"/>
    <w:rsid w:val="005D1A26"/>
    <w:rsid w:val="005D61D6"/>
    <w:rsid w:val="005E11D5"/>
    <w:rsid w:val="005F6483"/>
    <w:rsid w:val="00613FD0"/>
    <w:rsid w:val="006150F2"/>
    <w:rsid w:val="006151C6"/>
    <w:rsid w:val="00616D29"/>
    <w:rsid w:val="00625EFC"/>
    <w:rsid w:val="00645353"/>
    <w:rsid w:val="00647081"/>
    <w:rsid w:val="00654E79"/>
    <w:rsid w:val="00674CFB"/>
    <w:rsid w:val="00680703"/>
    <w:rsid w:val="00685685"/>
    <w:rsid w:val="006B4F3E"/>
    <w:rsid w:val="006B5461"/>
    <w:rsid w:val="006B5CD7"/>
    <w:rsid w:val="006C6096"/>
    <w:rsid w:val="006D65D3"/>
    <w:rsid w:val="006E4E59"/>
    <w:rsid w:val="006E5D28"/>
    <w:rsid w:val="006F2666"/>
    <w:rsid w:val="006F670B"/>
    <w:rsid w:val="00702ED2"/>
    <w:rsid w:val="0070338F"/>
    <w:rsid w:val="007045F6"/>
    <w:rsid w:val="0071321E"/>
    <w:rsid w:val="00715E01"/>
    <w:rsid w:val="0072305F"/>
    <w:rsid w:val="007259E5"/>
    <w:rsid w:val="00726FB3"/>
    <w:rsid w:val="00730338"/>
    <w:rsid w:val="0073464A"/>
    <w:rsid w:val="0073535F"/>
    <w:rsid w:val="007507E6"/>
    <w:rsid w:val="00761074"/>
    <w:rsid w:val="0076287C"/>
    <w:rsid w:val="00762A65"/>
    <w:rsid w:val="007639C4"/>
    <w:rsid w:val="007725CD"/>
    <w:rsid w:val="00775D5D"/>
    <w:rsid w:val="00780541"/>
    <w:rsid w:val="00782302"/>
    <w:rsid w:val="007828D1"/>
    <w:rsid w:val="00786313"/>
    <w:rsid w:val="00790973"/>
    <w:rsid w:val="00796954"/>
    <w:rsid w:val="00796BBD"/>
    <w:rsid w:val="007A3D09"/>
    <w:rsid w:val="007B183E"/>
    <w:rsid w:val="007B2664"/>
    <w:rsid w:val="007B4AC0"/>
    <w:rsid w:val="007B4BD2"/>
    <w:rsid w:val="007B5613"/>
    <w:rsid w:val="007B7E83"/>
    <w:rsid w:val="007C5659"/>
    <w:rsid w:val="007E1EB5"/>
    <w:rsid w:val="007E2D72"/>
    <w:rsid w:val="007F4622"/>
    <w:rsid w:val="00801048"/>
    <w:rsid w:val="00813270"/>
    <w:rsid w:val="00813EE5"/>
    <w:rsid w:val="00814C53"/>
    <w:rsid w:val="008259C0"/>
    <w:rsid w:val="00827316"/>
    <w:rsid w:val="00830625"/>
    <w:rsid w:val="0083266F"/>
    <w:rsid w:val="00847E44"/>
    <w:rsid w:val="00851C86"/>
    <w:rsid w:val="00853F6B"/>
    <w:rsid w:val="00872098"/>
    <w:rsid w:val="008755E3"/>
    <w:rsid w:val="00885719"/>
    <w:rsid w:val="00896324"/>
    <w:rsid w:val="008B2264"/>
    <w:rsid w:val="008C21F9"/>
    <w:rsid w:val="008D078C"/>
    <w:rsid w:val="008E015B"/>
    <w:rsid w:val="008E2235"/>
    <w:rsid w:val="008F0B18"/>
    <w:rsid w:val="008F79EA"/>
    <w:rsid w:val="008F7C60"/>
    <w:rsid w:val="00903341"/>
    <w:rsid w:val="00906A25"/>
    <w:rsid w:val="00910D4E"/>
    <w:rsid w:val="00920DF1"/>
    <w:rsid w:val="00930D28"/>
    <w:rsid w:val="009333FE"/>
    <w:rsid w:val="00946056"/>
    <w:rsid w:val="00961F2D"/>
    <w:rsid w:val="00970E38"/>
    <w:rsid w:val="009751DA"/>
    <w:rsid w:val="0097592B"/>
    <w:rsid w:val="00982148"/>
    <w:rsid w:val="0098676F"/>
    <w:rsid w:val="00997485"/>
    <w:rsid w:val="009A32D1"/>
    <w:rsid w:val="009A3952"/>
    <w:rsid w:val="009B578F"/>
    <w:rsid w:val="009D5693"/>
    <w:rsid w:val="009D78DB"/>
    <w:rsid w:val="009E13A7"/>
    <w:rsid w:val="009E261E"/>
    <w:rsid w:val="009E3490"/>
    <w:rsid w:val="009F1390"/>
    <w:rsid w:val="009F748A"/>
    <w:rsid w:val="00A06013"/>
    <w:rsid w:val="00A139C3"/>
    <w:rsid w:val="00A14C14"/>
    <w:rsid w:val="00A44E87"/>
    <w:rsid w:val="00A515F2"/>
    <w:rsid w:val="00A538BF"/>
    <w:rsid w:val="00A71582"/>
    <w:rsid w:val="00A8271C"/>
    <w:rsid w:val="00AA0DD6"/>
    <w:rsid w:val="00AA2932"/>
    <w:rsid w:val="00AB44D2"/>
    <w:rsid w:val="00AB53BF"/>
    <w:rsid w:val="00AC5D5B"/>
    <w:rsid w:val="00AE284F"/>
    <w:rsid w:val="00AF3EAF"/>
    <w:rsid w:val="00AF408C"/>
    <w:rsid w:val="00B03D80"/>
    <w:rsid w:val="00B06676"/>
    <w:rsid w:val="00B22405"/>
    <w:rsid w:val="00B26FA3"/>
    <w:rsid w:val="00B30D3B"/>
    <w:rsid w:val="00B348D9"/>
    <w:rsid w:val="00B4601C"/>
    <w:rsid w:val="00B46914"/>
    <w:rsid w:val="00B51787"/>
    <w:rsid w:val="00B535F4"/>
    <w:rsid w:val="00B70F94"/>
    <w:rsid w:val="00B72D6E"/>
    <w:rsid w:val="00B80ED6"/>
    <w:rsid w:val="00B84701"/>
    <w:rsid w:val="00B876EA"/>
    <w:rsid w:val="00B9225E"/>
    <w:rsid w:val="00B94754"/>
    <w:rsid w:val="00B95355"/>
    <w:rsid w:val="00B969C8"/>
    <w:rsid w:val="00BB06F1"/>
    <w:rsid w:val="00BB1BCD"/>
    <w:rsid w:val="00BB2CB3"/>
    <w:rsid w:val="00BC185B"/>
    <w:rsid w:val="00BC1FB2"/>
    <w:rsid w:val="00BC2A9C"/>
    <w:rsid w:val="00BC38EC"/>
    <w:rsid w:val="00BC44F1"/>
    <w:rsid w:val="00BC542A"/>
    <w:rsid w:val="00BD4967"/>
    <w:rsid w:val="00BE200F"/>
    <w:rsid w:val="00BF31DB"/>
    <w:rsid w:val="00C063FE"/>
    <w:rsid w:val="00C14D64"/>
    <w:rsid w:val="00C24F82"/>
    <w:rsid w:val="00C25164"/>
    <w:rsid w:val="00C26613"/>
    <w:rsid w:val="00C27735"/>
    <w:rsid w:val="00C351E3"/>
    <w:rsid w:val="00C4442C"/>
    <w:rsid w:val="00C530DF"/>
    <w:rsid w:val="00C5324A"/>
    <w:rsid w:val="00C538EC"/>
    <w:rsid w:val="00C6334B"/>
    <w:rsid w:val="00C72B8E"/>
    <w:rsid w:val="00C7312D"/>
    <w:rsid w:val="00C80D42"/>
    <w:rsid w:val="00C8207A"/>
    <w:rsid w:val="00C8395A"/>
    <w:rsid w:val="00C9120D"/>
    <w:rsid w:val="00C93D23"/>
    <w:rsid w:val="00CA3EC8"/>
    <w:rsid w:val="00CC2ECE"/>
    <w:rsid w:val="00CD2C11"/>
    <w:rsid w:val="00CD5226"/>
    <w:rsid w:val="00CE25F7"/>
    <w:rsid w:val="00CE44EE"/>
    <w:rsid w:val="00CE6330"/>
    <w:rsid w:val="00CF7906"/>
    <w:rsid w:val="00D050A2"/>
    <w:rsid w:val="00D0749A"/>
    <w:rsid w:val="00D15364"/>
    <w:rsid w:val="00D16EC7"/>
    <w:rsid w:val="00D22BD0"/>
    <w:rsid w:val="00D23E40"/>
    <w:rsid w:val="00D26498"/>
    <w:rsid w:val="00D2736D"/>
    <w:rsid w:val="00D30E74"/>
    <w:rsid w:val="00D36EA7"/>
    <w:rsid w:val="00D40ADE"/>
    <w:rsid w:val="00D4293C"/>
    <w:rsid w:val="00D430B6"/>
    <w:rsid w:val="00D4663E"/>
    <w:rsid w:val="00D50A3A"/>
    <w:rsid w:val="00D54289"/>
    <w:rsid w:val="00D720DA"/>
    <w:rsid w:val="00D77F85"/>
    <w:rsid w:val="00D923AB"/>
    <w:rsid w:val="00DA1198"/>
    <w:rsid w:val="00DA5999"/>
    <w:rsid w:val="00DB0EE4"/>
    <w:rsid w:val="00DB6114"/>
    <w:rsid w:val="00DC138D"/>
    <w:rsid w:val="00DC53A4"/>
    <w:rsid w:val="00DD59E1"/>
    <w:rsid w:val="00DE08B9"/>
    <w:rsid w:val="00DF23B3"/>
    <w:rsid w:val="00DF2C26"/>
    <w:rsid w:val="00DF2DA8"/>
    <w:rsid w:val="00DF39AB"/>
    <w:rsid w:val="00DF4B50"/>
    <w:rsid w:val="00DF7A4C"/>
    <w:rsid w:val="00E00332"/>
    <w:rsid w:val="00E07313"/>
    <w:rsid w:val="00E103A4"/>
    <w:rsid w:val="00E15F02"/>
    <w:rsid w:val="00E20187"/>
    <w:rsid w:val="00E223E5"/>
    <w:rsid w:val="00E35F02"/>
    <w:rsid w:val="00E430E7"/>
    <w:rsid w:val="00E66B9A"/>
    <w:rsid w:val="00E66BA3"/>
    <w:rsid w:val="00E90F33"/>
    <w:rsid w:val="00E91844"/>
    <w:rsid w:val="00E92D1E"/>
    <w:rsid w:val="00E93E64"/>
    <w:rsid w:val="00E942E7"/>
    <w:rsid w:val="00E97E8E"/>
    <w:rsid w:val="00EA26E6"/>
    <w:rsid w:val="00EB43F7"/>
    <w:rsid w:val="00EB5586"/>
    <w:rsid w:val="00EC2054"/>
    <w:rsid w:val="00ED3320"/>
    <w:rsid w:val="00EE479D"/>
    <w:rsid w:val="00EE662C"/>
    <w:rsid w:val="00EF1001"/>
    <w:rsid w:val="00EF6826"/>
    <w:rsid w:val="00EF740A"/>
    <w:rsid w:val="00F055CD"/>
    <w:rsid w:val="00F10434"/>
    <w:rsid w:val="00F1531E"/>
    <w:rsid w:val="00F23422"/>
    <w:rsid w:val="00F24A43"/>
    <w:rsid w:val="00F25A6E"/>
    <w:rsid w:val="00F26DCF"/>
    <w:rsid w:val="00F3141F"/>
    <w:rsid w:val="00F36D02"/>
    <w:rsid w:val="00F42979"/>
    <w:rsid w:val="00F46ABD"/>
    <w:rsid w:val="00F47FC9"/>
    <w:rsid w:val="00F50EA4"/>
    <w:rsid w:val="00F50EB0"/>
    <w:rsid w:val="00F5526F"/>
    <w:rsid w:val="00F6149C"/>
    <w:rsid w:val="00F67341"/>
    <w:rsid w:val="00F676C8"/>
    <w:rsid w:val="00F744EB"/>
    <w:rsid w:val="00F7471D"/>
    <w:rsid w:val="00F75765"/>
    <w:rsid w:val="00F86849"/>
    <w:rsid w:val="00F93BD9"/>
    <w:rsid w:val="00FA1F8B"/>
    <w:rsid w:val="00FA44ED"/>
    <w:rsid w:val="00FB748C"/>
    <w:rsid w:val="00FD0DFF"/>
    <w:rsid w:val="00FD24B1"/>
    <w:rsid w:val="00FD5926"/>
    <w:rsid w:val="00FD738E"/>
    <w:rsid w:val="00FF08E0"/>
    <w:rsid w:val="00FF42F4"/>
    <w:rsid w:val="00FF7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69DF51-CFDF-4813-93A8-83E6FEE6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uiPriority w:val="34"/>
    <w:qFormat/>
    <w:rsid w:val="00167449"/>
    <w:pPr>
      <w:ind w:left="720"/>
      <w:contextualSpacing/>
    </w:pPr>
  </w:style>
  <w:style w:type="character" w:styleId="a6">
    <w:name w:val="annotation reference"/>
    <w:basedOn w:val="a0"/>
    <w:uiPriority w:val="99"/>
    <w:semiHidden/>
    <w:unhideWhenUsed/>
    <w:rsid w:val="00EB43F7"/>
    <w:rPr>
      <w:sz w:val="16"/>
      <w:szCs w:val="16"/>
    </w:rPr>
  </w:style>
  <w:style w:type="paragraph" w:styleId="a7">
    <w:name w:val="annotation text"/>
    <w:basedOn w:val="a"/>
    <w:link w:val="a8"/>
    <w:uiPriority w:val="99"/>
    <w:semiHidden/>
    <w:unhideWhenUsed/>
    <w:rsid w:val="00EB43F7"/>
    <w:pPr>
      <w:spacing w:line="240" w:lineRule="auto"/>
    </w:pPr>
    <w:rPr>
      <w:sz w:val="20"/>
      <w:szCs w:val="20"/>
    </w:rPr>
  </w:style>
  <w:style w:type="character" w:customStyle="1" w:styleId="a8">
    <w:name w:val="טקסט הערה תו"/>
    <w:basedOn w:val="a0"/>
    <w:link w:val="a7"/>
    <w:uiPriority w:val="99"/>
    <w:semiHidden/>
    <w:rsid w:val="00EB43F7"/>
    <w:rPr>
      <w:sz w:val="20"/>
      <w:szCs w:val="20"/>
    </w:rPr>
  </w:style>
  <w:style w:type="paragraph" w:styleId="a9">
    <w:name w:val="annotation subject"/>
    <w:basedOn w:val="a7"/>
    <w:next w:val="a7"/>
    <w:link w:val="aa"/>
    <w:uiPriority w:val="99"/>
    <w:semiHidden/>
    <w:unhideWhenUsed/>
    <w:rsid w:val="00EB43F7"/>
    <w:rPr>
      <w:b/>
      <w:bCs/>
    </w:rPr>
  </w:style>
  <w:style w:type="character" w:customStyle="1" w:styleId="aa">
    <w:name w:val="נושא הערה תו"/>
    <w:basedOn w:val="a8"/>
    <w:link w:val="a9"/>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b">
    <w:name w:val="header"/>
    <w:basedOn w:val="a"/>
    <w:link w:val="ac"/>
    <w:uiPriority w:val="99"/>
    <w:unhideWhenUsed/>
    <w:rsid w:val="008755E3"/>
    <w:pPr>
      <w:tabs>
        <w:tab w:val="center" w:pos="4153"/>
        <w:tab w:val="right" w:pos="8306"/>
      </w:tabs>
      <w:spacing w:after="0" w:line="240" w:lineRule="auto"/>
    </w:pPr>
  </w:style>
  <w:style w:type="character" w:customStyle="1" w:styleId="ac">
    <w:name w:val="כותרת עליונה תו"/>
    <w:basedOn w:val="a0"/>
    <w:link w:val="ab"/>
    <w:uiPriority w:val="99"/>
    <w:rsid w:val="008755E3"/>
  </w:style>
  <w:style w:type="paragraph" w:styleId="ad">
    <w:name w:val="footer"/>
    <w:basedOn w:val="a"/>
    <w:link w:val="ae"/>
    <w:uiPriority w:val="99"/>
    <w:unhideWhenUsed/>
    <w:rsid w:val="008755E3"/>
    <w:pPr>
      <w:tabs>
        <w:tab w:val="center" w:pos="4153"/>
        <w:tab w:val="right" w:pos="8306"/>
      </w:tabs>
      <w:spacing w:after="0" w:line="240" w:lineRule="auto"/>
    </w:pPr>
  </w:style>
  <w:style w:type="character" w:customStyle="1" w:styleId="ae">
    <w:name w:val="כותרת תחתונה תו"/>
    <w:basedOn w:val="a0"/>
    <w:link w:val="ad"/>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
    <w:name w:val="footnote text"/>
    <w:basedOn w:val="a"/>
    <w:link w:val="af0"/>
    <w:uiPriority w:val="99"/>
    <w:semiHidden/>
    <w:unhideWhenUsed/>
    <w:rsid w:val="006E5D28"/>
    <w:pPr>
      <w:spacing w:after="0" w:line="240" w:lineRule="auto"/>
    </w:pPr>
    <w:rPr>
      <w:sz w:val="20"/>
      <w:szCs w:val="20"/>
    </w:rPr>
  </w:style>
  <w:style w:type="character" w:customStyle="1" w:styleId="af0">
    <w:name w:val="טקסט הערת שוליים תו"/>
    <w:basedOn w:val="a0"/>
    <w:link w:val="af"/>
    <w:uiPriority w:val="99"/>
    <w:semiHidden/>
    <w:rsid w:val="006E5D28"/>
    <w:rPr>
      <w:sz w:val="20"/>
      <w:szCs w:val="20"/>
    </w:rPr>
  </w:style>
  <w:style w:type="character" w:styleId="af1">
    <w:name w:val="footnote reference"/>
    <w:basedOn w:val="a0"/>
    <w:uiPriority w:val="99"/>
    <w:semiHidden/>
    <w:unhideWhenUsed/>
    <w:rsid w:val="006E5D28"/>
    <w:rPr>
      <w:vertAlign w:val="superscript"/>
    </w:rPr>
  </w:style>
  <w:style w:type="paragraph" w:styleId="NormalWeb">
    <w:name w:val="Normal (Web)"/>
    <w:basedOn w:val="a"/>
    <w:uiPriority w:val="99"/>
    <w:unhideWhenUsed/>
    <w:rsid w:val="00DB611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C53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3463">
      <w:bodyDiv w:val="1"/>
      <w:marLeft w:val="0"/>
      <w:marRight w:val="0"/>
      <w:marTop w:val="0"/>
      <w:marBottom w:val="0"/>
      <w:divBdr>
        <w:top w:val="none" w:sz="0" w:space="0" w:color="auto"/>
        <w:left w:val="none" w:sz="0" w:space="0" w:color="auto"/>
        <w:bottom w:val="none" w:sz="0" w:space="0" w:color="auto"/>
        <w:right w:val="none" w:sz="0" w:space="0" w:color="auto"/>
      </w:divBdr>
    </w:div>
    <w:div w:id="498732968">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3522337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3082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i.org.il/media/ghdhfjfx/%D7%90%D7%9E%D7%A0%D7%AA-%D7%96%D7%9E%D7%99%D7%A0%D7%95%D7%AA-%D7%A4%D7%99%D7%A0%D7%A0%D7%A1%D7%99%D7%AA_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he/ConsumerInformation/Pages/economicviolenc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i.org.il/he/ConsumerInformation/Pages/economicviolence.aspx"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5.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4.png"/><Relationship Id="rId1" Type="http://schemas.openxmlformats.org/officeDocument/2006/relationships/image" Target="media/image3.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6.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08F6D-4DF7-4513-9A9C-D9F9A255A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D812B-C1FB-4DA1-8C33-8336ECB7DED2}">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CD22E6C7-22EF-42DA-AB96-85826648C7BB}">
  <ds:schemaRefs>
    <ds:schemaRef ds:uri="http://schemas.microsoft.com/sharepoint/v3/contenttype/forms"/>
  </ds:schemaRefs>
</ds:datastoreItem>
</file>

<file path=customXml/itemProps4.xml><?xml version="1.0" encoding="utf-8"?>
<ds:datastoreItem xmlns:ds="http://schemas.openxmlformats.org/officeDocument/2006/customXml" ds:itemID="{4C8373E4-4E5E-4868-8D10-524D0C09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605</Words>
  <Characters>3030</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איילון בנימין</dc:creator>
  <cp:lastModifiedBy>לירון בן עמוס</cp:lastModifiedBy>
  <cp:revision>9</cp:revision>
  <dcterms:created xsi:type="dcterms:W3CDTF">2024-03-10T08:35:00Z</dcterms:created>
  <dcterms:modified xsi:type="dcterms:W3CDTF">2024-03-10T08:54:00Z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