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3B4DD7" w:rsidRDefault="002235F5" w:rsidP="004A0D72">
      <w:pPr>
        <w:bidi w:val="0"/>
        <w:jc w:val="center"/>
        <w:rPr>
          <w:rFonts w:asciiTheme="majorBidi" w:hAnsiTheme="majorBidi" w:cstheme="majorBidi"/>
          <w:rtl/>
        </w:rPr>
      </w:pPr>
      <w:r w:rsidRPr="003B4DD7">
        <w:rPr>
          <w:rFonts w:asciiTheme="majorBidi" w:hAnsiTheme="majorBidi" w:cstheme="majorBidi"/>
          <w:noProof/>
        </w:rPr>
        <w:drawing>
          <wp:inline distT="0" distB="0" distL="0" distR="0">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892A46" w:rsidRPr="003B4DD7" w:rsidRDefault="00892A46" w:rsidP="004A0D72">
      <w:pPr>
        <w:pStyle w:val="regpar"/>
        <w:spacing w:line="300" w:lineRule="atLeast"/>
        <w:ind w:firstLine="0"/>
        <w:jc w:val="center"/>
        <w:rPr>
          <w:rFonts w:asciiTheme="majorBidi" w:hAnsiTheme="majorBidi" w:cstheme="majorBidi"/>
          <w:b/>
          <w:bCs/>
        </w:rPr>
      </w:pPr>
      <w:r w:rsidRPr="003B4DD7">
        <w:rPr>
          <w:rFonts w:asciiTheme="majorBidi" w:hAnsiTheme="majorBidi" w:cstheme="majorBidi"/>
          <w:b/>
          <w:bCs/>
        </w:rPr>
        <w:t>BANK OF ISRAEL</w:t>
      </w:r>
    </w:p>
    <w:p w:rsidR="00892A46" w:rsidRPr="003B4DD7" w:rsidRDefault="00892A46" w:rsidP="004A0D72">
      <w:pPr>
        <w:pStyle w:val="regpar"/>
        <w:spacing w:line="300" w:lineRule="atLeast"/>
        <w:ind w:firstLine="0"/>
        <w:jc w:val="center"/>
        <w:rPr>
          <w:rFonts w:asciiTheme="majorBidi" w:hAnsiTheme="majorBidi" w:cstheme="majorBidi"/>
        </w:rPr>
      </w:pPr>
      <w:r w:rsidRPr="003B4DD7">
        <w:rPr>
          <w:rFonts w:asciiTheme="majorBidi" w:hAnsiTheme="majorBidi" w:cstheme="majorBidi"/>
        </w:rPr>
        <w:t>Office of the Spokesperson and Economic Information</w:t>
      </w:r>
    </w:p>
    <w:p w:rsidR="00B533D5" w:rsidRPr="003B4DD7" w:rsidRDefault="007926C7" w:rsidP="004A0D72">
      <w:pPr>
        <w:bidi w:val="0"/>
        <w:jc w:val="both"/>
        <w:rPr>
          <w:rFonts w:asciiTheme="majorBidi" w:hAnsiTheme="majorBidi" w:cstheme="majorBidi"/>
          <w:rtl/>
        </w:rPr>
      </w:pPr>
      <w:r w:rsidRPr="003B4DD7">
        <w:rPr>
          <w:rFonts w:asciiTheme="majorBidi" w:hAnsiTheme="majorBidi" w:cstheme="majorBidi"/>
        </w:rPr>
        <w:br/>
      </w:r>
    </w:p>
    <w:p w:rsidR="007926C7" w:rsidRPr="003B4DD7" w:rsidRDefault="00E20342" w:rsidP="00750A83">
      <w:pPr>
        <w:bidi w:val="0"/>
        <w:jc w:val="both"/>
        <w:rPr>
          <w:rFonts w:asciiTheme="majorBidi" w:hAnsiTheme="majorBidi" w:cstheme="majorBidi"/>
        </w:rPr>
      </w:pPr>
      <w:r w:rsidRPr="00B84B0A">
        <w:rPr>
          <w:rFonts w:asciiTheme="majorBidi" w:hAnsiTheme="majorBidi" w:cstheme="majorBidi"/>
        </w:rPr>
        <w:t xml:space="preserve">November </w:t>
      </w:r>
      <w:r w:rsidR="00750A83">
        <w:rPr>
          <w:rFonts w:asciiTheme="majorBidi" w:hAnsiTheme="majorBidi" w:cstheme="majorBidi"/>
        </w:rPr>
        <w:t>19</w:t>
      </w:r>
      <w:r w:rsidRPr="00B84B0A">
        <w:rPr>
          <w:rFonts w:asciiTheme="majorBidi" w:hAnsiTheme="majorBidi" w:cstheme="majorBidi"/>
        </w:rPr>
        <w:t>, 2023</w:t>
      </w:r>
    </w:p>
    <w:p w:rsidR="007926C7" w:rsidRPr="003B4DD7" w:rsidRDefault="007926C7" w:rsidP="004A0D72">
      <w:pPr>
        <w:bidi w:val="0"/>
        <w:jc w:val="both"/>
        <w:rPr>
          <w:rFonts w:asciiTheme="majorBidi" w:hAnsiTheme="majorBidi" w:cstheme="majorBidi"/>
        </w:rPr>
      </w:pPr>
    </w:p>
    <w:p w:rsidR="00892A46" w:rsidRPr="003B4DD7" w:rsidRDefault="00892A46" w:rsidP="004A0D72">
      <w:pPr>
        <w:bidi w:val="0"/>
        <w:jc w:val="both"/>
        <w:rPr>
          <w:rFonts w:asciiTheme="majorBidi" w:hAnsiTheme="majorBidi" w:cstheme="majorBidi"/>
        </w:rPr>
      </w:pPr>
      <w:r w:rsidRPr="003B4DD7">
        <w:rPr>
          <w:rFonts w:asciiTheme="majorBidi" w:hAnsiTheme="majorBidi" w:cstheme="majorBidi"/>
        </w:rPr>
        <w:t>Press Release:</w:t>
      </w:r>
    </w:p>
    <w:p w:rsidR="00892A46" w:rsidRPr="003B4DD7" w:rsidRDefault="00892A46" w:rsidP="004A0D72">
      <w:pPr>
        <w:tabs>
          <w:tab w:val="center" w:pos="4156"/>
          <w:tab w:val="right" w:pos="8312"/>
        </w:tabs>
        <w:bidi w:val="0"/>
        <w:jc w:val="both"/>
        <w:rPr>
          <w:rFonts w:asciiTheme="majorBidi" w:hAnsiTheme="majorBidi" w:cstheme="majorBidi"/>
        </w:rPr>
      </w:pPr>
    </w:p>
    <w:p w:rsidR="000D4E65" w:rsidRPr="001C06B4" w:rsidRDefault="00CD0D68" w:rsidP="00CD0D68">
      <w:pPr>
        <w:bidi w:val="0"/>
        <w:jc w:val="center"/>
        <w:rPr>
          <w:b/>
          <w:bCs/>
          <w:sz w:val="28"/>
          <w:szCs w:val="28"/>
          <w:rtl/>
        </w:rPr>
      </w:pPr>
      <w:r w:rsidRPr="001C06B4">
        <w:rPr>
          <w:b/>
          <w:bCs/>
          <w:sz w:val="28"/>
          <w:szCs w:val="28"/>
        </w:rPr>
        <w:t>Set of s</w:t>
      </w:r>
      <w:r w:rsidR="00E20342" w:rsidRPr="001C06B4">
        <w:rPr>
          <w:b/>
          <w:bCs/>
          <w:sz w:val="28"/>
          <w:szCs w:val="28"/>
        </w:rPr>
        <w:t>teps promot</w:t>
      </w:r>
      <w:r w:rsidR="00F24107" w:rsidRPr="001C06B4">
        <w:rPr>
          <w:b/>
          <w:bCs/>
          <w:sz w:val="28"/>
          <w:szCs w:val="28"/>
        </w:rPr>
        <w:t xml:space="preserve">ing </w:t>
      </w:r>
      <w:r w:rsidR="00E20342" w:rsidRPr="001C06B4">
        <w:rPr>
          <w:b/>
          <w:bCs/>
          <w:sz w:val="28"/>
          <w:szCs w:val="28"/>
        </w:rPr>
        <w:t xml:space="preserve">the payments market and </w:t>
      </w:r>
      <w:r w:rsidRPr="001C06B4">
        <w:rPr>
          <w:b/>
          <w:bCs/>
          <w:sz w:val="28"/>
          <w:szCs w:val="28"/>
        </w:rPr>
        <w:t>providing a response to market needs during the Swords of Iron war</w:t>
      </w:r>
    </w:p>
    <w:p w:rsidR="00C06B06" w:rsidRDefault="00C06B06" w:rsidP="004A0D72">
      <w:pPr>
        <w:bidi w:val="0"/>
        <w:jc w:val="both"/>
        <w:rPr>
          <w:b/>
          <w:bCs/>
          <w:sz w:val="32"/>
          <w:szCs w:val="32"/>
        </w:rPr>
      </w:pPr>
    </w:p>
    <w:p w:rsidR="00A962CF" w:rsidRDefault="00E20342" w:rsidP="0034783D">
      <w:pPr>
        <w:bidi w:val="0"/>
        <w:jc w:val="both"/>
        <w:rPr>
          <w:b/>
          <w:bCs/>
        </w:rPr>
      </w:pPr>
      <w:r>
        <w:rPr>
          <w:b/>
          <w:bCs/>
        </w:rPr>
        <w:t xml:space="preserve">Before the eruption of the “Swords of Iron” War, the </w:t>
      </w:r>
      <w:r w:rsidR="00BB0F68">
        <w:rPr>
          <w:b/>
          <w:bCs/>
        </w:rPr>
        <w:t xml:space="preserve">Bank of Israel </w:t>
      </w:r>
      <w:r>
        <w:rPr>
          <w:b/>
          <w:bCs/>
        </w:rPr>
        <w:t xml:space="preserve">worked </w:t>
      </w:r>
      <w:r w:rsidR="002212D1">
        <w:rPr>
          <w:b/>
          <w:bCs/>
        </w:rPr>
        <w:t>in</w:t>
      </w:r>
      <w:r>
        <w:rPr>
          <w:b/>
          <w:bCs/>
        </w:rPr>
        <w:t xml:space="preserve"> </w:t>
      </w:r>
      <w:r w:rsidR="00D97E4A">
        <w:rPr>
          <w:b/>
          <w:bCs/>
        </w:rPr>
        <w:t>various</w:t>
      </w:r>
      <w:r>
        <w:rPr>
          <w:b/>
          <w:bCs/>
        </w:rPr>
        <w:t xml:space="preserve"> </w:t>
      </w:r>
      <w:r w:rsidR="002212D1">
        <w:rPr>
          <w:b/>
          <w:bCs/>
        </w:rPr>
        <w:t xml:space="preserve">areas </w:t>
      </w:r>
      <w:r w:rsidR="00D97E4A">
        <w:rPr>
          <w:b/>
          <w:bCs/>
        </w:rPr>
        <w:t xml:space="preserve">intended </w:t>
      </w:r>
      <w:r>
        <w:rPr>
          <w:b/>
          <w:bCs/>
        </w:rPr>
        <w:t xml:space="preserve">to </w:t>
      </w:r>
      <w:r w:rsidR="00767F0C">
        <w:rPr>
          <w:b/>
          <w:bCs/>
        </w:rPr>
        <w:t xml:space="preserve">strengthen </w:t>
      </w:r>
      <w:r>
        <w:rPr>
          <w:b/>
          <w:bCs/>
        </w:rPr>
        <w:t xml:space="preserve">the </w:t>
      </w:r>
      <w:r w:rsidR="00D97E4A">
        <w:rPr>
          <w:b/>
          <w:bCs/>
        </w:rPr>
        <w:t>stability</w:t>
      </w:r>
      <w:r>
        <w:rPr>
          <w:b/>
          <w:bCs/>
        </w:rPr>
        <w:t xml:space="preserve"> and efficiency</w:t>
      </w:r>
      <w:r w:rsidR="00AE4DA5">
        <w:rPr>
          <w:b/>
          <w:bCs/>
        </w:rPr>
        <w:t xml:space="preserve"> </w:t>
      </w:r>
      <w:r>
        <w:rPr>
          <w:b/>
          <w:bCs/>
        </w:rPr>
        <w:t xml:space="preserve">of the </w:t>
      </w:r>
      <w:r w:rsidR="00D97E4A">
        <w:rPr>
          <w:b/>
          <w:bCs/>
        </w:rPr>
        <w:t>economy</w:t>
      </w:r>
      <w:r>
        <w:rPr>
          <w:b/>
          <w:bCs/>
        </w:rPr>
        <w:t xml:space="preserve"> in the pay</w:t>
      </w:r>
      <w:r w:rsidR="00D97E4A">
        <w:rPr>
          <w:b/>
          <w:bCs/>
        </w:rPr>
        <w:t>m</w:t>
      </w:r>
      <w:r>
        <w:rPr>
          <w:b/>
          <w:bCs/>
        </w:rPr>
        <w:t>en</w:t>
      </w:r>
      <w:r w:rsidR="00D97E4A">
        <w:rPr>
          <w:b/>
          <w:bCs/>
        </w:rPr>
        <w:t>t</w:t>
      </w:r>
      <w:r>
        <w:rPr>
          <w:b/>
          <w:bCs/>
        </w:rPr>
        <w:t>s</w:t>
      </w:r>
      <w:r w:rsidR="00D97E4A">
        <w:rPr>
          <w:b/>
          <w:bCs/>
        </w:rPr>
        <w:t xml:space="preserve"> </w:t>
      </w:r>
      <w:r>
        <w:rPr>
          <w:b/>
          <w:bCs/>
        </w:rPr>
        <w:t>sphere</w:t>
      </w:r>
      <w:r w:rsidR="00BB0F68">
        <w:rPr>
          <w:b/>
          <w:bCs/>
        </w:rPr>
        <w:t>, from the aspects of using means of payment remotely, data security and business continuity, and enhancing competi</w:t>
      </w:r>
      <w:r w:rsidR="001D7EB1">
        <w:rPr>
          <w:b/>
          <w:bCs/>
        </w:rPr>
        <w:t>t</w:t>
      </w:r>
      <w:r w:rsidR="00BB0F68">
        <w:rPr>
          <w:b/>
          <w:bCs/>
        </w:rPr>
        <w:t xml:space="preserve">ion in the market. This includes by </w:t>
      </w:r>
      <w:r w:rsidR="00AE4DA5">
        <w:rPr>
          <w:b/>
          <w:bCs/>
        </w:rPr>
        <w:t>increas</w:t>
      </w:r>
      <w:r w:rsidR="006729EE">
        <w:rPr>
          <w:b/>
          <w:bCs/>
        </w:rPr>
        <w:t>ing</w:t>
      </w:r>
      <w:r w:rsidR="00AE4DA5">
        <w:rPr>
          <w:b/>
          <w:bCs/>
        </w:rPr>
        <w:t xml:space="preserve"> the number of financial entities in the economy </w:t>
      </w:r>
      <w:r w:rsidR="00767F0C">
        <w:rPr>
          <w:b/>
          <w:bCs/>
        </w:rPr>
        <w:t xml:space="preserve">whose financial activity begins </w:t>
      </w:r>
      <w:r w:rsidR="007F2219">
        <w:rPr>
          <w:b/>
          <w:bCs/>
        </w:rPr>
        <w:t xml:space="preserve">with the provision </w:t>
      </w:r>
      <w:r w:rsidR="00395D3F">
        <w:rPr>
          <w:b/>
          <w:bCs/>
        </w:rPr>
        <w:t>payment</w:t>
      </w:r>
      <w:r w:rsidR="007F2219">
        <w:rPr>
          <w:b/>
          <w:bCs/>
        </w:rPr>
        <w:t xml:space="preserve"> services</w:t>
      </w:r>
      <w:r w:rsidR="00395D3F">
        <w:rPr>
          <w:b/>
          <w:bCs/>
        </w:rPr>
        <w:t xml:space="preserve">. With the outbreak of the war, these goals became even more important, as the </w:t>
      </w:r>
      <w:r w:rsidR="00BB0F68">
        <w:rPr>
          <w:b/>
          <w:bCs/>
        </w:rPr>
        <w:t xml:space="preserve">continuous activity </w:t>
      </w:r>
      <w:r w:rsidR="00395D3F">
        <w:rPr>
          <w:b/>
          <w:bCs/>
        </w:rPr>
        <w:t xml:space="preserve">of </w:t>
      </w:r>
      <w:r w:rsidR="00BB0F68">
        <w:rPr>
          <w:b/>
          <w:bCs/>
        </w:rPr>
        <w:t xml:space="preserve">the </w:t>
      </w:r>
      <w:r w:rsidR="00395D3F">
        <w:rPr>
          <w:b/>
          <w:bCs/>
        </w:rPr>
        <w:t xml:space="preserve">payment systems is essential for the economy’s </w:t>
      </w:r>
      <w:r w:rsidR="00DC1F64" w:rsidRPr="00E47725">
        <w:rPr>
          <w:b/>
          <w:bCs/>
        </w:rPr>
        <w:t xml:space="preserve">continued </w:t>
      </w:r>
      <w:r w:rsidR="00395D3F" w:rsidRPr="00E47725">
        <w:rPr>
          <w:b/>
          <w:bCs/>
        </w:rPr>
        <w:t>functioning.</w:t>
      </w:r>
      <w:r w:rsidR="0082451A" w:rsidRPr="00E47725">
        <w:rPr>
          <w:b/>
          <w:bCs/>
        </w:rPr>
        <w:t xml:space="preserve"> Since the beginning of the war, the </w:t>
      </w:r>
      <w:r w:rsidR="00E47725" w:rsidRPr="00E47725">
        <w:rPr>
          <w:b/>
          <w:bCs/>
        </w:rPr>
        <w:t xml:space="preserve">Payment and </w:t>
      </w:r>
      <w:r w:rsidR="00094A4D" w:rsidRPr="00E47725">
        <w:rPr>
          <w:b/>
          <w:bCs/>
        </w:rPr>
        <w:t>Settlement</w:t>
      </w:r>
      <w:r w:rsidR="00E47725" w:rsidRPr="00E47725">
        <w:rPr>
          <w:b/>
          <w:bCs/>
        </w:rPr>
        <w:t xml:space="preserve"> Systems </w:t>
      </w:r>
      <w:r w:rsidR="0082451A" w:rsidRPr="00E47725">
        <w:rPr>
          <w:b/>
          <w:bCs/>
        </w:rPr>
        <w:t>Department</w:t>
      </w:r>
      <w:r w:rsidR="00BB0F68">
        <w:rPr>
          <w:b/>
          <w:bCs/>
        </w:rPr>
        <w:t xml:space="preserve">, which leads this area at the Bank of Israel, </w:t>
      </w:r>
      <w:r w:rsidR="0082451A" w:rsidRPr="00E47725">
        <w:rPr>
          <w:b/>
          <w:bCs/>
        </w:rPr>
        <w:t xml:space="preserve">has been working </w:t>
      </w:r>
      <w:r w:rsidR="00BB0F68">
        <w:rPr>
          <w:b/>
          <w:bCs/>
        </w:rPr>
        <w:t xml:space="preserve">on an </w:t>
      </w:r>
      <w:r w:rsidR="0082451A" w:rsidRPr="00E47725">
        <w:rPr>
          <w:b/>
          <w:bCs/>
        </w:rPr>
        <w:t>emergency</w:t>
      </w:r>
      <w:r w:rsidR="007F2219">
        <w:rPr>
          <w:b/>
          <w:bCs/>
        </w:rPr>
        <w:t xml:space="preserve"> </w:t>
      </w:r>
      <w:r w:rsidR="00BB0F68">
        <w:rPr>
          <w:b/>
          <w:bCs/>
        </w:rPr>
        <w:t>footing</w:t>
      </w:r>
      <w:r w:rsidR="0082451A" w:rsidRPr="00E47725">
        <w:rPr>
          <w:b/>
          <w:bCs/>
        </w:rPr>
        <w:t xml:space="preserve">, holding </w:t>
      </w:r>
      <w:r w:rsidR="00DC1F64" w:rsidRPr="00E47725">
        <w:rPr>
          <w:b/>
          <w:bCs/>
        </w:rPr>
        <w:t>frequent</w:t>
      </w:r>
      <w:r w:rsidR="00DC1F64">
        <w:rPr>
          <w:b/>
          <w:bCs/>
        </w:rPr>
        <w:t xml:space="preserve"> </w:t>
      </w:r>
      <w:r w:rsidR="00E47725">
        <w:rPr>
          <w:b/>
          <w:bCs/>
        </w:rPr>
        <w:t>assessments</w:t>
      </w:r>
      <w:r w:rsidR="006729EE">
        <w:rPr>
          <w:b/>
          <w:bCs/>
        </w:rPr>
        <w:t xml:space="preserve"> with various market participants.</w:t>
      </w:r>
      <w:r w:rsidR="00E47725">
        <w:rPr>
          <w:b/>
          <w:bCs/>
        </w:rPr>
        <w:t xml:space="preserve"> The Department </w:t>
      </w:r>
      <w:r w:rsidR="00581A76">
        <w:rPr>
          <w:b/>
          <w:bCs/>
        </w:rPr>
        <w:t>establish</w:t>
      </w:r>
      <w:r w:rsidR="00C572F8">
        <w:rPr>
          <w:b/>
          <w:bCs/>
        </w:rPr>
        <w:t>ed</w:t>
      </w:r>
      <w:r w:rsidR="00581A76">
        <w:rPr>
          <w:b/>
          <w:bCs/>
        </w:rPr>
        <w:t xml:space="preserve"> </w:t>
      </w:r>
      <w:r w:rsidR="006729EE">
        <w:rPr>
          <w:b/>
          <w:bCs/>
        </w:rPr>
        <w:t xml:space="preserve">designated </w:t>
      </w:r>
      <w:r w:rsidR="00581A76">
        <w:rPr>
          <w:b/>
          <w:bCs/>
        </w:rPr>
        <w:t>forums</w:t>
      </w:r>
      <w:r w:rsidR="006729EE">
        <w:rPr>
          <w:b/>
          <w:bCs/>
        </w:rPr>
        <w:t xml:space="preserve"> </w:t>
      </w:r>
      <w:r w:rsidR="00581A76">
        <w:rPr>
          <w:b/>
          <w:bCs/>
        </w:rPr>
        <w:t xml:space="preserve">for </w:t>
      </w:r>
      <w:r w:rsidR="007F2219">
        <w:rPr>
          <w:b/>
          <w:bCs/>
        </w:rPr>
        <w:t xml:space="preserve">addressing </w:t>
      </w:r>
      <w:r w:rsidR="00581A76">
        <w:rPr>
          <w:b/>
          <w:bCs/>
        </w:rPr>
        <w:t>the emergency</w:t>
      </w:r>
      <w:r w:rsidR="0034783D">
        <w:rPr>
          <w:b/>
          <w:bCs/>
        </w:rPr>
        <w:t xml:space="preserve"> </w:t>
      </w:r>
      <w:r w:rsidR="00581A76">
        <w:rPr>
          <w:b/>
          <w:bCs/>
        </w:rPr>
        <w:t>situation</w:t>
      </w:r>
      <w:r w:rsidR="00FB2008" w:rsidRPr="003D2A00">
        <w:rPr>
          <w:b/>
          <w:bCs/>
        </w:rPr>
        <w:t>,</w:t>
      </w:r>
      <w:r w:rsidR="00FB2008">
        <w:rPr>
          <w:b/>
          <w:bCs/>
        </w:rPr>
        <w:t xml:space="preserve"> </w:t>
      </w:r>
      <w:r w:rsidR="007F2219">
        <w:rPr>
          <w:b/>
          <w:bCs/>
        </w:rPr>
        <w:t xml:space="preserve">while </w:t>
      </w:r>
      <w:r w:rsidR="00D2697B">
        <w:rPr>
          <w:b/>
          <w:bCs/>
        </w:rPr>
        <w:t>sharing,</w:t>
      </w:r>
      <w:r w:rsidR="00FB2008">
        <w:rPr>
          <w:b/>
          <w:bCs/>
        </w:rPr>
        <w:t xml:space="preserve"> overseeing, and formulating solutions </w:t>
      </w:r>
      <w:r w:rsidR="007F2219">
        <w:rPr>
          <w:b/>
          <w:bCs/>
        </w:rPr>
        <w:t>for</w:t>
      </w:r>
      <w:r w:rsidR="00FB2008">
        <w:rPr>
          <w:b/>
          <w:bCs/>
        </w:rPr>
        <w:t xml:space="preserve"> various scenarios</w:t>
      </w:r>
      <w:r w:rsidR="007F2219">
        <w:rPr>
          <w:b/>
          <w:bCs/>
        </w:rPr>
        <w:t xml:space="preserve">. </w:t>
      </w:r>
      <w:r w:rsidR="00BB0F68">
        <w:rPr>
          <w:b/>
          <w:bCs/>
        </w:rPr>
        <w:t>In parallel, t</w:t>
      </w:r>
      <w:r w:rsidR="007F2219">
        <w:rPr>
          <w:b/>
          <w:bCs/>
        </w:rPr>
        <w:t>he Departm</w:t>
      </w:r>
      <w:r w:rsidR="00BB0F68">
        <w:rPr>
          <w:b/>
          <w:bCs/>
        </w:rPr>
        <w:t>e</w:t>
      </w:r>
      <w:r w:rsidR="007F2219">
        <w:rPr>
          <w:b/>
          <w:bCs/>
        </w:rPr>
        <w:t xml:space="preserve">nt </w:t>
      </w:r>
      <w:r w:rsidR="006729EE">
        <w:rPr>
          <w:b/>
          <w:bCs/>
        </w:rPr>
        <w:t>also</w:t>
      </w:r>
      <w:r w:rsidR="00FB2008">
        <w:rPr>
          <w:b/>
          <w:bCs/>
        </w:rPr>
        <w:t xml:space="preserve"> continu</w:t>
      </w:r>
      <w:r w:rsidR="007F2219">
        <w:rPr>
          <w:b/>
          <w:bCs/>
        </w:rPr>
        <w:t>es</w:t>
      </w:r>
      <w:r w:rsidR="00FB2008">
        <w:rPr>
          <w:b/>
          <w:bCs/>
        </w:rPr>
        <w:t xml:space="preserve"> </w:t>
      </w:r>
      <w:r w:rsidR="006729EE">
        <w:rPr>
          <w:b/>
          <w:bCs/>
        </w:rPr>
        <w:t xml:space="preserve">its </w:t>
      </w:r>
      <w:r w:rsidR="006269DA">
        <w:rPr>
          <w:b/>
          <w:bCs/>
        </w:rPr>
        <w:t xml:space="preserve">regular </w:t>
      </w:r>
      <w:r w:rsidR="006729EE">
        <w:rPr>
          <w:b/>
          <w:bCs/>
        </w:rPr>
        <w:t>activit</w:t>
      </w:r>
      <w:r w:rsidR="007F2219">
        <w:rPr>
          <w:b/>
          <w:bCs/>
        </w:rPr>
        <w:t>ies</w:t>
      </w:r>
      <w:r w:rsidR="00FB2008">
        <w:rPr>
          <w:b/>
          <w:bCs/>
        </w:rPr>
        <w:t>.</w:t>
      </w:r>
    </w:p>
    <w:p w:rsidR="00355185" w:rsidRDefault="00355185" w:rsidP="004A0D72">
      <w:pPr>
        <w:bidi w:val="0"/>
        <w:jc w:val="both"/>
        <w:rPr>
          <w:b/>
          <w:bCs/>
        </w:rPr>
      </w:pPr>
    </w:p>
    <w:p w:rsidR="00591BD8" w:rsidRPr="00591BD8" w:rsidRDefault="00591BD8" w:rsidP="00591BD8">
      <w:pPr>
        <w:bidi w:val="0"/>
        <w:ind w:right="-102"/>
        <w:jc w:val="both"/>
      </w:pPr>
      <w:r>
        <w:rPr>
          <w:b/>
          <w:bCs/>
        </w:rPr>
        <w:t xml:space="preserve">Governor of the Bank of Israel Prof. Amir </w:t>
      </w:r>
      <w:proofErr w:type="spellStart"/>
      <w:r>
        <w:rPr>
          <w:b/>
          <w:bCs/>
        </w:rPr>
        <w:t>Yaron</w:t>
      </w:r>
      <w:proofErr w:type="spellEnd"/>
      <w:r>
        <w:rPr>
          <w:b/>
          <w:bCs/>
        </w:rPr>
        <w:t xml:space="preserve"> </w:t>
      </w:r>
      <w:r w:rsidRPr="00591BD8">
        <w:t>said, “The payments market has come a very long way in recent years, and its development is a strategic goal of ours at the Bank of Israel. The range of steps published now are an additional pillar in the market development plan that we formulated at the Bank, and the promotion of innovation and competition in it. The continued important activity of the Payment and Settlement Systems Department even at this time, while making the adjustments required in view of the war and the needs arising from the economy, is very impo</w:t>
      </w:r>
      <w:r>
        <w:t>r</w:t>
      </w:r>
      <w:r w:rsidRPr="00591BD8">
        <w:t>tant in supporting the Israeli economy.”</w:t>
      </w:r>
    </w:p>
    <w:p w:rsidR="00591BD8" w:rsidRDefault="00591BD8" w:rsidP="00591BD8">
      <w:pPr>
        <w:bidi w:val="0"/>
        <w:jc w:val="both"/>
        <w:rPr>
          <w:b/>
          <w:bCs/>
        </w:rPr>
      </w:pPr>
    </w:p>
    <w:p w:rsidR="005D49DA" w:rsidRDefault="00355185" w:rsidP="001D7EB1">
      <w:pPr>
        <w:bidi w:val="0"/>
        <w:jc w:val="both"/>
      </w:pPr>
      <w:r w:rsidRPr="001909FA">
        <w:rPr>
          <w:b/>
          <w:bCs/>
        </w:rPr>
        <w:t xml:space="preserve">Payment and Settlement Systems Department Director </w:t>
      </w:r>
      <w:r w:rsidRPr="00615C7D">
        <w:rPr>
          <w:b/>
          <w:bCs/>
        </w:rPr>
        <w:t>Mr. Oded Salomy</w:t>
      </w:r>
      <w:r w:rsidRPr="00D87CA7">
        <w:t xml:space="preserve"> said</w:t>
      </w:r>
      <w:r>
        <w:t>, “</w:t>
      </w:r>
      <w:r w:rsidR="007F2219">
        <w:t xml:space="preserve">Israel’s current state of </w:t>
      </w:r>
      <w:r>
        <w:t xml:space="preserve">emergency has a </w:t>
      </w:r>
      <w:r w:rsidR="00CE58B4">
        <w:t xml:space="preserve">marked </w:t>
      </w:r>
      <w:r>
        <w:t xml:space="preserve">impact on the conduct of consumers and businesses in the payments </w:t>
      </w:r>
      <w:r w:rsidR="007F2219">
        <w:t>arena</w:t>
      </w:r>
      <w:r>
        <w:t>. We are working to enable consumers and businesses to use mean</w:t>
      </w:r>
      <w:r w:rsidR="001F64DA">
        <w:t>s</w:t>
      </w:r>
      <w:r>
        <w:t xml:space="preserve"> of payment remotely on a consistent basis, without </w:t>
      </w:r>
      <w:r w:rsidR="00CC2E3C">
        <w:t xml:space="preserve">having </w:t>
      </w:r>
      <w:r>
        <w:t xml:space="preserve">to </w:t>
      </w:r>
      <w:r w:rsidR="007F2219">
        <w:t xml:space="preserve">travel </w:t>
      </w:r>
      <w:r>
        <w:t xml:space="preserve">physically to execute a transaction, and to </w:t>
      </w:r>
      <w:r w:rsidRPr="004374D6">
        <w:t xml:space="preserve">verify that </w:t>
      </w:r>
      <w:r w:rsidR="007F2219" w:rsidRPr="004374D6">
        <w:t xml:space="preserve">local </w:t>
      </w:r>
      <w:r w:rsidRPr="004374D6">
        <w:t>payment systems</w:t>
      </w:r>
      <w:r>
        <w:t xml:space="preserve"> continu</w:t>
      </w:r>
      <w:r w:rsidR="007F2219">
        <w:t>e</w:t>
      </w:r>
      <w:r>
        <w:t xml:space="preserve"> </w:t>
      </w:r>
      <w:r w:rsidR="00D07275">
        <w:t xml:space="preserve">to </w:t>
      </w:r>
      <w:r w:rsidR="007F2219">
        <w:t xml:space="preserve">operate </w:t>
      </w:r>
      <w:r w:rsidR="00D07275">
        <w:t xml:space="preserve">and </w:t>
      </w:r>
      <w:r w:rsidR="007F2219">
        <w:t xml:space="preserve">provide </w:t>
      </w:r>
      <w:r w:rsidR="006269DA">
        <w:t xml:space="preserve">all </w:t>
      </w:r>
      <w:r w:rsidR="007473D6">
        <w:t xml:space="preserve">services with high availability, with the required protections. The steps we are leading impact </w:t>
      </w:r>
      <w:r w:rsidR="006269DA">
        <w:t xml:space="preserve">on </w:t>
      </w:r>
      <w:r w:rsidR="007473D6">
        <w:t xml:space="preserve">all the entities that participate in the </w:t>
      </w:r>
      <w:r w:rsidR="006269DA">
        <w:t>various payment systems, within the Bank and outside it.</w:t>
      </w:r>
      <w:r w:rsidR="001D7EB1">
        <w:t xml:space="preserve"> </w:t>
      </w:r>
      <w:r w:rsidR="006269DA">
        <w:t xml:space="preserve">Alongside that, we </w:t>
      </w:r>
      <w:r w:rsidR="00BA009A">
        <w:t>continu</w:t>
      </w:r>
      <w:r w:rsidR="00D36ABC">
        <w:t>e</w:t>
      </w:r>
      <w:r w:rsidR="006269DA">
        <w:t xml:space="preserve"> </w:t>
      </w:r>
      <w:r w:rsidR="00BA009A">
        <w:t xml:space="preserve">to take </w:t>
      </w:r>
      <w:r w:rsidR="006269DA">
        <w:t xml:space="preserve">steps all the time </w:t>
      </w:r>
      <w:r w:rsidR="00BA009A">
        <w:t>that help promot</w:t>
      </w:r>
      <w:r w:rsidR="0012649D">
        <w:t>e</w:t>
      </w:r>
      <w:r w:rsidR="00BA009A">
        <w:t xml:space="preserve"> competition in the financial sector</w:t>
      </w:r>
      <w:r w:rsidR="006729EE">
        <w:t>.”</w:t>
      </w:r>
    </w:p>
    <w:p w:rsidR="005D49DA" w:rsidRDefault="005D49DA">
      <w:pPr>
        <w:bidi w:val="0"/>
      </w:pPr>
      <w:r>
        <w:br w:type="page"/>
      </w:r>
    </w:p>
    <w:p w:rsidR="00FC159C" w:rsidRDefault="00FC159C" w:rsidP="001D7EB1">
      <w:pPr>
        <w:bidi w:val="0"/>
        <w:jc w:val="both"/>
      </w:pPr>
    </w:p>
    <w:p w:rsidR="00BA009A" w:rsidRDefault="00BA009A" w:rsidP="004A0D72">
      <w:pPr>
        <w:bidi w:val="0"/>
        <w:jc w:val="both"/>
      </w:pPr>
    </w:p>
    <w:p w:rsidR="00BA009A" w:rsidRPr="00C32009" w:rsidRDefault="009C5F49" w:rsidP="009C5F49">
      <w:pPr>
        <w:bidi w:val="0"/>
        <w:jc w:val="both"/>
        <w:rPr>
          <w:u w:val="single"/>
        </w:rPr>
      </w:pPr>
      <w:r>
        <w:rPr>
          <w:u w:val="single"/>
        </w:rPr>
        <w:t xml:space="preserve">Following are the steps published today by the </w:t>
      </w:r>
      <w:r w:rsidR="00C76ABB" w:rsidRPr="00C76ABB">
        <w:rPr>
          <w:u w:val="single"/>
        </w:rPr>
        <w:t xml:space="preserve">Payment and Settlement Systems </w:t>
      </w:r>
      <w:r w:rsidR="00BA009A" w:rsidRPr="00C76ABB">
        <w:rPr>
          <w:u w:val="single"/>
        </w:rPr>
        <w:t>Department</w:t>
      </w:r>
      <w:r>
        <w:rPr>
          <w:u w:val="single"/>
        </w:rPr>
        <w:t xml:space="preserve"> for the ongoing and designated </w:t>
      </w:r>
      <w:r w:rsidR="005D49DA">
        <w:rPr>
          <w:u w:val="single"/>
        </w:rPr>
        <w:t>activity and in view of the war:</w:t>
      </w:r>
    </w:p>
    <w:p w:rsidR="00BA009A" w:rsidRDefault="00BA009A" w:rsidP="004A0D72">
      <w:pPr>
        <w:bidi w:val="0"/>
        <w:jc w:val="both"/>
      </w:pPr>
    </w:p>
    <w:p w:rsidR="00BA009A" w:rsidRDefault="00E530E4" w:rsidP="004A0D72">
      <w:pPr>
        <w:pStyle w:val="aa"/>
        <w:numPr>
          <w:ilvl w:val="0"/>
          <w:numId w:val="7"/>
        </w:numPr>
        <w:ind w:left="360"/>
        <w:jc w:val="both"/>
      </w:pPr>
      <w:r w:rsidRPr="00C32009">
        <w:rPr>
          <w:b/>
          <w:bCs/>
        </w:rPr>
        <w:t xml:space="preserve">Increase in the ceiling </w:t>
      </w:r>
      <w:r w:rsidR="00673FB5">
        <w:rPr>
          <w:b/>
          <w:bCs/>
        </w:rPr>
        <w:t xml:space="preserve">for </w:t>
      </w:r>
      <w:r w:rsidRPr="00C32009">
        <w:rPr>
          <w:b/>
          <w:bCs/>
        </w:rPr>
        <w:t>depositing a check via mobile, from NIS 50,000 to NIS 100,000</w:t>
      </w:r>
    </w:p>
    <w:p w:rsidR="00D8178A" w:rsidRDefault="00E530E4" w:rsidP="00AD470E">
      <w:pPr>
        <w:pStyle w:val="aa"/>
        <w:ind w:left="360"/>
        <w:jc w:val="both"/>
      </w:pPr>
      <w:r>
        <w:t xml:space="preserve">Depositing a check via mobile is one of the digital services that the public continues to use as </w:t>
      </w:r>
      <w:r w:rsidR="00673FB5">
        <w:t xml:space="preserve">in </w:t>
      </w:r>
      <w:r>
        <w:t>routine</w:t>
      </w:r>
      <w:r w:rsidR="00673FB5">
        <w:t xml:space="preserve"> times</w:t>
      </w:r>
      <w:r>
        <w:t>, remotely, and without needi</w:t>
      </w:r>
      <w:r w:rsidR="00D8178A">
        <w:t xml:space="preserve">ng to arrive at the bank branch. Increasing the deposit ceiling amount </w:t>
      </w:r>
      <w:r w:rsidR="003F0E79">
        <w:t xml:space="preserve">enables the public to deposit checks at </w:t>
      </w:r>
      <w:r w:rsidR="007C0B52">
        <w:t>tho</w:t>
      </w:r>
      <w:r w:rsidR="003F0E79">
        <w:t>s</w:t>
      </w:r>
      <w:r w:rsidR="007C0B52">
        <w:t>e</w:t>
      </w:r>
      <w:r w:rsidR="003F0E79">
        <w:t xml:space="preserve"> higher amounts as we</w:t>
      </w:r>
      <w:r w:rsidR="007C0B52">
        <w:t>l</w:t>
      </w:r>
      <w:r w:rsidR="003F0E79">
        <w:t xml:space="preserve">l, from anywhere there is access to a mobile network or Internet connection. According </w:t>
      </w:r>
      <w:r w:rsidR="007403CA">
        <w:t xml:space="preserve">to </w:t>
      </w:r>
      <w:r w:rsidR="005E574E">
        <w:t xml:space="preserve">the </w:t>
      </w:r>
      <w:r w:rsidR="007403CA">
        <w:t>Bank of Israel</w:t>
      </w:r>
      <w:r w:rsidR="005E574E">
        <w:t xml:space="preserve">’s </w:t>
      </w:r>
      <w:r w:rsidR="007403CA">
        <w:t>assessment</w:t>
      </w:r>
      <w:r w:rsidR="003F0E79">
        <w:t xml:space="preserve">, there are </w:t>
      </w:r>
      <w:r w:rsidR="007C0B52">
        <w:t>around</w:t>
      </w:r>
      <w:r w:rsidR="003F0E79">
        <w:t xml:space="preserve"> 1.65 million checks </w:t>
      </w:r>
      <w:r w:rsidR="007C0B52">
        <w:t>annually</w:t>
      </w:r>
      <w:r w:rsidR="00F22B14">
        <w:t xml:space="preserve"> </w:t>
      </w:r>
      <w:r w:rsidR="003F0E79">
        <w:t xml:space="preserve">within the </w:t>
      </w:r>
      <w:r w:rsidR="007C0B52">
        <w:t>range</w:t>
      </w:r>
      <w:r w:rsidR="003F0E79">
        <w:t xml:space="preserve"> of </w:t>
      </w:r>
      <w:r w:rsidR="007C0B52">
        <w:t>these</w:t>
      </w:r>
      <w:r w:rsidR="003F0E79">
        <w:t xml:space="preserve"> amounts, for an average of 137,000 </w:t>
      </w:r>
      <w:r w:rsidR="005E574E">
        <w:t xml:space="preserve">checks </w:t>
      </w:r>
      <w:r w:rsidR="007C0B52">
        <w:t>per month</w:t>
      </w:r>
      <w:r w:rsidR="003F0E79">
        <w:t>, whi</w:t>
      </w:r>
      <w:r w:rsidR="007C0B52">
        <w:t xml:space="preserve">ch </w:t>
      </w:r>
      <w:r w:rsidR="003F0E79">
        <w:t xml:space="preserve">the public </w:t>
      </w:r>
      <w:r w:rsidR="007C0B52">
        <w:t>will</w:t>
      </w:r>
      <w:r w:rsidR="003F0E79">
        <w:t xml:space="preserve"> be able to </w:t>
      </w:r>
      <w:r w:rsidR="007C0B52">
        <w:t>deposit</w:t>
      </w:r>
      <w:r w:rsidR="003F0E79">
        <w:t xml:space="preserve"> with</w:t>
      </w:r>
      <w:r w:rsidR="00673FB5">
        <w:t xml:space="preserve">out </w:t>
      </w:r>
      <w:r w:rsidR="007C0B52">
        <w:t>physically</w:t>
      </w:r>
      <w:r w:rsidR="003F0E79">
        <w:t xml:space="preserve"> traveling in open spaces during a time of war, and after that as well. </w:t>
      </w:r>
      <w:r w:rsidR="007C0B52">
        <w:t>This</w:t>
      </w:r>
      <w:r w:rsidR="003F0E79">
        <w:t xml:space="preserve"> step </w:t>
      </w:r>
      <w:r w:rsidR="007C0B52">
        <w:t>contributes</w:t>
      </w:r>
      <w:r w:rsidR="003F0E79">
        <w:t xml:space="preserve"> to continued </w:t>
      </w:r>
      <w:r w:rsidR="007C0B52">
        <w:t>business</w:t>
      </w:r>
      <w:r w:rsidR="003F0E79">
        <w:t xml:space="preserve"> </w:t>
      </w:r>
      <w:r w:rsidR="00664BB9">
        <w:t>activity,</w:t>
      </w:r>
      <w:r w:rsidR="003F0E79">
        <w:t xml:space="preserve"> </w:t>
      </w:r>
      <w:r w:rsidR="007C0B52">
        <w:t>enhanc</w:t>
      </w:r>
      <w:r w:rsidR="00673FB5">
        <w:t>es</w:t>
      </w:r>
      <w:r w:rsidR="003F0E79">
        <w:t xml:space="preserve"> the </w:t>
      </w:r>
      <w:r w:rsidR="00673FB5" w:rsidRPr="003D2A00">
        <w:t>operational</w:t>
      </w:r>
      <w:r w:rsidR="00673FB5">
        <w:t xml:space="preserve"> </w:t>
      </w:r>
      <w:r w:rsidR="003F0E79">
        <w:t xml:space="preserve">speed and </w:t>
      </w:r>
      <w:r w:rsidR="007C0B52">
        <w:t>convenience</w:t>
      </w:r>
      <w:r w:rsidR="003F0E79">
        <w:t xml:space="preserve"> in the </w:t>
      </w:r>
      <w:r w:rsidR="007C0B52">
        <w:t>process</w:t>
      </w:r>
      <w:r w:rsidR="003F0E79">
        <w:t xml:space="preserve"> of</w:t>
      </w:r>
      <w:r w:rsidR="007C0B52">
        <w:t xml:space="preserve"> </w:t>
      </w:r>
      <w:r w:rsidR="003F0E79">
        <w:t>depo</w:t>
      </w:r>
      <w:r w:rsidR="007C0B52">
        <w:t xml:space="preserve">siting </w:t>
      </w:r>
      <w:r w:rsidR="003F0E79">
        <w:t>th</w:t>
      </w:r>
      <w:r w:rsidR="007C0B52">
        <w:t>ese check</w:t>
      </w:r>
      <w:r w:rsidR="00134A18">
        <w:t>s</w:t>
      </w:r>
      <w:r w:rsidR="007C0B52">
        <w:t xml:space="preserve">, </w:t>
      </w:r>
      <w:r w:rsidR="003F0E79">
        <w:t>and reduc</w:t>
      </w:r>
      <w:r w:rsidR="007E6F5F">
        <w:t xml:space="preserve">es </w:t>
      </w:r>
      <w:r w:rsidR="003F0E79">
        <w:t>costs.</w:t>
      </w:r>
    </w:p>
    <w:p w:rsidR="003F0E79" w:rsidRDefault="003F0E79" w:rsidP="004A0D72">
      <w:pPr>
        <w:pStyle w:val="aa"/>
        <w:ind w:left="360"/>
        <w:jc w:val="both"/>
      </w:pPr>
      <w:r w:rsidRPr="00790BD3">
        <w:t>LINK to notice</w:t>
      </w:r>
      <w:r w:rsidR="00790BD3">
        <w:t>:</w:t>
      </w:r>
    </w:p>
    <w:p w:rsidR="00790BD3" w:rsidRDefault="00790BD3" w:rsidP="004A0D72">
      <w:pPr>
        <w:pStyle w:val="aa"/>
        <w:ind w:left="360"/>
        <w:jc w:val="both"/>
      </w:pPr>
      <w:hyperlink r:id="rId9" w:history="1">
        <w:r w:rsidRPr="004A48D0">
          <w:rPr>
            <w:rStyle w:val="Hyperlink"/>
          </w:rPr>
          <w:t>https://www.boi.org.il/en/communication-and-publications/regular-publications/overview-of-the-payment-and-settlement-systems-red-book/c19-11-23/</w:t>
        </w:r>
      </w:hyperlink>
      <w:r>
        <w:t xml:space="preserve"> </w:t>
      </w:r>
    </w:p>
    <w:p w:rsidR="003F0E79" w:rsidRDefault="003F0E79" w:rsidP="004A0D72">
      <w:pPr>
        <w:bidi w:val="0"/>
        <w:jc w:val="both"/>
      </w:pPr>
    </w:p>
    <w:p w:rsidR="003F0E79" w:rsidRPr="00C32009" w:rsidRDefault="003F0E79" w:rsidP="00E34208">
      <w:pPr>
        <w:pStyle w:val="aa"/>
        <w:numPr>
          <w:ilvl w:val="0"/>
          <w:numId w:val="7"/>
        </w:numPr>
        <w:ind w:left="360"/>
        <w:jc w:val="both"/>
        <w:rPr>
          <w:b/>
          <w:bCs/>
        </w:rPr>
      </w:pPr>
      <w:r w:rsidRPr="00C32009">
        <w:rPr>
          <w:b/>
          <w:bCs/>
        </w:rPr>
        <w:t xml:space="preserve">Expanding </w:t>
      </w:r>
      <w:r w:rsidR="008412E9">
        <w:rPr>
          <w:b/>
          <w:bCs/>
        </w:rPr>
        <w:t xml:space="preserve">standards of </w:t>
      </w:r>
      <w:r w:rsidRPr="00C32009">
        <w:rPr>
          <w:b/>
          <w:bCs/>
        </w:rPr>
        <w:t>data security, cyber protection</w:t>
      </w:r>
      <w:r w:rsidR="007F2535" w:rsidRPr="00C32009">
        <w:rPr>
          <w:b/>
          <w:bCs/>
        </w:rPr>
        <w:t>s</w:t>
      </w:r>
      <w:r w:rsidRPr="00C32009">
        <w:rPr>
          <w:b/>
          <w:bCs/>
        </w:rPr>
        <w:t>, and business continu</w:t>
      </w:r>
      <w:r w:rsidR="007C0B52" w:rsidRPr="00C32009">
        <w:rPr>
          <w:b/>
          <w:bCs/>
        </w:rPr>
        <w:t>i</w:t>
      </w:r>
      <w:r w:rsidRPr="00C32009">
        <w:rPr>
          <w:b/>
          <w:bCs/>
        </w:rPr>
        <w:t xml:space="preserve">ty that will </w:t>
      </w:r>
      <w:r w:rsidR="00664BB9" w:rsidRPr="00C32009">
        <w:rPr>
          <w:b/>
          <w:bCs/>
        </w:rPr>
        <w:t>apply</w:t>
      </w:r>
      <w:r w:rsidRPr="00C32009">
        <w:rPr>
          <w:b/>
          <w:bCs/>
        </w:rPr>
        <w:t xml:space="preserve"> to all the entities </w:t>
      </w:r>
      <w:r w:rsidR="00F22B14" w:rsidRPr="00C32009">
        <w:rPr>
          <w:b/>
          <w:bCs/>
        </w:rPr>
        <w:t xml:space="preserve">in the payment card sphere, to </w:t>
      </w:r>
      <w:r w:rsidR="008412E9">
        <w:rPr>
          <w:b/>
          <w:bCs/>
        </w:rPr>
        <w:t xml:space="preserve">be </w:t>
      </w:r>
      <w:r w:rsidR="00F22B14" w:rsidRPr="00C32009">
        <w:rPr>
          <w:b/>
          <w:bCs/>
        </w:rPr>
        <w:t>implement</w:t>
      </w:r>
      <w:r w:rsidR="008412E9">
        <w:rPr>
          <w:b/>
          <w:bCs/>
        </w:rPr>
        <w:t>ed w</w:t>
      </w:r>
      <w:r w:rsidR="00F22B14" w:rsidRPr="00C32009">
        <w:rPr>
          <w:b/>
          <w:bCs/>
        </w:rPr>
        <w:t xml:space="preserve">ithin a year, and a call to implement them </w:t>
      </w:r>
      <w:r w:rsidR="00F22B14" w:rsidRPr="00CC1960">
        <w:rPr>
          <w:b/>
          <w:bCs/>
        </w:rPr>
        <w:t>immediately</w:t>
      </w:r>
      <w:r w:rsidR="00134A18" w:rsidRPr="00CC1960">
        <w:rPr>
          <w:b/>
          <w:bCs/>
        </w:rPr>
        <w:t>,</w:t>
      </w:r>
      <w:r w:rsidR="00F22B14" w:rsidRPr="00CC1960">
        <w:rPr>
          <w:b/>
          <w:bCs/>
        </w:rPr>
        <w:t xml:space="preserve"> </w:t>
      </w:r>
      <w:r w:rsidR="00134A18" w:rsidRPr="00CC1960">
        <w:rPr>
          <w:b/>
          <w:bCs/>
        </w:rPr>
        <w:t xml:space="preserve">to the extent possible, in order </w:t>
      </w:r>
      <w:r w:rsidR="00F22B14" w:rsidRPr="00CC1960">
        <w:rPr>
          <w:b/>
          <w:bCs/>
        </w:rPr>
        <w:t xml:space="preserve">to strengthen the </w:t>
      </w:r>
      <w:r w:rsidR="00CC1960" w:rsidRPr="00CC1960">
        <w:rPr>
          <w:b/>
          <w:bCs/>
        </w:rPr>
        <w:t xml:space="preserve">financial stability </w:t>
      </w:r>
      <w:r w:rsidR="00F22B14" w:rsidRPr="00CC1960">
        <w:rPr>
          <w:b/>
          <w:bCs/>
        </w:rPr>
        <w:t>during the time of war.</w:t>
      </w:r>
    </w:p>
    <w:p w:rsidR="009C209C" w:rsidRDefault="00C733DD" w:rsidP="007702E1">
      <w:pPr>
        <w:pStyle w:val="aa"/>
        <w:ind w:left="360"/>
        <w:jc w:val="both"/>
      </w:pPr>
      <w:r>
        <w:t>These s</w:t>
      </w:r>
      <w:r w:rsidRPr="003D2A00">
        <w:t xml:space="preserve">tandards </w:t>
      </w:r>
      <w:r w:rsidR="007702E1">
        <w:t xml:space="preserve">will </w:t>
      </w:r>
      <w:r w:rsidRPr="003D2A00">
        <w:t xml:space="preserve">apply to </w:t>
      </w:r>
      <w:r w:rsidR="007702E1">
        <w:t xml:space="preserve">all participants in the payment card market in Israel, including </w:t>
      </w:r>
      <w:r w:rsidRPr="003D2A00">
        <w:t xml:space="preserve">unsupervised technological entities that became </w:t>
      </w:r>
      <w:r w:rsidR="007702E1">
        <w:t xml:space="preserve">significant </w:t>
      </w:r>
      <w:r w:rsidRPr="003D2A00">
        <w:t xml:space="preserve">in recent years </w:t>
      </w:r>
      <w:r w:rsidR="00200BC8" w:rsidRPr="003D2A00">
        <w:t>in the payment card transaction execution process</w:t>
      </w:r>
      <w:r w:rsidR="007702E1">
        <w:t xml:space="preserve">. The standards join </w:t>
      </w:r>
      <w:r w:rsidR="00200BC8" w:rsidRPr="003D2A00">
        <w:t>standards and requirements that already apply to traditional participants in the sector. The standards were formulated</w:t>
      </w:r>
      <w:r w:rsidR="00B2260E" w:rsidRPr="003D2A00">
        <w:t xml:space="preserve"> in collaboration with the economy within the framework of the Payment Card Committee</w:t>
      </w:r>
      <w:r w:rsidR="00857E51" w:rsidRPr="003D2A00">
        <w:t xml:space="preserve"> managed by the </w:t>
      </w:r>
      <w:r w:rsidR="00993199" w:rsidRPr="003D2A00">
        <w:t>P</w:t>
      </w:r>
      <w:r w:rsidR="00857E51" w:rsidRPr="003D2A00">
        <w:t xml:space="preserve">ayment </w:t>
      </w:r>
      <w:r w:rsidR="00993199" w:rsidRPr="003D2A00">
        <w:t>S</w:t>
      </w:r>
      <w:r w:rsidR="00857E51" w:rsidRPr="003D2A00">
        <w:t>ystems</w:t>
      </w:r>
      <w:r w:rsidR="00857E51">
        <w:t xml:space="preserve"> </w:t>
      </w:r>
      <w:r w:rsidR="00993199">
        <w:t>O</w:t>
      </w:r>
      <w:r w:rsidR="00857E51">
        <w:t xml:space="preserve">versight </w:t>
      </w:r>
      <w:r w:rsidR="00993199">
        <w:t>D</w:t>
      </w:r>
      <w:r w:rsidR="00857E51">
        <w:t xml:space="preserve">ivision. With the </w:t>
      </w:r>
      <w:r w:rsidR="007403CA">
        <w:t>publication</w:t>
      </w:r>
      <w:r w:rsidR="00857E51">
        <w:t xml:space="preserve"> of </w:t>
      </w:r>
      <w:r w:rsidR="007403CA">
        <w:t>the</w:t>
      </w:r>
      <w:r w:rsidR="00857E51">
        <w:t xml:space="preserve"> document </w:t>
      </w:r>
      <w:r w:rsidR="007403CA">
        <w:t>today</w:t>
      </w:r>
      <w:r w:rsidR="00857E51">
        <w:t>, the Bank of Israel calls on all</w:t>
      </w:r>
      <w:r w:rsidR="007403CA">
        <w:t xml:space="preserve"> the </w:t>
      </w:r>
      <w:r w:rsidR="00857E51">
        <w:t xml:space="preserve">entities </w:t>
      </w:r>
      <w:r w:rsidR="007403CA">
        <w:t>operating</w:t>
      </w:r>
      <w:r w:rsidR="00857E51">
        <w:t xml:space="preserve"> </w:t>
      </w:r>
      <w:r w:rsidR="007403CA">
        <w:t>in the</w:t>
      </w:r>
      <w:r w:rsidR="00857E51">
        <w:t xml:space="preserve"> </w:t>
      </w:r>
      <w:r w:rsidR="007403CA">
        <w:t xml:space="preserve">payment </w:t>
      </w:r>
      <w:r w:rsidR="00857E51">
        <w:t xml:space="preserve">card market, to adopt the </w:t>
      </w:r>
      <w:r w:rsidR="007403CA">
        <w:t>standards detailed</w:t>
      </w:r>
      <w:r w:rsidR="00857E51">
        <w:t xml:space="preserve"> in it, as soon as possible</w:t>
      </w:r>
      <w:r w:rsidR="00F377BD">
        <w:t xml:space="preserve">. This is </w:t>
      </w:r>
      <w:r w:rsidR="00857E51">
        <w:t xml:space="preserve">to ensure maximum protection </w:t>
      </w:r>
      <w:r w:rsidR="00B347D3">
        <w:t xml:space="preserve">of the </w:t>
      </w:r>
      <w:r w:rsidR="00F377BD">
        <w:t xml:space="preserve">entities’ activity </w:t>
      </w:r>
      <w:r w:rsidR="00B347D3">
        <w:t xml:space="preserve">and the </w:t>
      </w:r>
      <w:r w:rsidR="007403CA">
        <w:t>activit</w:t>
      </w:r>
      <w:r w:rsidR="00F377BD">
        <w:t>y</w:t>
      </w:r>
      <w:r w:rsidR="00B347D3">
        <w:t xml:space="preserve"> of paym</w:t>
      </w:r>
      <w:r w:rsidR="007403CA">
        <w:t>ent</w:t>
      </w:r>
      <w:r w:rsidR="00B347D3">
        <w:t xml:space="preserve"> cards in </w:t>
      </w:r>
      <w:r w:rsidR="007403CA">
        <w:t>Israel</w:t>
      </w:r>
      <w:r w:rsidR="00B347D3">
        <w:t xml:space="preserve">, </w:t>
      </w:r>
      <w:r w:rsidR="007403CA">
        <w:t>particularly</w:t>
      </w:r>
      <w:r w:rsidR="00B347D3">
        <w:t xml:space="preserve"> </w:t>
      </w:r>
      <w:r w:rsidR="007403CA">
        <w:t>in the co</w:t>
      </w:r>
      <w:r w:rsidR="00B347D3">
        <w:t xml:space="preserve">mplex times in which the State is, </w:t>
      </w:r>
      <w:r w:rsidR="007403CA">
        <w:t xml:space="preserve">and the </w:t>
      </w:r>
      <w:r w:rsidR="00707747">
        <w:t xml:space="preserve">enhanced </w:t>
      </w:r>
      <w:r w:rsidR="007403CA">
        <w:t>conc</w:t>
      </w:r>
      <w:r w:rsidR="00B347D3">
        <w:t xml:space="preserve">ern of </w:t>
      </w:r>
      <w:proofErr w:type="spellStart"/>
      <w:r w:rsidR="00B347D3">
        <w:t>cyber attacks</w:t>
      </w:r>
      <w:proofErr w:type="spellEnd"/>
      <w:r w:rsidR="00B347D3">
        <w:t xml:space="preserve">. </w:t>
      </w:r>
      <w:r w:rsidR="007403CA">
        <w:t>Entities</w:t>
      </w:r>
      <w:r w:rsidR="00B347D3">
        <w:t xml:space="preserve"> </w:t>
      </w:r>
      <w:r w:rsidR="007403CA">
        <w:t>that</w:t>
      </w:r>
      <w:r w:rsidR="00B347D3">
        <w:t xml:space="preserve"> will not be able to </w:t>
      </w:r>
      <w:r w:rsidR="007403CA">
        <w:t>implement</w:t>
      </w:r>
      <w:r w:rsidR="00B347D3">
        <w:t xml:space="preserve"> the </w:t>
      </w:r>
      <w:r w:rsidR="007403CA">
        <w:t>standards</w:t>
      </w:r>
      <w:r w:rsidR="00B347D3">
        <w:t xml:space="preserve"> rapidly </w:t>
      </w:r>
      <w:r w:rsidR="007702E1">
        <w:t xml:space="preserve">are required </w:t>
      </w:r>
      <w:r w:rsidR="00B347D3">
        <w:t>to do so within 1 year</w:t>
      </w:r>
      <w:r w:rsidR="00F377BD">
        <w:t xml:space="preserve"> in any case</w:t>
      </w:r>
      <w:r w:rsidR="00B347D3">
        <w:t xml:space="preserve">. </w:t>
      </w:r>
      <w:r w:rsidR="007702E1">
        <w:t>Further on, t</w:t>
      </w:r>
      <w:r w:rsidR="008D3EFC">
        <w:t>hese</w:t>
      </w:r>
      <w:r w:rsidR="00B347D3">
        <w:t xml:space="preserve"> </w:t>
      </w:r>
      <w:r w:rsidR="007403CA">
        <w:t>standards</w:t>
      </w:r>
      <w:r w:rsidR="00B347D3">
        <w:t xml:space="preserve"> will </w:t>
      </w:r>
      <w:r w:rsidR="00F377BD">
        <w:t xml:space="preserve">serve as </w:t>
      </w:r>
      <w:r w:rsidR="00B347D3">
        <w:t xml:space="preserve">the condition for activity for all the </w:t>
      </w:r>
      <w:r w:rsidR="007403CA">
        <w:t xml:space="preserve">entities in the </w:t>
      </w:r>
      <w:r w:rsidR="00B347D3">
        <w:t>payment card transac</w:t>
      </w:r>
      <w:r w:rsidR="007403CA">
        <w:t>t</w:t>
      </w:r>
      <w:r w:rsidR="00B347D3">
        <w:t>ion ch</w:t>
      </w:r>
      <w:r w:rsidR="007403CA">
        <w:t>a</w:t>
      </w:r>
      <w:r w:rsidR="00B347D3">
        <w:t>in.</w:t>
      </w:r>
    </w:p>
    <w:p w:rsidR="00B347D3" w:rsidRDefault="00B347D3" w:rsidP="003D2A00">
      <w:pPr>
        <w:pStyle w:val="aa"/>
        <w:ind w:left="360"/>
        <w:jc w:val="both"/>
      </w:pPr>
      <w:r w:rsidRPr="00790BD3">
        <w:t>LINK to notice</w:t>
      </w:r>
      <w:r w:rsidR="00790BD3">
        <w:t>:</w:t>
      </w:r>
    </w:p>
    <w:p w:rsidR="00790BD3" w:rsidRPr="001C06B4" w:rsidRDefault="00790BD3" w:rsidP="003D2A00">
      <w:pPr>
        <w:pStyle w:val="aa"/>
        <w:ind w:left="360"/>
        <w:jc w:val="both"/>
      </w:pPr>
      <w:hyperlink r:id="rId10" w:history="1">
        <w:r w:rsidRPr="004A48D0">
          <w:rPr>
            <w:rStyle w:val="Hyperlink"/>
          </w:rPr>
          <w:t>https://www.boi.org.il/en/communication-and-publications/regular-publications/overview-of-the-payment-and-settlement-systems-red-book/e19-11-23/</w:t>
        </w:r>
      </w:hyperlink>
      <w:r>
        <w:t xml:space="preserve"> </w:t>
      </w:r>
    </w:p>
    <w:p w:rsidR="00B347D3" w:rsidRDefault="00B347D3" w:rsidP="004A0D72">
      <w:pPr>
        <w:bidi w:val="0"/>
        <w:jc w:val="both"/>
      </w:pPr>
    </w:p>
    <w:p w:rsidR="00C32009" w:rsidRDefault="006D6E7E" w:rsidP="004A0D72">
      <w:pPr>
        <w:pStyle w:val="aa"/>
        <w:numPr>
          <w:ilvl w:val="0"/>
          <w:numId w:val="7"/>
        </w:numPr>
        <w:ind w:left="360"/>
        <w:jc w:val="both"/>
      </w:pPr>
      <w:r w:rsidRPr="00C32009">
        <w:rPr>
          <w:b/>
          <w:bCs/>
        </w:rPr>
        <w:t xml:space="preserve">Allocation of identification codes to 3 nonbank entities in the payment services </w:t>
      </w:r>
      <w:proofErr w:type="gramStart"/>
      <w:r w:rsidRPr="00C32009">
        <w:rPr>
          <w:b/>
          <w:bCs/>
        </w:rPr>
        <w:t>sector</w:t>
      </w:r>
      <w:proofErr w:type="gramEnd"/>
      <w:r w:rsidRPr="00C32009">
        <w:rPr>
          <w:b/>
          <w:bCs/>
        </w:rPr>
        <w:t>.</w:t>
      </w:r>
    </w:p>
    <w:p w:rsidR="006D6E7E" w:rsidRDefault="006D6E7E" w:rsidP="004D69CC">
      <w:pPr>
        <w:pStyle w:val="aa"/>
        <w:ind w:left="360"/>
        <w:jc w:val="both"/>
      </w:pPr>
      <w:r>
        <w:t xml:space="preserve">The Bank of Israel is </w:t>
      </w:r>
      <w:r w:rsidR="004D69CC">
        <w:t xml:space="preserve">announcing </w:t>
      </w:r>
      <w:r>
        <w:t>for the first time the alloc</w:t>
      </w:r>
      <w:r w:rsidR="003D4E66">
        <w:t>a</w:t>
      </w:r>
      <w:r>
        <w:t>t</w:t>
      </w:r>
      <w:r w:rsidR="003D4E66">
        <w:t>i</w:t>
      </w:r>
      <w:r>
        <w:t xml:space="preserve">on of an identification code to </w:t>
      </w:r>
      <w:proofErr w:type="spellStart"/>
      <w:r>
        <w:t>fintech</w:t>
      </w:r>
      <w:proofErr w:type="spellEnd"/>
      <w:r>
        <w:t xml:space="preserve"> companies </w:t>
      </w:r>
      <w:r w:rsidR="003D4E66">
        <w:t>that are in process of connecting as participants in the payment system in Israel:</w:t>
      </w:r>
    </w:p>
    <w:p w:rsidR="00B27FDE" w:rsidRDefault="00B27FDE" w:rsidP="004A0D72">
      <w:pPr>
        <w:bidi w:val="0"/>
        <w:jc w:val="both"/>
      </w:pPr>
    </w:p>
    <w:p w:rsidR="00B27FDE" w:rsidRPr="00075476" w:rsidRDefault="00B27FDE" w:rsidP="001D7EB1">
      <w:pPr>
        <w:pStyle w:val="aa"/>
        <w:numPr>
          <w:ilvl w:val="0"/>
          <w:numId w:val="8"/>
        </w:numPr>
        <w:jc w:val="both"/>
      </w:pPr>
      <w:r>
        <w:t xml:space="preserve">The identification </w:t>
      </w:r>
      <w:r w:rsidRPr="00075476">
        <w:t xml:space="preserve">code allocated to </w:t>
      </w:r>
      <w:proofErr w:type="spellStart"/>
      <w:r w:rsidRPr="00075476">
        <w:rPr>
          <w:b/>
          <w:bCs/>
        </w:rPr>
        <w:t>Meshulam</w:t>
      </w:r>
      <w:proofErr w:type="spellEnd"/>
      <w:r w:rsidRPr="00075476">
        <w:rPr>
          <w:b/>
          <w:bCs/>
        </w:rPr>
        <w:t xml:space="preserve"> Payment Solutions Ltd. (known also as Grow by </w:t>
      </w:r>
      <w:proofErr w:type="spellStart"/>
      <w:r w:rsidRPr="00075476">
        <w:rPr>
          <w:b/>
          <w:bCs/>
        </w:rPr>
        <w:t>Meshulam</w:t>
      </w:r>
      <w:proofErr w:type="spellEnd"/>
      <w:r w:rsidRPr="00075476">
        <w:rPr>
          <w:b/>
          <w:bCs/>
        </w:rPr>
        <w:t>)</w:t>
      </w:r>
      <w:r w:rsidRPr="00075476">
        <w:t xml:space="preserve"> is </w:t>
      </w:r>
      <w:r w:rsidR="00075476" w:rsidRPr="00075476">
        <w:rPr>
          <w:b/>
          <w:bCs/>
        </w:rPr>
        <w:t>35</w:t>
      </w:r>
      <w:r w:rsidRPr="00075476">
        <w:t>.</w:t>
      </w:r>
    </w:p>
    <w:p w:rsidR="00B27FDE" w:rsidRPr="00075476" w:rsidRDefault="00B27FDE" w:rsidP="001D7EB1">
      <w:pPr>
        <w:pStyle w:val="aa"/>
        <w:numPr>
          <w:ilvl w:val="0"/>
          <w:numId w:val="8"/>
        </w:numPr>
        <w:jc w:val="both"/>
      </w:pPr>
      <w:r w:rsidRPr="00075476">
        <w:t xml:space="preserve">The identification code allocated to </w:t>
      </w:r>
      <w:r w:rsidRPr="00075476">
        <w:rPr>
          <w:b/>
          <w:bCs/>
        </w:rPr>
        <w:t>Global Remit-Currency Services Ltd.</w:t>
      </w:r>
      <w:r w:rsidRPr="00075476">
        <w:t xml:space="preserve"> is </w:t>
      </w:r>
      <w:r w:rsidR="00075476" w:rsidRPr="00075476">
        <w:rPr>
          <w:b/>
          <w:bCs/>
        </w:rPr>
        <w:t>47</w:t>
      </w:r>
      <w:r w:rsidRPr="00075476">
        <w:t>.</w:t>
      </w:r>
    </w:p>
    <w:p w:rsidR="00B27FDE" w:rsidRPr="00075476" w:rsidRDefault="00B27FDE" w:rsidP="001D7EB1">
      <w:pPr>
        <w:pStyle w:val="aa"/>
        <w:numPr>
          <w:ilvl w:val="0"/>
          <w:numId w:val="8"/>
        </w:numPr>
        <w:jc w:val="both"/>
      </w:pPr>
      <w:r w:rsidRPr="00075476">
        <w:t xml:space="preserve">The identification code allocated to </w:t>
      </w:r>
      <w:r w:rsidRPr="00075476">
        <w:rPr>
          <w:b/>
          <w:bCs/>
        </w:rPr>
        <w:t>A.T.M.S Matrix Ltd</w:t>
      </w:r>
      <w:r w:rsidRPr="00075476">
        <w:rPr>
          <w:rFonts w:hint="cs"/>
          <w:b/>
          <w:bCs/>
          <w:rtl/>
        </w:rPr>
        <w:t>.</w:t>
      </w:r>
      <w:r w:rsidRPr="00075476">
        <w:t xml:space="preserve"> is </w:t>
      </w:r>
      <w:r w:rsidR="00075476" w:rsidRPr="00075476">
        <w:rPr>
          <w:b/>
          <w:bCs/>
        </w:rPr>
        <w:t>86</w:t>
      </w:r>
      <w:r w:rsidRPr="00075476">
        <w:t>.</w:t>
      </w:r>
    </w:p>
    <w:p w:rsidR="00B27FDE" w:rsidRDefault="00B27FDE" w:rsidP="004A0D72">
      <w:pPr>
        <w:bidi w:val="0"/>
        <w:jc w:val="both"/>
      </w:pPr>
    </w:p>
    <w:p w:rsidR="00316FF4" w:rsidRDefault="00316FF4" w:rsidP="0085248D">
      <w:pPr>
        <w:pStyle w:val="aa"/>
        <w:ind w:left="360"/>
        <w:jc w:val="both"/>
      </w:pPr>
      <w:r>
        <w:t>The steps being advanced by the Bank of Israel to open access for nonbank participants to the core systems of the economy in the payment sphere</w:t>
      </w:r>
      <w:r w:rsidR="00F676EC">
        <w:t xml:space="preserve"> enables </w:t>
      </w:r>
      <w:proofErr w:type="spellStart"/>
      <w:r w:rsidR="00F676EC">
        <w:t>fintech</w:t>
      </w:r>
      <w:proofErr w:type="spellEnd"/>
      <w:r w:rsidR="00F676EC">
        <w:t xml:space="preserve"> companies to operate directly and more independently, while reducing their dependence on banks. </w:t>
      </w:r>
      <w:r w:rsidR="00A84596">
        <w:t xml:space="preserve">The new </w:t>
      </w:r>
      <w:r w:rsidR="008D3EFC">
        <w:t>entities</w:t>
      </w:r>
      <w:r w:rsidR="00A84596">
        <w:t xml:space="preserve"> will enhance competition, help </w:t>
      </w:r>
      <w:r w:rsidR="008D3EFC">
        <w:t>reduce</w:t>
      </w:r>
      <w:r w:rsidR="00A84596">
        <w:t xml:space="preserve"> the concentr</w:t>
      </w:r>
      <w:r w:rsidR="008D3EFC">
        <w:t>at</w:t>
      </w:r>
      <w:r w:rsidR="00A84596">
        <w:t xml:space="preserve">ion in the financial market, will develop advanced </w:t>
      </w:r>
      <w:r w:rsidR="008D3EFC">
        <w:t>and</w:t>
      </w:r>
      <w:r w:rsidR="00A84596">
        <w:t xml:space="preserve"> innovative </w:t>
      </w:r>
      <w:r w:rsidR="0017431B">
        <w:t xml:space="preserve">payment </w:t>
      </w:r>
      <w:r w:rsidR="00A84596">
        <w:t xml:space="preserve">solutions, will </w:t>
      </w:r>
      <w:r w:rsidR="008D3EFC">
        <w:t>increase</w:t>
      </w:r>
      <w:r w:rsidR="00A84596">
        <w:t xml:space="preserve"> </w:t>
      </w:r>
      <w:r w:rsidR="008D3EFC">
        <w:t>the efficiency</w:t>
      </w:r>
      <w:r w:rsidR="00A84596">
        <w:t xml:space="preserve"> of business processes and services, will reduce costs </w:t>
      </w:r>
      <w:r w:rsidR="004B06DA">
        <w:t xml:space="preserve">for the </w:t>
      </w:r>
      <w:r w:rsidR="00A84596">
        <w:t xml:space="preserve">benefit </w:t>
      </w:r>
      <w:r w:rsidR="004B06DA">
        <w:t xml:space="preserve">of </w:t>
      </w:r>
      <w:r w:rsidR="00A84596">
        <w:t xml:space="preserve">consumers and </w:t>
      </w:r>
      <w:r w:rsidR="008D3EFC">
        <w:t>businesses</w:t>
      </w:r>
      <w:r w:rsidR="00A84596">
        <w:t xml:space="preserve">, </w:t>
      </w:r>
      <w:r w:rsidR="00C524AB">
        <w:t>and will</w:t>
      </w:r>
      <w:r w:rsidR="00A84596">
        <w:t xml:space="preserve"> </w:t>
      </w:r>
      <w:r w:rsidR="008D3EFC">
        <w:t>increase</w:t>
      </w:r>
      <w:r w:rsidR="00A84596">
        <w:t xml:space="preserve"> the </w:t>
      </w:r>
      <w:r w:rsidR="008D3EFC">
        <w:t>substitutability</w:t>
      </w:r>
      <w:r w:rsidR="00A84596">
        <w:t xml:space="preserve"> </w:t>
      </w:r>
      <w:r w:rsidR="00A84596" w:rsidRPr="003D2A00">
        <w:t xml:space="preserve">of the </w:t>
      </w:r>
      <w:r w:rsidR="008D3EFC" w:rsidRPr="003D2A00">
        <w:t>traditional</w:t>
      </w:r>
      <w:r w:rsidR="00A84596" w:rsidRPr="003D2A00">
        <w:t xml:space="preserve"> partici</w:t>
      </w:r>
      <w:r w:rsidR="008D3EFC" w:rsidRPr="003D2A00">
        <w:t xml:space="preserve">pants </w:t>
      </w:r>
      <w:r w:rsidR="00A84596" w:rsidRPr="003D2A00">
        <w:t>in a</w:t>
      </w:r>
      <w:r w:rsidR="00A84596">
        <w:t xml:space="preserve"> </w:t>
      </w:r>
      <w:r w:rsidR="0085248D">
        <w:t xml:space="preserve">time of </w:t>
      </w:r>
      <w:r w:rsidR="00A84596">
        <w:t>crisis</w:t>
      </w:r>
      <w:r w:rsidR="0085248D">
        <w:t xml:space="preserve"> as well. </w:t>
      </w:r>
      <w:r w:rsidR="00590B37">
        <w:t xml:space="preserve">The Bank of Israel is aware that in the current period of war, </w:t>
      </w:r>
      <w:proofErr w:type="spellStart"/>
      <w:r w:rsidR="00590B37">
        <w:t>fintech</w:t>
      </w:r>
      <w:proofErr w:type="spellEnd"/>
      <w:r w:rsidR="00590B37">
        <w:t xml:space="preserve"> companies of this type expanded their cross-border payment services in order to allow the transfer of donations to Israel in a faster and less expensive manner.</w:t>
      </w:r>
    </w:p>
    <w:p w:rsidR="00A84596" w:rsidRDefault="00A84596" w:rsidP="004A0D72">
      <w:pPr>
        <w:pStyle w:val="aa"/>
        <w:ind w:left="360"/>
        <w:jc w:val="both"/>
      </w:pPr>
      <w:r w:rsidRPr="00790BD3">
        <w:t>LINK to notice</w:t>
      </w:r>
      <w:r w:rsidR="00790BD3">
        <w:t>:</w:t>
      </w:r>
    </w:p>
    <w:p w:rsidR="00790BD3" w:rsidRDefault="00790BD3" w:rsidP="004A0D72">
      <w:pPr>
        <w:pStyle w:val="aa"/>
        <w:ind w:left="360"/>
        <w:jc w:val="both"/>
      </w:pPr>
      <w:hyperlink r:id="rId11" w:history="1">
        <w:r w:rsidRPr="004A48D0">
          <w:rPr>
            <w:rStyle w:val="Hyperlink"/>
          </w:rPr>
          <w:t>https://www.boi.org.il/en/communication-and-publications/regular-publications/overview-of-the-payment-and-settlement-systems-red-book/g19-11-23/</w:t>
        </w:r>
      </w:hyperlink>
      <w:r>
        <w:t xml:space="preserve"> </w:t>
      </w:r>
    </w:p>
    <w:p w:rsidR="00A84596" w:rsidRDefault="00A84596" w:rsidP="004A0D72">
      <w:pPr>
        <w:bidi w:val="0"/>
        <w:jc w:val="both"/>
      </w:pPr>
    </w:p>
    <w:p w:rsidR="00483EE4" w:rsidRPr="00C32009" w:rsidRDefault="00483EE4" w:rsidP="004A0D72">
      <w:pPr>
        <w:pStyle w:val="aa"/>
        <w:numPr>
          <w:ilvl w:val="0"/>
          <w:numId w:val="7"/>
        </w:numPr>
        <w:ind w:left="360"/>
        <w:jc w:val="both"/>
        <w:rPr>
          <w:b/>
          <w:bCs/>
        </w:rPr>
      </w:pPr>
      <w:r w:rsidRPr="00C32009">
        <w:rPr>
          <w:b/>
          <w:bCs/>
        </w:rPr>
        <w:t>Opening the economy to acquirers licensed abroad</w:t>
      </w:r>
    </w:p>
    <w:p w:rsidR="00483EE4" w:rsidRDefault="00483EE4" w:rsidP="00DB7FDE">
      <w:pPr>
        <w:pStyle w:val="aa"/>
        <w:ind w:left="360"/>
        <w:jc w:val="both"/>
      </w:pPr>
      <w:r>
        <w:t xml:space="preserve">The Bank of Israel </w:t>
      </w:r>
      <w:r w:rsidR="008D3EFC">
        <w:t>announces</w:t>
      </w:r>
      <w:r>
        <w:t xml:space="preserve"> today that it will </w:t>
      </w:r>
      <w:r w:rsidR="006D2208">
        <w:t xml:space="preserve">allow </w:t>
      </w:r>
      <w:r>
        <w:t xml:space="preserve">international </w:t>
      </w:r>
      <w:r w:rsidR="006D2208">
        <w:t xml:space="preserve">acquirers holding a license from </w:t>
      </w:r>
      <w:r w:rsidR="00E338F6">
        <w:t xml:space="preserve">the </w:t>
      </w:r>
      <w:r w:rsidR="006D2208">
        <w:t>U</w:t>
      </w:r>
      <w:r w:rsidR="00610306">
        <w:t>S</w:t>
      </w:r>
      <w:r w:rsidR="006D2208">
        <w:t xml:space="preserve">, EU countries, </w:t>
      </w:r>
      <w:r w:rsidR="00E338F6">
        <w:t xml:space="preserve">or </w:t>
      </w:r>
      <w:r w:rsidR="006D2208">
        <w:t>the U</w:t>
      </w:r>
      <w:r w:rsidR="00610306">
        <w:t>K</w:t>
      </w:r>
      <w:r w:rsidR="00201079">
        <w:t>,</w:t>
      </w:r>
      <w:r w:rsidR="006D2208">
        <w:t xml:space="preserve"> to </w:t>
      </w:r>
      <w:r w:rsidR="008D3EFC">
        <w:t>begin</w:t>
      </w:r>
      <w:r w:rsidR="006D2208">
        <w:t xml:space="preserve"> the process of joining as </w:t>
      </w:r>
      <w:r w:rsidR="008D3EFC">
        <w:t>participants</w:t>
      </w:r>
      <w:r w:rsidR="006D2208">
        <w:t xml:space="preserve"> in</w:t>
      </w:r>
      <w:r w:rsidR="008D3EFC">
        <w:t xml:space="preserve"> the </w:t>
      </w:r>
      <w:r w:rsidR="00201079">
        <w:t>P</w:t>
      </w:r>
      <w:r w:rsidR="006D2208">
        <w:t xml:space="preserve">ayment </w:t>
      </w:r>
      <w:r w:rsidR="00201079">
        <w:t>C</w:t>
      </w:r>
      <w:r w:rsidR="006D2208">
        <w:t xml:space="preserve">ard </w:t>
      </w:r>
      <w:r w:rsidR="00201079">
        <w:t>S</w:t>
      </w:r>
      <w:r w:rsidR="006D2208">
        <w:t xml:space="preserve">ervices </w:t>
      </w:r>
      <w:r w:rsidR="00201079">
        <w:t>s</w:t>
      </w:r>
      <w:r w:rsidR="006D2208">
        <w:t xml:space="preserve">ystem operated by </w:t>
      </w:r>
      <w:proofErr w:type="spellStart"/>
      <w:r w:rsidR="006D2208">
        <w:t>Shva</w:t>
      </w:r>
      <w:proofErr w:type="spellEnd"/>
      <w:r w:rsidR="00201079">
        <w:t xml:space="preserve">. This is </w:t>
      </w:r>
      <w:r w:rsidR="006D2208">
        <w:t xml:space="preserve">without </w:t>
      </w:r>
      <w:r w:rsidR="008D3EFC">
        <w:t>beginning</w:t>
      </w:r>
      <w:r w:rsidR="006D2208">
        <w:t xml:space="preserve"> </w:t>
      </w:r>
      <w:r w:rsidR="008D3EFC">
        <w:t>actual</w:t>
      </w:r>
      <w:r w:rsidR="006D2208">
        <w:t xml:space="preserve"> acquiring </w:t>
      </w:r>
      <w:r w:rsidR="008D3EFC">
        <w:t>activity</w:t>
      </w:r>
      <w:r w:rsidR="006D2208">
        <w:t xml:space="preserve">, </w:t>
      </w:r>
      <w:r w:rsidR="00080C33">
        <w:t xml:space="preserve">and </w:t>
      </w:r>
      <w:r w:rsidR="006D2208">
        <w:t>before submitting a request for a license allow</w:t>
      </w:r>
      <w:r w:rsidR="00201079">
        <w:t xml:space="preserve">ing </w:t>
      </w:r>
      <w:r w:rsidR="006D2208">
        <w:t>the prov</w:t>
      </w:r>
      <w:r w:rsidR="00E064B0">
        <w:t>i</w:t>
      </w:r>
      <w:r w:rsidR="006D2208">
        <w:t xml:space="preserve">ding of </w:t>
      </w:r>
      <w:r w:rsidR="008D3EFC">
        <w:t>acquiring</w:t>
      </w:r>
      <w:r w:rsidR="00E064B0">
        <w:t xml:space="preserve"> services in Israel. </w:t>
      </w:r>
      <w:r w:rsidR="00080C33">
        <w:t>The Department took this step of o</w:t>
      </w:r>
      <w:r w:rsidR="00E064B0">
        <w:t>pening the market to international entities in the payments spher</w:t>
      </w:r>
      <w:r w:rsidR="00C60FC9">
        <w:t>e</w:t>
      </w:r>
      <w:r w:rsidR="00E064B0">
        <w:t xml:space="preserve"> in a </w:t>
      </w:r>
      <w:r w:rsidR="00201079">
        <w:t xml:space="preserve">faster </w:t>
      </w:r>
      <w:r w:rsidR="00E064B0">
        <w:t xml:space="preserve">manner than the timetables set </w:t>
      </w:r>
      <w:r w:rsidR="0090456B">
        <w:t>in the existing legislation</w:t>
      </w:r>
      <w:r w:rsidR="006F1B6B">
        <w:t xml:space="preserve">. Opening the market to these international acquirers </w:t>
      </w:r>
      <w:r w:rsidR="0090456B">
        <w:t xml:space="preserve">will increase the supply of payment services that are innovative, varied, and faster, will advance </w:t>
      </w:r>
      <w:r w:rsidR="008D3EFC">
        <w:t>additional</w:t>
      </w:r>
      <w:r w:rsidR="0090456B">
        <w:t xml:space="preserve"> </w:t>
      </w:r>
      <w:r w:rsidR="008D3EFC">
        <w:t>financial</w:t>
      </w:r>
      <w:r w:rsidR="0090456B">
        <w:t xml:space="preserve"> services </w:t>
      </w:r>
      <w:r w:rsidR="00FD2439">
        <w:t xml:space="preserve">that </w:t>
      </w:r>
      <w:r w:rsidR="00094A4D">
        <w:t>will</w:t>
      </w:r>
      <w:r w:rsidR="00FD2439">
        <w:t xml:space="preserve"> be </w:t>
      </w:r>
      <w:r w:rsidR="008D3EFC">
        <w:t>based</w:t>
      </w:r>
      <w:r w:rsidR="0090456B">
        <w:t xml:space="preserve"> on </w:t>
      </w:r>
      <w:r w:rsidR="00201079">
        <w:t xml:space="preserve">the </w:t>
      </w:r>
      <w:r w:rsidR="008D3EFC">
        <w:t>payment</w:t>
      </w:r>
      <w:r w:rsidR="0090456B">
        <w:t xml:space="preserve"> </w:t>
      </w:r>
      <w:r w:rsidR="008D3EFC">
        <w:t>services</w:t>
      </w:r>
      <w:r w:rsidR="00DB7FDE">
        <w:t>.</w:t>
      </w:r>
    </w:p>
    <w:p w:rsidR="00F25219" w:rsidRDefault="00F25219" w:rsidP="004A0D72">
      <w:pPr>
        <w:pStyle w:val="aa"/>
        <w:ind w:left="360"/>
        <w:jc w:val="both"/>
      </w:pPr>
      <w:r w:rsidRPr="00790BD3">
        <w:t>LINK to notice</w:t>
      </w:r>
      <w:r w:rsidR="00790BD3">
        <w:t>:</w:t>
      </w:r>
    </w:p>
    <w:p w:rsidR="00790BD3" w:rsidRDefault="00790BD3" w:rsidP="004A0D72">
      <w:pPr>
        <w:pStyle w:val="aa"/>
        <w:ind w:left="360"/>
        <w:jc w:val="both"/>
      </w:pPr>
      <w:hyperlink r:id="rId12" w:history="1">
        <w:r w:rsidRPr="004A48D0">
          <w:rPr>
            <w:rStyle w:val="Hyperlink"/>
          </w:rPr>
          <w:t>https://www.boi.org.il/en/communication-and-publications/regular-publications/overview-of-the-payment-and-settlement-systems-red-book/i19-11-23/</w:t>
        </w:r>
      </w:hyperlink>
      <w:r>
        <w:t xml:space="preserve"> </w:t>
      </w:r>
    </w:p>
    <w:p w:rsidR="00A84596" w:rsidRDefault="00A84596" w:rsidP="004A0D72">
      <w:pPr>
        <w:bidi w:val="0"/>
        <w:jc w:val="both"/>
      </w:pPr>
    </w:p>
    <w:p w:rsidR="003D4E66" w:rsidRPr="00C32009" w:rsidRDefault="00C30563" w:rsidP="004A0D72">
      <w:pPr>
        <w:pStyle w:val="aa"/>
        <w:numPr>
          <w:ilvl w:val="0"/>
          <w:numId w:val="7"/>
        </w:numPr>
        <w:ind w:left="360"/>
        <w:jc w:val="both"/>
        <w:rPr>
          <w:b/>
          <w:bCs/>
        </w:rPr>
      </w:pPr>
      <w:r w:rsidRPr="00C32009">
        <w:rPr>
          <w:b/>
          <w:bCs/>
        </w:rPr>
        <w:t xml:space="preserve">Publication of the fees and </w:t>
      </w:r>
      <w:r w:rsidR="00250A46" w:rsidRPr="00C32009">
        <w:rPr>
          <w:b/>
          <w:bCs/>
        </w:rPr>
        <w:t xml:space="preserve">the </w:t>
      </w:r>
      <w:r w:rsidRPr="00C32009">
        <w:rPr>
          <w:b/>
          <w:bCs/>
        </w:rPr>
        <w:t xml:space="preserve">significance of </w:t>
      </w:r>
      <w:r w:rsidR="00250A46" w:rsidRPr="00C32009">
        <w:rPr>
          <w:b/>
          <w:bCs/>
        </w:rPr>
        <w:t xml:space="preserve">joining as a </w:t>
      </w:r>
      <w:r w:rsidR="00CD3270" w:rsidRPr="00C32009">
        <w:rPr>
          <w:b/>
          <w:bCs/>
        </w:rPr>
        <w:t>participant</w:t>
      </w:r>
      <w:r w:rsidR="00250A46" w:rsidRPr="00C32009">
        <w:rPr>
          <w:b/>
          <w:bCs/>
        </w:rPr>
        <w:t xml:space="preserve"> in the </w:t>
      </w:r>
      <w:proofErr w:type="spellStart"/>
      <w:r w:rsidR="00250A46" w:rsidRPr="00C32009">
        <w:rPr>
          <w:b/>
          <w:bCs/>
        </w:rPr>
        <w:t>Zahav</w:t>
      </w:r>
      <w:proofErr w:type="spellEnd"/>
      <w:r w:rsidR="00250A46" w:rsidRPr="00C32009">
        <w:rPr>
          <w:b/>
          <w:bCs/>
        </w:rPr>
        <w:t xml:space="preserve"> system, for nonbank entities as well</w:t>
      </w:r>
    </w:p>
    <w:p w:rsidR="00250A46" w:rsidRDefault="00250A46" w:rsidP="00725FCB">
      <w:pPr>
        <w:pStyle w:val="aa"/>
        <w:ind w:left="360"/>
        <w:jc w:val="both"/>
      </w:pPr>
      <w:r>
        <w:t>Traditionall</w:t>
      </w:r>
      <w:r w:rsidR="004B27C7">
        <w:t>y</w:t>
      </w:r>
      <w:r>
        <w:t xml:space="preserve">, participation in the </w:t>
      </w:r>
      <w:proofErr w:type="spellStart"/>
      <w:r>
        <w:t>Zahav</w:t>
      </w:r>
      <w:proofErr w:type="spellEnd"/>
      <w:r>
        <w:t xml:space="preserve"> system, the most critical system </w:t>
      </w:r>
      <w:r w:rsidR="004B27C7">
        <w:t>in Israel’s financial sector, was reserved for banking corporations</w:t>
      </w:r>
      <w:r w:rsidR="00FD2439">
        <w:t xml:space="preserve"> alone</w:t>
      </w:r>
      <w:r w:rsidR="00725FCB">
        <w:t>. T</w:t>
      </w:r>
      <w:r w:rsidR="004B27C7">
        <w:t xml:space="preserve">he Clearing Houses Division published </w:t>
      </w:r>
      <w:r w:rsidR="00FD2439">
        <w:t xml:space="preserve">a description of the launch of the joining process by new entities, </w:t>
      </w:r>
      <w:r w:rsidR="00094A4D">
        <w:t>including</w:t>
      </w:r>
      <w:r w:rsidR="00FD2439">
        <w:t xml:space="preserve"> nonbanks, and the conditions </w:t>
      </w:r>
      <w:r w:rsidR="004B27C7">
        <w:t xml:space="preserve">and requirements for joining the </w:t>
      </w:r>
      <w:proofErr w:type="spellStart"/>
      <w:r w:rsidR="002B76C6">
        <w:t>Zahav</w:t>
      </w:r>
      <w:proofErr w:type="spellEnd"/>
      <w:r w:rsidR="002B76C6">
        <w:t xml:space="preserve"> system, including fees for joining and using the system.</w:t>
      </w:r>
      <w:r w:rsidR="00FD2439">
        <w:t xml:space="preserve"> </w:t>
      </w:r>
      <w:r w:rsidR="002B76C6">
        <w:t>The promotion of transparency and information in this sector helps enhanc</w:t>
      </w:r>
      <w:r w:rsidR="006729EE">
        <w:t>e</w:t>
      </w:r>
      <w:r w:rsidR="002B76C6">
        <w:t xml:space="preserve"> competition in the financial sector, </w:t>
      </w:r>
      <w:r w:rsidR="006729EE">
        <w:t xml:space="preserve">and </w:t>
      </w:r>
      <w:r w:rsidR="002B76C6">
        <w:t xml:space="preserve">broaden the </w:t>
      </w:r>
      <w:r w:rsidR="006729EE">
        <w:t xml:space="preserve">variety </w:t>
      </w:r>
      <w:r w:rsidR="002B76C6">
        <w:t>and increas</w:t>
      </w:r>
      <w:r w:rsidR="006729EE">
        <w:t>e</w:t>
      </w:r>
      <w:r w:rsidR="002B76C6">
        <w:t xml:space="preserve"> the number of participants, which makes the substitutability of each of the system’s participants</w:t>
      </w:r>
      <w:r w:rsidR="00FD2439">
        <w:t xml:space="preserve"> possible</w:t>
      </w:r>
      <w:r w:rsidR="00725FCB">
        <w:t xml:space="preserve">, and thus assists in </w:t>
      </w:r>
      <w:r w:rsidR="002B76C6">
        <w:t>enhancing financial stability.</w:t>
      </w:r>
    </w:p>
    <w:p w:rsidR="002B76C6" w:rsidRDefault="002B76C6" w:rsidP="004A0D72">
      <w:pPr>
        <w:pStyle w:val="aa"/>
        <w:ind w:left="360"/>
        <w:jc w:val="both"/>
      </w:pPr>
      <w:r w:rsidRPr="00790BD3">
        <w:t>LINK to notice</w:t>
      </w:r>
      <w:r w:rsidR="00790BD3">
        <w:t>:</w:t>
      </w:r>
    </w:p>
    <w:p w:rsidR="00790BD3" w:rsidRDefault="00790BD3" w:rsidP="004A0D72">
      <w:pPr>
        <w:pStyle w:val="aa"/>
        <w:ind w:left="360"/>
        <w:jc w:val="both"/>
      </w:pPr>
      <w:hyperlink r:id="rId13" w:history="1">
        <w:r w:rsidRPr="004A48D0">
          <w:rPr>
            <w:rStyle w:val="Hyperlink"/>
          </w:rPr>
          <w:t>https://www.boi.org.il/en/communication-and-publications/regular-publications/overview-of-the-payment-and-settlement-systems-red-book/k19-11-23/</w:t>
        </w:r>
      </w:hyperlink>
      <w:r>
        <w:t xml:space="preserve"> </w:t>
      </w:r>
    </w:p>
    <w:p w:rsidR="004B27C7" w:rsidRDefault="004B27C7" w:rsidP="004A0D72">
      <w:pPr>
        <w:bidi w:val="0"/>
        <w:jc w:val="both"/>
      </w:pPr>
    </w:p>
    <w:p w:rsidR="00A10F53" w:rsidRPr="00A10F53" w:rsidRDefault="00FB6A57" w:rsidP="0048396C">
      <w:pPr>
        <w:pStyle w:val="aa"/>
        <w:numPr>
          <w:ilvl w:val="0"/>
          <w:numId w:val="7"/>
        </w:numPr>
        <w:ind w:left="360"/>
        <w:jc w:val="both"/>
      </w:pPr>
      <w:r w:rsidRPr="00A10F53">
        <w:rPr>
          <w:b/>
          <w:bCs/>
        </w:rPr>
        <w:t xml:space="preserve">Notice on expanding the identification codes in the financial sector </w:t>
      </w:r>
      <w:r w:rsidR="00082EF1">
        <w:rPr>
          <w:b/>
          <w:bCs/>
        </w:rPr>
        <w:t xml:space="preserve">by </w:t>
      </w:r>
      <w:r w:rsidRPr="00A10F53">
        <w:rPr>
          <w:b/>
          <w:bCs/>
        </w:rPr>
        <w:t>the end of 2026, a process that will enable more entities to act in the payment systems and related system</w:t>
      </w:r>
      <w:r w:rsidR="00781475">
        <w:rPr>
          <w:b/>
          <w:bCs/>
        </w:rPr>
        <w:t>s</w:t>
      </w:r>
      <w:r w:rsidRPr="00A10F53">
        <w:rPr>
          <w:b/>
          <w:bCs/>
        </w:rPr>
        <w:t>. A public consultation document is being published today for consu</w:t>
      </w:r>
      <w:r w:rsidR="00D124B8" w:rsidRPr="00A10F53">
        <w:rPr>
          <w:b/>
          <w:bCs/>
        </w:rPr>
        <w:t>l</w:t>
      </w:r>
      <w:r w:rsidRPr="00A10F53">
        <w:rPr>
          <w:b/>
          <w:bCs/>
        </w:rPr>
        <w:t xml:space="preserve">tation with </w:t>
      </w:r>
      <w:r w:rsidR="00C524AB">
        <w:rPr>
          <w:b/>
          <w:bCs/>
        </w:rPr>
        <w:t>financial and</w:t>
      </w:r>
      <w:r w:rsidR="0012649D">
        <w:rPr>
          <w:b/>
          <w:bCs/>
        </w:rPr>
        <w:t xml:space="preserve"> other entities </w:t>
      </w:r>
      <w:r w:rsidRPr="00A10F53">
        <w:rPr>
          <w:b/>
          <w:bCs/>
        </w:rPr>
        <w:t>rega</w:t>
      </w:r>
      <w:r w:rsidR="00D124B8" w:rsidRPr="00A10F53">
        <w:rPr>
          <w:b/>
          <w:bCs/>
        </w:rPr>
        <w:t xml:space="preserve">rding </w:t>
      </w:r>
      <w:r w:rsidRPr="00A10F53">
        <w:rPr>
          <w:b/>
          <w:bCs/>
        </w:rPr>
        <w:t>the manner of the expan</w:t>
      </w:r>
      <w:r w:rsidR="00D124B8" w:rsidRPr="00A10F53">
        <w:rPr>
          <w:b/>
          <w:bCs/>
        </w:rPr>
        <w:t>s</w:t>
      </w:r>
      <w:r w:rsidRPr="00A10F53">
        <w:rPr>
          <w:b/>
          <w:bCs/>
        </w:rPr>
        <w:t>ion.</w:t>
      </w:r>
      <w:r w:rsidR="00D124B8" w:rsidRPr="00A10F53">
        <w:rPr>
          <w:b/>
          <w:bCs/>
        </w:rPr>
        <w:t xml:space="preserve"> </w:t>
      </w:r>
    </w:p>
    <w:p w:rsidR="002B76C6" w:rsidRDefault="00D124B8" w:rsidP="006F6F97">
      <w:pPr>
        <w:pStyle w:val="aa"/>
        <w:ind w:left="360"/>
        <w:jc w:val="both"/>
      </w:pPr>
      <w:r>
        <w:t>Today, e</w:t>
      </w:r>
      <w:r w:rsidR="00781475">
        <w:t>very bank</w:t>
      </w:r>
      <w:r>
        <w:t xml:space="preserve"> and financial entity is identified in the payments </w:t>
      </w:r>
      <w:r w:rsidR="00CD3270">
        <w:t>system</w:t>
      </w:r>
      <w:r>
        <w:t xml:space="preserve"> and in related systems by a two-digit code, such 10, 11, or 12. In the past, this code was </w:t>
      </w:r>
      <w:r>
        <w:lastRenderedPageBreak/>
        <w:t>known as a “bank code”, and in light of the progress of nonbank entities request</w:t>
      </w:r>
      <w:r w:rsidR="00082EF1">
        <w:t xml:space="preserve">ing </w:t>
      </w:r>
      <w:r>
        <w:t>to join the payments system, the Bank of Israel changed the name to “identification code”. The identification code format</w:t>
      </w:r>
      <w:r w:rsidR="00082EF1">
        <w:t xml:space="preserve"> of only </w:t>
      </w:r>
      <w:r>
        <w:t>two digits</w:t>
      </w:r>
      <w:r w:rsidR="00781475">
        <w:t xml:space="preserve"> </w:t>
      </w:r>
      <w:r>
        <w:t xml:space="preserve">limits the number of participants to 99. As </w:t>
      </w:r>
      <w:r w:rsidR="0060375D">
        <w:t>p</w:t>
      </w:r>
      <w:r>
        <w:t>art of the series of steps that we</w:t>
      </w:r>
      <w:r w:rsidR="0060375D">
        <w:t xml:space="preserve">re noted </w:t>
      </w:r>
      <w:r>
        <w:t xml:space="preserve">above, </w:t>
      </w:r>
      <w:r w:rsidR="0060375D">
        <w:t xml:space="preserve">to increase efficiency and competition </w:t>
      </w:r>
      <w:r w:rsidR="006C7972">
        <w:t xml:space="preserve">in the payment systems, </w:t>
      </w:r>
      <w:r w:rsidR="00CD3270">
        <w:t>and</w:t>
      </w:r>
      <w:r w:rsidR="006C7972">
        <w:t xml:space="preserve"> to </w:t>
      </w:r>
      <w:r w:rsidR="00CD3270">
        <w:t>encourage</w:t>
      </w:r>
      <w:r w:rsidR="006C7972">
        <w:t xml:space="preserve"> the </w:t>
      </w:r>
      <w:r w:rsidR="00CD3270">
        <w:t xml:space="preserve">participation </w:t>
      </w:r>
      <w:r w:rsidR="006C7972">
        <w:t>of additi</w:t>
      </w:r>
      <w:r w:rsidR="00CD3270">
        <w:t>o</w:t>
      </w:r>
      <w:r w:rsidR="006C7972">
        <w:t>n</w:t>
      </w:r>
      <w:r w:rsidR="00CD3270">
        <w:t>a</w:t>
      </w:r>
      <w:r w:rsidR="006C7972">
        <w:t xml:space="preserve">l </w:t>
      </w:r>
      <w:r w:rsidR="00CD3270">
        <w:t>entities</w:t>
      </w:r>
      <w:r w:rsidR="006C7972">
        <w:t>, prepar</w:t>
      </w:r>
      <w:r w:rsidR="00781475">
        <w:t xml:space="preserve">ation is needed </w:t>
      </w:r>
      <w:r w:rsidR="006C7972">
        <w:t xml:space="preserve">to </w:t>
      </w:r>
      <w:r w:rsidR="00CD3270">
        <w:t>expand</w:t>
      </w:r>
      <w:r w:rsidR="006C7972">
        <w:t xml:space="preserve"> the existing identifica</w:t>
      </w:r>
      <w:r w:rsidR="00CD3270">
        <w:t>t</w:t>
      </w:r>
      <w:r w:rsidR="006C7972">
        <w:t>ion codes. The expa</w:t>
      </w:r>
      <w:r w:rsidR="00CD3270">
        <w:t xml:space="preserve">nsion </w:t>
      </w:r>
      <w:r w:rsidR="006C7972">
        <w:t>will b</w:t>
      </w:r>
      <w:r w:rsidR="00CD3270">
        <w:t>e to</w:t>
      </w:r>
      <w:r w:rsidR="006C7972">
        <w:t xml:space="preserve"> a </w:t>
      </w:r>
      <w:r w:rsidR="00CD3270">
        <w:t>larger</w:t>
      </w:r>
      <w:r w:rsidR="006C7972">
        <w:t xml:space="preserve"> number of cells, which will provide a solution to the </w:t>
      </w:r>
      <w:r w:rsidR="00CD3270">
        <w:t xml:space="preserve">needs of connecting </w:t>
      </w:r>
      <w:r w:rsidR="00776C99">
        <w:t xml:space="preserve">to </w:t>
      </w:r>
      <w:r w:rsidR="006C7972">
        <w:t xml:space="preserve">the </w:t>
      </w:r>
      <w:r w:rsidR="00CD3270">
        <w:t>payment</w:t>
      </w:r>
      <w:r w:rsidR="006C7972">
        <w:t xml:space="preserve"> system in coming </w:t>
      </w:r>
      <w:r w:rsidR="00CD3270">
        <w:t>year</w:t>
      </w:r>
      <w:r w:rsidR="00776C99">
        <w:t>s</w:t>
      </w:r>
      <w:r w:rsidR="006C7972">
        <w:t xml:space="preserve"> as well. The Bank of Israel </w:t>
      </w:r>
      <w:r w:rsidR="006729EE">
        <w:t xml:space="preserve">today </w:t>
      </w:r>
      <w:r w:rsidR="00CD3270">
        <w:t>announced</w:t>
      </w:r>
      <w:r w:rsidR="006C7972">
        <w:t xml:space="preserve"> a target date</w:t>
      </w:r>
      <w:r w:rsidR="006F6F97">
        <w:t xml:space="preserve"> - </w:t>
      </w:r>
      <w:r w:rsidR="00781475">
        <w:t xml:space="preserve">the end of 2026—for implementation, </w:t>
      </w:r>
      <w:r w:rsidR="00CD3270">
        <w:t>and</w:t>
      </w:r>
      <w:r w:rsidR="006C7972">
        <w:t xml:space="preserve"> </w:t>
      </w:r>
      <w:r w:rsidR="00781475">
        <w:t xml:space="preserve">published a </w:t>
      </w:r>
      <w:r w:rsidR="00CD3270">
        <w:t>public</w:t>
      </w:r>
      <w:r w:rsidR="006C7972">
        <w:t xml:space="preserve"> con</w:t>
      </w:r>
      <w:r w:rsidR="00CD3270">
        <w:t>s</w:t>
      </w:r>
      <w:r w:rsidR="006C7972">
        <w:t>ul</w:t>
      </w:r>
      <w:r w:rsidR="00CD3270">
        <w:t xml:space="preserve">tation </w:t>
      </w:r>
      <w:r w:rsidR="006C7972">
        <w:t xml:space="preserve">document in which it </w:t>
      </w:r>
      <w:r w:rsidR="00CD3270">
        <w:t>invites</w:t>
      </w:r>
      <w:r w:rsidR="006C7972">
        <w:t xml:space="preserve"> the public and the relev</w:t>
      </w:r>
      <w:r w:rsidR="00CD3270">
        <w:t>ant</w:t>
      </w:r>
      <w:r w:rsidR="006C7972">
        <w:t xml:space="preserve"> </w:t>
      </w:r>
      <w:r w:rsidR="006729EE">
        <w:t>financial entities</w:t>
      </w:r>
      <w:r w:rsidR="006C7972">
        <w:t xml:space="preserve"> to </w:t>
      </w:r>
      <w:r w:rsidR="00CD3270">
        <w:t>submit</w:t>
      </w:r>
      <w:r w:rsidR="006C7972">
        <w:t xml:space="preserve"> their views</w:t>
      </w:r>
      <w:r w:rsidR="00776C99">
        <w:t xml:space="preserve"> </w:t>
      </w:r>
      <w:r w:rsidR="006C7972">
        <w:t xml:space="preserve">and additional </w:t>
      </w:r>
      <w:r w:rsidR="00CD3270">
        <w:t>information</w:t>
      </w:r>
      <w:r w:rsidR="006C7972">
        <w:t xml:space="preserve"> on the expected expansion.</w:t>
      </w:r>
      <w:r w:rsidR="009F54E6">
        <w:rPr>
          <w:rStyle w:val="ad"/>
        </w:rPr>
        <w:footnoteReference w:id="1"/>
      </w:r>
    </w:p>
    <w:p w:rsidR="006C7972" w:rsidRDefault="002907BF" w:rsidP="004A0D72">
      <w:pPr>
        <w:pStyle w:val="aa"/>
        <w:ind w:left="360"/>
        <w:jc w:val="both"/>
      </w:pPr>
      <w:r w:rsidRPr="00790BD3">
        <w:t>LINK to notice</w:t>
      </w:r>
      <w:r w:rsidR="00790BD3">
        <w:t>:</w:t>
      </w:r>
    </w:p>
    <w:p w:rsidR="00790BD3" w:rsidRDefault="00790BD3" w:rsidP="004A0D72">
      <w:pPr>
        <w:pStyle w:val="aa"/>
        <w:ind w:left="360"/>
        <w:jc w:val="both"/>
      </w:pPr>
      <w:hyperlink r:id="rId14" w:history="1">
        <w:r w:rsidRPr="004A48D0">
          <w:rPr>
            <w:rStyle w:val="Hyperlink"/>
          </w:rPr>
          <w:t>https://www.boi.org.il/en/communication-and-publications/regular-publications/overview-of-the-payment-and-settlement-systems-red-book/m19-11-23/</w:t>
        </w:r>
      </w:hyperlink>
      <w:r>
        <w:t xml:space="preserve"> </w:t>
      </w:r>
    </w:p>
    <w:p w:rsidR="00C32009" w:rsidRDefault="00C32009" w:rsidP="004A0D72">
      <w:pPr>
        <w:bidi w:val="0"/>
        <w:jc w:val="both"/>
      </w:pPr>
    </w:p>
    <w:p w:rsidR="006F6F97" w:rsidRDefault="006F6F97" w:rsidP="006F6F97">
      <w:pPr>
        <w:pStyle w:val="aa"/>
        <w:numPr>
          <w:ilvl w:val="0"/>
          <w:numId w:val="7"/>
        </w:numPr>
        <w:ind w:left="284"/>
        <w:jc w:val="both"/>
      </w:pPr>
      <w:r>
        <w:rPr>
          <w:b/>
          <w:bCs/>
        </w:rPr>
        <w:t>Consumer loyalty clubs have begun using existing payment card infrastructure.</w:t>
      </w:r>
      <w:r>
        <w:t xml:space="preserve">  The Bank of Israel announced that many consumer clubs have begun taking advantage of a measure adopted last year to allow the clubs’ technology providers to enable the utilization of club benefits through end-point technology at merchants outside the clubs, using the same infrastructure that enables payment card transactions.  This measure has opened a technological and business track that has generated a series of advantages for customers, including benefits at various stores and chains.  This is particularly the case during the current complex period, when the public is dealing with significant economic challenges.</w:t>
      </w:r>
    </w:p>
    <w:p w:rsidR="00790BD3" w:rsidRDefault="00B82A81" w:rsidP="001C06B4">
      <w:pPr>
        <w:bidi w:val="0"/>
        <w:jc w:val="both"/>
      </w:pPr>
      <w:r w:rsidRPr="00790BD3">
        <w:t xml:space="preserve"> LINK to notice</w:t>
      </w:r>
      <w:r w:rsidR="00790BD3">
        <w:t>:</w:t>
      </w:r>
    </w:p>
    <w:p w:rsidR="00B82A81" w:rsidRPr="00790BD3" w:rsidRDefault="00790BD3" w:rsidP="00790BD3">
      <w:pPr>
        <w:bidi w:val="0"/>
        <w:jc w:val="both"/>
      </w:pPr>
      <w:hyperlink r:id="rId15" w:history="1">
        <w:r w:rsidRPr="004A48D0">
          <w:rPr>
            <w:rStyle w:val="Hyperlink"/>
          </w:rPr>
          <w:t>https://www.boi.org.il/en/communication-and-publications/regular-publications/overview-of-the-payment-and-settlement-systems-red-book/n19-11-23/</w:t>
        </w:r>
      </w:hyperlink>
      <w:r>
        <w:t xml:space="preserve"> </w:t>
      </w:r>
      <w:r w:rsidR="001C06B4" w:rsidRPr="00790BD3">
        <w:t xml:space="preserve">  </w:t>
      </w:r>
    </w:p>
    <w:p w:rsidR="00B82A81" w:rsidRDefault="00B82A81" w:rsidP="00B82A81">
      <w:pPr>
        <w:pStyle w:val="aa"/>
        <w:ind w:left="284"/>
        <w:jc w:val="both"/>
      </w:pPr>
    </w:p>
    <w:p w:rsidR="006F6F97" w:rsidRDefault="006F6F97" w:rsidP="006F6F97">
      <w:pPr>
        <w:bidi w:val="0"/>
        <w:jc w:val="both"/>
      </w:pPr>
      <w:bookmarkStart w:id="0" w:name="_GoBack"/>
      <w:bookmarkEnd w:id="0"/>
    </w:p>
    <w:p w:rsidR="008A6A5C" w:rsidRDefault="008A6A5C" w:rsidP="006F6F97">
      <w:pPr>
        <w:bidi w:val="0"/>
        <w:jc w:val="both"/>
      </w:pPr>
    </w:p>
    <w:p w:rsidR="0048396C" w:rsidRPr="00265DA5" w:rsidRDefault="008A6A5C" w:rsidP="0048396C">
      <w:pPr>
        <w:bidi w:val="0"/>
        <w:jc w:val="both"/>
        <w:rPr>
          <w:b/>
          <w:bCs/>
        </w:rPr>
      </w:pPr>
      <w:r w:rsidRPr="00265DA5">
        <w:rPr>
          <w:b/>
          <w:bCs/>
        </w:rPr>
        <w:t xml:space="preserve">The </w:t>
      </w:r>
      <w:r w:rsidR="00B75752" w:rsidRPr="00265DA5">
        <w:rPr>
          <w:b/>
          <w:bCs/>
        </w:rPr>
        <w:t>P</w:t>
      </w:r>
      <w:r w:rsidRPr="00265DA5">
        <w:rPr>
          <w:b/>
          <w:bCs/>
        </w:rPr>
        <w:t xml:space="preserve">ayment and </w:t>
      </w:r>
      <w:r w:rsidR="00B75752" w:rsidRPr="00265DA5">
        <w:rPr>
          <w:b/>
          <w:bCs/>
        </w:rPr>
        <w:t>S</w:t>
      </w:r>
      <w:r w:rsidRPr="00265DA5">
        <w:rPr>
          <w:b/>
          <w:bCs/>
        </w:rPr>
        <w:t xml:space="preserve">ettlement </w:t>
      </w:r>
      <w:r w:rsidR="00B75752" w:rsidRPr="00265DA5">
        <w:rPr>
          <w:b/>
          <w:bCs/>
        </w:rPr>
        <w:t>S</w:t>
      </w:r>
      <w:r w:rsidRPr="00265DA5">
        <w:rPr>
          <w:b/>
          <w:bCs/>
        </w:rPr>
        <w:t xml:space="preserve">ystems </w:t>
      </w:r>
      <w:r w:rsidR="00B75752" w:rsidRPr="00265DA5">
        <w:rPr>
          <w:b/>
          <w:bCs/>
        </w:rPr>
        <w:t>D</w:t>
      </w:r>
      <w:r w:rsidRPr="00265DA5">
        <w:rPr>
          <w:b/>
          <w:bCs/>
        </w:rPr>
        <w:t xml:space="preserve">epartment at the Bank of Israel </w:t>
      </w:r>
      <w:r w:rsidR="0048396C" w:rsidRPr="00265DA5">
        <w:rPr>
          <w:b/>
          <w:bCs/>
        </w:rPr>
        <w:t xml:space="preserve">will </w:t>
      </w:r>
      <w:r w:rsidRPr="00265DA5">
        <w:rPr>
          <w:b/>
          <w:bCs/>
        </w:rPr>
        <w:t>continue</w:t>
      </w:r>
      <w:r w:rsidR="0048396C" w:rsidRPr="00265DA5">
        <w:rPr>
          <w:b/>
          <w:bCs/>
        </w:rPr>
        <w:t xml:space="preserve"> </w:t>
      </w:r>
      <w:r w:rsidR="000D0751" w:rsidRPr="00265DA5">
        <w:rPr>
          <w:b/>
          <w:bCs/>
        </w:rPr>
        <w:t>to o</w:t>
      </w:r>
      <w:r w:rsidRPr="00265DA5">
        <w:rPr>
          <w:b/>
          <w:bCs/>
        </w:rPr>
        <w:t xml:space="preserve">versee and monitor the payment systems in Israel, and </w:t>
      </w:r>
      <w:r w:rsidR="0048396C" w:rsidRPr="00265DA5">
        <w:rPr>
          <w:b/>
          <w:bCs/>
        </w:rPr>
        <w:t xml:space="preserve">to </w:t>
      </w:r>
      <w:r w:rsidRPr="00265DA5">
        <w:rPr>
          <w:b/>
          <w:bCs/>
        </w:rPr>
        <w:t xml:space="preserve">delineate </w:t>
      </w:r>
      <w:r w:rsidR="00B75752" w:rsidRPr="00265DA5">
        <w:rPr>
          <w:b/>
          <w:bCs/>
        </w:rPr>
        <w:t xml:space="preserve">a changing </w:t>
      </w:r>
      <w:r w:rsidRPr="00265DA5">
        <w:rPr>
          <w:b/>
          <w:bCs/>
        </w:rPr>
        <w:t xml:space="preserve">policy </w:t>
      </w:r>
      <w:r w:rsidR="000D0751" w:rsidRPr="00265DA5">
        <w:rPr>
          <w:b/>
          <w:bCs/>
        </w:rPr>
        <w:t xml:space="preserve">in </w:t>
      </w:r>
      <w:r w:rsidR="00B82ADB" w:rsidRPr="00265DA5">
        <w:rPr>
          <w:b/>
          <w:bCs/>
        </w:rPr>
        <w:t>accordance</w:t>
      </w:r>
      <w:r w:rsidR="000D0751" w:rsidRPr="00265DA5">
        <w:rPr>
          <w:b/>
          <w:bCs/>
        </w:rPr>
        <w:t xml:space="preserve"> </w:t>
      </w:r>
      <w:r w:rsidR="00B82ADB" w:rsidRPr="00265DA5">
        <w:rPr>
          <w:b/>
          <w:bCs/>
        </w:rPr>
        <w:t>with</w:t>
      </w:r>
      <w:r w:rsidR="000D0751" w:rsidRPr="00265DA5">
        <w:rPr>
          <w:b/>
          <w:bCs/>
        </w:rPr>
        <w:t xml:space="preserve"> the situation, in order to ensure the continued stability of the </w:t>
      </w:r>
      <w:r w:rsidR="00B82ADB" w:rsidRPr="00265DA5">
        <w:rPr>
          <w:b/>
          <w:bCs/>
        </w:rPr>
        <w:t>payment</w:t>
      </w:r>
      <w:r w:rsidR="000D0751" w:rsidRPr="00265DA5">
        <w:rPr>
          <w:b/>
          <w:bCs/>
        </w:rPr>
        <w:t xml:space="preserve"> systems and </w:t>
      </w:r>
      <w:r w:rsidR="00B82ADB" w:rsidRPr="00265DA5">
        <w:rPr>
          <w:b/>
          <w:bCs/>
        </w:rPr>
        <w:t>their</w:t>
      </w:r>
      <w:r w:rsidR="000D0751" w:rsidRPr="00265DA5">
        <w:rPr>
          <w:b/>
          <w:bCs/>
        </w:rPr>
        <w:t xml:space="preserve"> p</w:t>
      </w:r>
      <w:r w:rsidR="00B82ADB" w:rsidRPr="00265DA5">
        <w:rPr>
          <w:b/>
          <w:bCs/>
        </w:rPr>
        <w:t>ar</w:t>
      </w:r>
      <w:r w:rsidR="000D0751" w:rsidRPr="00265DA5">
        <w:rPr>
          <w:b/>
          <w:bCs/>
        </w:rPr>
        <w:t>tic</w:t>
      </w:r>
      <w:r w:rsidR="00B82ADB" w:rsidRPr="00265DA5">
        <w:rPr>
          <w:b/>
          <w:bCs/>
        </w:rPr>
        <w:t>i</w:t>
      </w:r>
      <w:r w:rsidR="000D0751" w:rsidRPr="00265DA5">
        <w:rPr>
          <w:b/>
          <w:bCs/>
        </w:rPr>
        <w:t>pan</w:t>
      </w:r>
      <w:r w:rsidR="00B82ADB" w:rsidRPr="00265DA5">
        <w:rPr>
          <w:b/>
          <w:bCs/>
        </w:rPr>
        <w:t>t</w:t>
      </w:r>
      <w:r w:rsidR="000D0751" w:rsidRPr="00265DA5">
        <w:rPr>
          <w:b/>
          <w:bCs/>
        </w:rPr>
        <w:t>s</w:t>
      </w:r>
      <w:r w:rsidR="00B75752" w:rsidRPr="00265DA5">
        <w:rPr>
          <w:b/>
          <w:bCs/>
        </w:rPr>
        <w:t xml:space="preserve">. </w:t>
      </w:r>
      <w:r w:rsidR="0048396C" w:rsidRPr="00265DA5">
        <w:rPr>
          <w:b/>
          <w:bCs/>
        </w:rPr>
        <w:t>Alongside these, it will continue to promote policy steps that support innovation and competition in the system.</w:t>
      </w:r>
    </w:p>
    <w:sectPr w:rsidR="0048396C" w:rsidRPr="00265DA5" w:rsidSect="00D114C9">
      <w:headerReference w:type="even" r:id="rId16"/>
      <w:headerReference w:type="default" r:id="rId17"/>
      <w:footerReference w:type="even" r:id="rId18"/>
      <w:footerReference w:type="default" r:id="rId19"/>
      <w:headerReference w:type="first" r:id="rId20"/>
      <w:footerReference w:type="first" r:id="rId21"/>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72C" w:rsidRDefault="00F7472C" w:rsidP="00E64B36">
      <w:r>
        <w:separator/>
      </w:r>
    </w:p>
  </w:endnote>
  <w:endnote w:type="continuationSeparator" w:id="0">
    <w:p w:rsidR="00F7472C" w:rsidRDefault="00F7472C"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84" w:rsidRDefault="005B408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A57" w:rsidRPr="00986270" w:rsidRDefault="00FB6A57" w:rsidP="00EB0782">
    <w:pPr>
      <w:bidi w:val="0"/>
      <w:ind w:right="-52"/>
      <w:rPr>
        <w:b/>
        <w:bCs/>
        <w:sz w:val="26"/>
        <w:szCs w:val="26"/>
        <w:u w:val="single"/>
        <w:rtl/>
        <w:cs/>
      </w:rPr>
    </w:pPr>
    <w:r w:rsidRPr="00986270">
      <w:rPr>
        <w:sz w:val="18"/>
        <w:szCs w:val="18"/>
      </w:rPr>
      <w:t>Bank of Israel</w:t>
    </w:r>
    <w:r>
      <w:rPr>
        <w:sz w:val="18"/>
        <w:szCs w:val="18"/>
      </w:rPr>
      <w:tab/>
    </w:r>
    <w:r w:rsidRPr="00CD0A35">
      <w:rPr>
        <w:sz w:val="18"/>
        <w:szCs w:val="18"/>
      </w:rPr>
      <w:tab/>
      <w:t>Page</w:t>
    </w:r>
    <w:r w:rsidRPr="00CD0A35">
      <w:rPr>
        <w:sz w:val="18"/>
        <w:szCs w:val="18"/>
        <w:rtl/>
        <w:cs/>
        <w:lang w:val="he-IL"/>
      </w:rPr>
      <w:t xml:space="preserve"> </w:t>
    </w:r>
    <w:r w:rsidRPr="00CD0A35">
      <w:rPr>
        <w:b/>
        <w:bCs/>
        <w:sz w:val="18"/>
        <w:szCs w:val="18"/>
      </w:rPr>
      <w:fldChar w:fldCharType="begin"/>
    </w:r>
    <w:r w:rsidRPr="00CD0A35">
      <w:rPr>
        <w:b/>
        <w:bCs/>
        <w:sz w:val="18"/>
        <w:szCs w:val="18"/>
        <w:rtl/>
        <w:cs/>
      </w:rPr>
      <w:instrText>PAGE</w:instrText>
    </w:r>
    <w:r w:rsidRPr="00CD0A35">
      <w:rPr>
        <w:b/>
        <w:bCs/>
        <w:sz w:val="18"/>
        <w:szCs w:val="18"/>
      </w:rPr>
      <w:fldChar w:fldCharType="separate"/>
    </w:r>
    <w:r w:rsidR="00790BD3">
      <w:rPr>
        <w:b/>
        <w:bCs/>
        <w:noProof/>
        <w:sz w:val="18"/>
        <w:szCs w:val="18"/>
      </w:rPr>
      <w:t>2</w:t>
    </w:r>
    <w:r w:rsidRPr="00CD0A35">
      <w:rPr>
        <w:b/>
        <w:bCs/>
        <w:sz w:val="18"/>
        <w:szCs w:val="18"/>
      </w:rPr>
      <w:fldChar w:fldCharType="end"/>
    </w:r>
    <w:r w:rsidRPr="00CD0A35">
      <w:rPr>
        <w:sz w:val="18"/>
        <w:szCs w:val="18"/>
      </w:rPr>
      <w:t xml:space="preserve"> Of</w:t>
    </w:r>
    <w:r w:rsidRPr="00CD0A35">
      <w:rPr>
        <w:sz w:val="18"/>
        <w:szCs w:val="18"/>
        <w:rtl/>
        <w:cs/>
        <w:lang w:val="he-IL"/>
      </w:rPr>
      <w:t xml:space="preserve"> </w:t>
    </w:r>
    <w:r w:rsidRPr="00CD0A35">
      <w:rPr>
        <w:b/>
        <w:bCs/>
        <w:sz w:val="18"/>
        <w:szCs w:val="18"/>
      </w:rPr>
      <w:fldChar w:fldCharType="begin"/>
    </w:r>
    <w:r w:rsidRPr="00CD0A35">
      <w:rPr>
        <w:b/>
        <w:bCs/>
        <w:sz w:val="18"/>
        <w:szCs w:val="18"/>
        <w:rtl/>
        <w:cs/>
      </w:rPr>
      <w:instrText>NUMPAGES</w:instrText>
    </w:r>
    <w:r w:rsidRPr="00CD0A35">
      <w:rPr>
        <w:b/>
        <w:bCs/>
        <w:sz w:val="18"/>
        <w:szCs w:val="18"/>
      </w:rPr>
      <w:fldChar w:fldCharType="separate"/>
    </w:r>
    <w:r w:rsidR="00790BD3">
      <w:rPr>
        <w:b/>
        <w:bCs/>
        <w:noProof/>
        <w:sz w:val="18"/>
        <w:szCs w:val="18"/>
      </w:rPr>
      <w:t>4</w:t>
    </w:r>
    <w:r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84" w:rsidRDefault="005B40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72C" w:rsidRDefault="00F7472C" w:rsidP="00E64B36">
      <w:r>
        <w:separator/>
      </w:r>
    </w:p>
  </w:footnote>
  <w:footnote w:type="continuationSeparator" w:id="0">
    <w:p w:rsidR="00F7472C" w:rsidRDefault="00F7472C" w:rsidP="00E64B36">
      <w:r>
        <w:continuationSeparator/>
      </w:r>
    </w:p>
  </w:footnote>
  <w:footnote w:id="1">
    <w:p w:rsidR="009F54E6" w:rsidRPr="009F54E6" w:rsidRDefault="009F54E6" w:rsidP="00B82ADB">
      <w:pPr>
        <w:bidi w:val="0"/>
        <w:ind w:right="-101"/>
        <w:jc w:val="both"/>
        <w:rPr>
          <w:rFonts w:asciiTheme="majorBidi" w:hAnsiTheme="majorBidi" w:cstheme="majorBidi"/>
          <w:sz w:val="20"/>
          <w:szCs w:val="20"/>
        </w:rPr>
      </w:pPr>
      <w:r w:rsidRPr="009F54E6">
        <w:rPr>
          <w:rStyle w:val="ad"/>
          <w:rFonts w:asciiTheme="majorBidi" w:hAnsiTheme="majorBidi" w:cstheme="majorBidi"/>
          <w:sz w:val="20"/>
          <w:szCs w:val="20"/>
        </w:rPr>
        <w:footnoteRef/>
      </w:r>
      <w:r w:rsidRPr="009F54E6">
        <w:rPr>
          <w:rFonts w:asciiTheme="majorBidi" w:hAnsiTheme="majorBidi" w:cstheme="majorBidi"/>
          <w:sz w:val="20"/>
          <w:szCs w:val="20"/>
        </w:rPr>
        <w:t xml:space="preserve"> </w:t>
      </w:r>
      <w:r w:rsidRPr="009F54E6">
        <w:rPr>
          <w:rFonts w:asciiTheme="majorBidi" w:hAnsiTheme="majorBidi" w:cstheme="majorBidi"/>
          <w:color w:val="000000" w:themeColor="text1"/>
          <w:sz w:val="20"/>
          <w:szCs w:val="20"/>
          <w:shd w:val="clear" w:color="auto" w:fill="FFFFFF"/>
        </w:rPr>
        <w:t>A notice on the manner of the expansion of the identi</w:t>
      </w:r>
      <w:r w:rsidR="00B82ADB">
        <w:rPr>
          <w:rFonts w:asciiTheme="majorBidi" w:hAnsiTheme="majorBidi" w:cstheme="majorBidi"/>
          <w:color w:val="000000" w:themeColor="text1"/>
          <w:sz w:val="20"/>
          <w:szCs w:val="20"/>
          <w:shd w:val="clear" w:color="auto" w:fill="FFFFFF"/>
        </w:rPr>
        <w:t xml:space="preserve">fication </w:t>
      </w:r>
      <w:r w:rsidRPr="009F54E6">
        <w:rPr>
          <w:rFonts w:asciiTheme="majorBidi" w:hAnsiTheme="majorBidi" w:cstheme="majorBidi"/>
          <w:color w:val="000000" w:themeColor="text1"/>
          <w:sz w:val="20"/>
          <w:szCs w:val="20"/>
          <w:shd w:val="clear" w:color="auto" w:fill="FFFFFF"/>
        </w:rPr>
        <w:t>code wil</w:t>
      </w:r>
      <w:r w:rsidR="00B82ADB">
        <w:rPr>
          <w:rFonts w:asciiTheme="majorBidi" w:hAnsiTheme="majorBidi" w:cstheme="majorBidi"/>
          <w:color w:val="000000" w:themeColor="text1"/>
          <w:sz w:val="20"/>
          <w:szCs w:val="20"/>
          <w:shd w:val="clear" w:color="auto" w:fill="FFFFFF"/>
        </w:rPr>
        <w:t>l</w:t>
      </w:r>
      <w:r w:rsidRPr="009F54E6">
        <w:rPr>
          <w:rFonts w:asciiTheme="majorBidi" w:hAnsiTheme="majorBidi" w:cstheme="majorBidi"/>
          <w:color w:val="000000" w:themeColor="text1"/>
          <w:sz w:val="20"/>
          <w:szCs w:val="20"/>
          <w:shd w:val="clear" w:color="auto" w:fill="FFFFFF"/>
        </w:rPr>
        <w:t xml:space="preserve"> be published in July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84" w:rsidRDefault="005B40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84" w:rsidRDefault="005B40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84" w:rsidRDefault="005B408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66AA2"/>
    <w:multiLevelType w:val="hybridMultilevel"/>
    <w:tmpl w:val="EE2A8960"/>
    <w:lvl w:ilvl="0" w:tplc="9F5E5F02">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CD54A8"/>
    <w:multiLevelType w:val="hybridMultilevel"/>
    <w:tmpl w:val="0B18F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1E58"/>
    <w:rsid w:val="00007FFE"/>
    <w:rsid w:val="0001385E"/>
    <w:rsid w:val="0001413F"/>
    <w:rsid w:val="00022DA8"/>
    <w:rsid w:val="00033569"/>
    <w:rsid w:val="00051247"/>
    <w:rsid w:val="000526A0"/>
    <w:rsid w:val="0005726E"/>
    <w:rsid w:val="00063503"/>
    <w:rsid w:val="00065D9C"/>
    <w:rsid w:val="00075476"/>
    <w:rsid w:val="00080C33"/>
    <w:rsid w:val="00082EF1"/>
    <w:rsid w:val="00092B39"/>
    <w:rsid w:val="00094A4D"/>
    <w:rsid w:val="000A520E"/>
    <w:rsid w:val="000A6A71"/>
    <w:rsid w:val="000C1FE5"/>
    <w:rsid w:val="000C710C"/>
    <w:rsid w:val="000D0751"/>
    <w:rsid w:val="000D4E65"/>
    <w:rsid w:val="000E409D"/>
    <w:rsid w:val="000F48F6"/>
    <w:rsid w:val="000F4BF2"/>
    <w:rsid w:val="001001A2"/>
    <w:rsid w:val="00101B55"/>
    <w:rsid w:val="0012649D"/>
    <w:rsid w:val="00130245"/>
    <w:rsid w:val="00134A18"/>
    <w:rsid w:val="001428C4"/>
    <w:rsid w:val="00143F3A"/>
    <w:rsid w:val="00151D84"/>
    <w:rsid w:val="00160B25"/>
    <w:rsid w:val="00162F5E"/>
    <w:rsid w:val="00165CB6"/>
    <w:rsid w:val="0017431B"/>
    <w:rsid w:val="00175CDA"/>
    <w:rsid w:val="001815E1"/>
    <w:rsid w:val="00182CF0"/>
    <w:rsid w:val="001963C6"/>
    <w:rsid w:val="001A4816"/>
    <w:rsid w:val="001B4E73"/>
    <w:rsid w:val="001C06B4"/>
    <w:rsid w:val="001C1BC1"/>
    <w:rsid w:val="001C388F"/>
    <w:rsid w:val="001C71E8"/>
    <w:rsid w:val="001D381C"/>
    <w:rsid w:val="001D7EB1"/>
    <w:rsid w:val="001F57DE"/>
    <w:rsid w:val="001F64DA"/>
    <w:rsid w:val="00200BC8"/>
    <w:rsid w:val="00201079"/>
    <w:rsid w:val="00202E77"/>
    <w:rsid w:val="002117DC"/>
    <w:rsid w:val="0021327F"/>
    <w:rsid w:val="002212D1"/>
    <w:rsid w:val="002235F5"/>
    <w:rsid w:val="002271A2"/>
    <w:rsid w:val="00237CE5"/>
    <w:rsid w:val="0024702C"/>
    <w:rsid w:val="00247387"/>
    <w:rsid w:val="00250A46"/>
    <w:rsid w:val="00252C62"/>
    <w:rsid w:val="00257E4D"/>
    <w:rsid w:val="00265DA5"/>
    <w:rsid w:val="00273AE1"/>
    <w:rsid w:val="00281C70"/>
    <w:rsid w:val="00283FB7"/>
    <w:rsid w:val="002907BF"/>
    <w:rsid w:val="0029640A"/>
    <w:rsid w:val="00297100"/>
    <w:rsid w:val="002A0D2A"/>
    <w:rsid w:val="002B48CC"/>
    <w:rsid w:val="002B76C6"/>
    <w:rsid w:val="002C6A25"/>
    <w:rsid w:val="002F4149"/>
    <w:rsid w:val="002F7EEF"/>
    <w:rsid w:val="0030279B"/>
    <w:rsid w:val="003129D6"/>
    <w:rsid w:val="003136EE"/>
    <w:rsid w:val="00316FF4"/>
    <w:rsid w:val="00321832"/>
    <w:rsid w:val="00322C28"/>
    <w:rsid w:val="003276ED"/>
    <w:rsid w:val="003365E0"/>
    <w:rsid w:val="00344E60"/>
    <w:rsid w:val="0034783D"/>
    <w:rsid w:val="00355185"/>
    <w:rsid w:val="00360B5C"/>
    <w:rsid w:val="00364AF8"/>
    <w:rsid w:val="00364C08"/>
    <w:rsid w:val="00371527"/>
    <w:rsid w:val="003727EE"/>
    <w:rsid w:val="0037410D"/>
    <w:rsid w:val="003772AF"/>
    <w:rsid w:val="00385CB3"/>
    <w:rsid w:val="00387840"/>
    <w:rsid w:val="0039059D"/>
    <w:rsid w:val="00390CA5"/>
    <w:rsid w:val="00395D3F"/>
    <w:rsid w:val="003A1AC9"/>
    <w:rsid w:val="003A335C"/>
    <w:rsid w:val="003A3813"/>
    <w:rsid w:val="003A45CB"/>
    <w:rsid w:val="003B4DD7"/>
    <w:rsid w:val="003B715F"/>
    <w:rsid w:val="003B7DC3"/>
    <w:rsid w:val="003C7815"/>
    <w:rsid w:val="003D2A00"/>
    <w:rsid w:val="003D4E66"/>
    <w:rsid w:val="003D6F31"/>
    <w:rsid w:val="003D7860"/>
    <w:rsid w:val="003D7BF1"/>
    <w:rsid w:val="003E3F4C"/>
    <w:rsid w:val="003F0E79"/>
    <w:rsid w:val="003F745D"/>
    <w:rsid w:val="00401395"/>
    <w:rsid w:val="004033B8"/>
    <w:rsid w:val="00403D99"/>
    <w:rsid w:val="00411BA4"/>
    <w:rsid w:val="00412846"/>
    <w:rsid w:val="00413339"/>
    <w:rsid w:val="004147FC"/>
    <w:rsid w:val="00416DE2"/>
    <w:rsid w:val="0042309E"/>
    <w:rsid w:val="00430365"/>
    <w:rsid w:val="004309C6"/>
    <w:rsid w:val="004374D6"/>
    <w:rsid w:val="00443044"/>
    <w:rsid w:val="00445B15"/>
    <w:rsid w:val="00447E5A"/>
    <w:rsid w:val="0046455D"/>
    <w:rsid w:val="0046672E"/>
    <w:rsid w:val="00474107"/>
    <w:rsid w:val="00482E08"/>
    <w:rsid w:val="0048396C"/>
    <w:rsid w:val="00483EE4"/>
    <w:rsid w:val="00492391"/>
    <w:rsid w:val="004A0D72"/>
    <w:rsid w:val="004A20A5"/>
    <w:rsid w:val="004A7766"/>
    <w:rsid w:val="004B06DA"/>
    <w:rsid w:val="004B27C7"/>
    <w:rsid w:val="004D02F4"/>
    <w:rsid w:val="004D32A7"/>
    <w:rsid w:val="004D5D6F"/>
    <w:rsid w:val="004D69CC"/>
    <w:rsid w:val="004E25DD"/>
    <w:rsid w:val="004E4AEC"/>
    <w:rsid w:val="004F4341"/>
    <w:rsid w:val="0050183E"/>
    <w:rsid w:val="00513B3C"/>
    <w:rsid w:val="005165DB"/>
    <w:rsid w:val="005221FC"/>
    <w:rsid w:val="005406F8"/>
    <w:rsid w:val="00540B03"/>
    <w:rsid w:val="005462D0"/>
    <w:rsid w:val="0055455A"/>
    <w:rsid w:val="00555C8A"/>
    <w:rsid w:val="005576E1"/>
    <w:rsid w:val="00566FAC"/>
    <w:rsid w:val="00567733"/>
    <w:rsid w:val="005713A8"/>
    <w:rsid w:val="00581A76"/>
    <w:rsid w:val="00583DAD"/>
    <w:rsid w:val="00590B37"/>
    <w:rsid w:val="00591BD8"/>
    <w:rsid w:val="0059277F"/>
    <w:rsid w:val="00592A99"/>
    <w:rsid w:val="00596FB4"/>
    <w:rsid w:val="00597EED"/>
    <w:rsid w:val="005A2991"/>
    <w:rsid w:val="005B4084"/>
    <w:rsid w:val="005D0AF8"/>
    <w:rsid w:val="005D49DA"/>
    <w:rsid w:val="005E574E"/>
    <w:rsid w:val="005F3A83"/>
    <w:rsid w:val="005F3E47"/>
    <w:rsid w:val="0060215A"/>
    <w:rsid w:val="0060375D"/>
    <w:rsid w:val="00610306"/>
    <w:rsid w:val="0061692C"/>
    <w:rsid w:val="006216F9"/>
    <w:rsid w:val="00621BB5"/>
    <w:rsid w:val="0062658F"/>
    <w:rsid w:val="006269DA"/>
    <w:rsid w:val="00640EEA"/>
    <w:rsid w:val="0064482B"/>
    <w:rsid w:val="00652D53"/>
    <w:rsid w:val="006547F4"/>
    <w:rsid w:val="00662FB1"/>
    <w:rsid w:val="00664BB9"/>
    <w:rsid w:val="006729EE"/>
    <w:rsid w:val="00673FB5"/>
    <w:rsid w:val="0067516F"/>
    <w:rsid w:val="006832D0"/>
    <w:rsid w:val="006A36CC"/>
    <w:rsid w:val="006A3B56"/>
    <w:rsid w:val="006A3C10"/>
    <w:rsid w:val="006A66C5"/>
    <w:rsid w:val="006B029C"/>
    <w:rsid w:val="006B4683"/>
    <w:rsid w:val="006B5BA9"/>
    <w:rsid w:val="006B679C"/>
    <w:rsid w:val="006C714C"/>
    <w:rsid w:val="006C7972"/>
    <w:rsid w:val="006D2208"/>
    <w:rsid w:val="006D3582"/>
    <w:rsid w:val="006D6E7E"/>
    <w:rsid w:val="006D7651"/>
    <w:rsid w:val="006E1B6A"/>
    <w:rsid w:val="006F1B6B"/>
    <w:rsid w:val="006F6F97"/>
    <w:rsid w:val="0070010B"/>
    <w:rsid w:val="0070029F"/>
    <w:rsid w:val="00701734"/>
    <w:rsid w:val="00707747"/>
    <w:rsid w:val="00721560"/>
    <w:rsid w:val="00725FCB"/>
    <w:rsid w:val="00726036"/>
    <w:rsid w:val="007403CA"/>
    <w:rsid w:val="0074341E"/>
    <w:rsid w:val="007473D6"/>
    <w:rsid w:val="00750A83"/>
    <w:rsid w:val="00751F08"/>
    <w:rsid w:val="00760371"/>
    <w:rsid w:val="007666A8"/>
    <w:rsid w:val="00767F0C"/>
    <w:rsid w:val="007702E1"/>
    <w:rsid w:val="00776535"/>
    <w:rsid w:val="00776C99"/>
    <w:rsid w:val="007806C5"/>
    <w:rsid w:val="00781475"/>
    <w:rsid w:val="00786563"/>
    <w:rsid w:val="00787142"/>
    <w:rsid w:val="00790BD3"/>
    <w:rsid w:val="007926C7"/>
    <w:rsid w:val="00793399"/>
    <w:rsid w:val="007A2030"/>
    <w:rsid w:val="007A589B"/>
    <w:rsid w:val="007A64CC"/>
    <w:rsid w:val="007B2769"/>
    <w:rsid w:val="007C0B52"/>
    <w:rsid w:val="007C6400"/>
    <w:rsid w:val="007D57EE"/>
    <w:rsid w:val="007E0C1F"/>
    <w:rsid w:val="007E1CB3"/>
    <w:rsid w:val="007E6F5F"/>
    <w:rsid w:val="007F2219"/>
    <w:rsid w:val="007F2535"/>
    <w:rsid w:val="007F7993"/>
    <w:rsid w:val="0081026B"/>
    <w:rsid w:val="008217E9"/>
    <w:rsid w:val="0082451A"/>
    <w:rsid w:val="00830099"/>
    <w:rsid w:val="008403F1"/>
    <w:rsid w:val="008412E9"/>
    <w:rsid w:val="00842057"/>
    <w:rsid w:val="00842BAF"/>
    <w:rsid w:val="0085248D"/>
    <w:rsid w:val="008547F2"/>
    <w:rsid w:val="00857E51"/>
    <w:rsid w:val="0086005B"/>
    <w:rsid w:val="00864C55"/>
    <w:rsid w:val="0086637C"/>
    <w:rsid w:val="00884167"/>
    <w:rsid w:val="008914B1"/>
    <w:rsid w:val="00892A46"/>
    <w:rsid w:val="008A6A5C"/>
    <w:rsid w:val="008A7212"/>
    <w:rsid w:val="008B2431"/>
    <w:rsid w:val="008B257A"/>
    <w:rsid w:val="008C082F"/>
    <w:rsid w:val="008C366C"/>
    <w:rsid w:val="008D390B"/>
    <w:rsid w:val="008D3EFC"/>
    <w:rsid w:val="008D6FB6"/>
    <w:rsid w:val="008E38F1"/>
    <w:rsid w:val="008E4D8E"/>
    <w:rsid w:val="008F17A3"/>
    <w:rsid w:val="008F1FCF"/>
    <w:rsid w:val="00900453"/>
    <w:rsid w:val="00904100"/>
    <w:rsid w:val="0090456B"/>
    <w:rsid w:val="0090462E"/>
    <w:rsid w:val="00905463"/>
    <w:rsid w:val="0091307F"/>
    <w:rsid w:val="00933EF4"/>
    <w:rsid w:val="0093574D"/>
    <w:rsid w:val="00961BD6"/>
    <w:rsid w:val="0097278E"/>
    <w:rsid w:val="009744A0"/>
    <w:rsid w:val="00976781"/>
    <w:rsid w:val="00986270"/>
    <w:rsid w:val="00993199"/>
    <w:rsid w:val="009A2631"/>
    <w:rsid w:val="009B166B"/>
    <w:rsid w:val="009B66C8"/>
    <w:rsid w:val="009C209C"/>
    <w:rsid w:val="009C21B3"/>
    <w:rsid w:val="009C2C42"/>
    <w:rsid w:val="009C5F49"/>
    <w:rsid w:val="009E3D4E"/>
    <w:rsid w:val="009E6A28"/>
    <w:rsid w:val="009F010F"/>
    <w:rsid w:val="009F3FB7"/>
    <w:rsid w:val="009F54E6"/>
    <w:rsid w:val="00A10F53"/>
    <w:rsid w:val="00A117D2"/>
    <w:rsid w:val="00A17420"/>
    <w:rsid w:val="00A239A7"/>
    <w:rsid w:val="00A3549C"/>
    <w:rsid w:val="00A374AC"/>
    <w:rsid w:val="00A37869"/>
    <w:rsid w:val="00A44A88"/>
    <w:rsid w:val="00A72122"/>
    <w:rsid w:val="00A74752"/>
    <w:rsid w:val="00A749E1"/>
    <w:rsid w:val="00A81B6C"/>
    <w:rsid w:val="00A84596"/>
    <w:rsid w:val="00A94775"/>
    <w:rsid w:val="00A962CF"/>
    <w:rsid w:val="00AB6271"/>
    <w:rsid w:val="00AB75B4"/>
    <w:rsid w:val="00AC74EC"/>
    <w:rsid w:val="00AD470E"/>
    <w:rsid w:val="00AD7CC8"/>
    <w:rsid w:val="00AE4DA5"/>
    <w:rsid w:val="00AE6E25"/>
    <w:rsid w:val="00AF6B3A"/>
    <w:rsid w:val="00B054AD"/>
    <w:rsid w:val="00B108AE"/>
    <w:rsid w:val="00B13C9D"/>
    <w:rsid w:val="00B2260E"/>
    <w:rsid w:val="00B2426C"/>
    <w:rsid w:val="00B27FDE"/>
    <w:rsid w:val="00B347D3"/>
    <w:rsid w:val="00B40E49"/>
    <w:rsid w:val="00B533D5"/>
    <w:rsid w:val="00B54F09"/>
    <w:rsid w:val="00B71972"/>
    <w:rsid w:val="00B75752"/>
    <w:rsid w:val="00B82A81"/>
    <w:rsid w:val="00B82ADB"/>
    <w:rsid w:val="00B84789"/>
    <w:rsid w:val="00B84B0A"/>
    <w:rsid w:val="00B85769"/>
    <w:rsid w:val="00B87F00"/>
    <w:rsid w:val="00B9176B"/>
    <w:rsid w:val="00B96022"/>
    <w:rsid w:val="00BA009A"/>
    <w:rsid w:val="00BB0F68"/>
    <w:rsid w:val="00BC113A"/>
    <w:rsid w:val="00BC71FF"/>
    <w:rsid w:val="00BD0FFD"/>
    <w:rsid w:val="00BE27B4"/>
    <w:rsid w:val="00BE4CAF"/>
    <w:rsid w:val="00BE52BF"/>
    <w:rsid w:val="00BF0C40"/>
    <w:rsid w:val="00C00BB8"/>
    <w:rsid w:val="00C02233"/>
    <w:rsid w:val="00C05BED"/>
    <w:rsid w:val="00C06B06"/>
    <w:rsid w:val="00C106C2"/>
    <w:rsid w:val="00C15121"/>
    <w:rsid w:val="00C171FF"/>
    <w:rsid w:val="00C21009"/>
    <w:rsid w:val="00C21363"/>
    <w:rsid w:val="00C2294B"/>
    <w:rsid w:val="00C30563"/>
    <w:rsid w:val="00C32009"/>
    <w:rsid w:val="00C37129"/>
    <w:rsid w:val="00C415B6"/>
    <w:rsid w:val="00C47A56"/>
    <w:rsid w:val="00C52224"/>
    <w:rsid w:val="00C524AB"/>
    <w:rsid w:val="00C52FC2"/>
    <w:rsid w:val="00C572F8"/>
    <w:rsid w:val="00C5755A"/>
    <w:rsid w:val="00C60FC9"/>
    <w:rsid w:val="00C67CE0"/>
    <w:rsid w:val="00C733DD"/>
    <w:rsid w:val="00C74F11"/>
    <w:rsid w:val="00C7643D"/>
    <w:rsid w:val="00C76ABB"/>
    <w:rsid w:val="00C76E10"/>
    <w:rsid w:val="00C92A0E"/>
    <w:rsid w:val="00CB5D78"/>
    <w:rsid w:val="00CC1960"/>
    <w:rsid w:val="00CC1A76"/>
    <w:rsid w:val="00CC2E3C"/>
    <w:rsid w:val="00CC58F8"/>
    <w:rsid w:val="00CD0A35"/>
    <w:rsid w:val="00CD0D68"/>
    <w:rsid w:val="00CD3270"/>
    <w:rsid w:val="00CD5F91"/>
    <w:rsid w:val="00CD6927"/>
    <w:rsid w:val="00CD72A1"/>
    <w:rsid w:val="00CE0B40"/>
    <w:rsid w:val="00CE1C9F"/>
    <w:rsid w:val="00CE58B4"/>
    <w:rsid w:val="00D040A2"/>
    <w:rsid w:val="00D07275"/>
    <w:rsid w:val="00D114C9"/>
    <w:rsid w:val="00D124B8"/>
    <w:rsid w:val="00D13C47"/>
    <w:rsid w:val="00D21685"/>
    <w:rsid w:val="00D2697B"/>
    <w:rsid w:val="00D318A3"/>
    <w:rsid w:val="00D326DC"/>
    <w:rsid w:val="00D353EC"/>
    <w:rsid w:val="00D354E8"/>
    <w:rsid w:val="00D36ABC"/>
    <w:rsid w:val="00D44122"/>
    <w:rsid w:val="00D554DA"/>
    <w:rsid w:val="00D60BFC"/>
    <w:rsid w:val="00D60FF3"/>
    <w:rsid w:val="00D655F5"/>
    <w:rsid w:val="00D67C46"/>
    <w:rsid w:val="00D70591"/>
    <w:rsid w:val="00D75CFB"/>
    <w:rsid w:val="00D77847"/>
    <w:rsid w:val="00D8178A"/>
    <w:rsid w:val="00D907A2"/>
    <w:rsid w:val="00D97E4A"/>
    <w:rsid w:val="00DA6116"/>
    <w:rsid w:val="00DB254A"/>
    <w:rsid w:val="00DB541F"/>
    <w:rsid w:val="00DB7FDE"/>
    <w:rsid w:val="00DC1F64"/>
    <w:rsid w:val="00DD195D"/>
    <w:rsid w:val="00DD4976"/>
    <w:rsid w:val="00DE01A0"/>
    <w:rsid w:val="00DE0699"/>
    <w:rsid w:val="00DF46D5"/>
    <w:rsid w:val="00DF4CC2"/>
    <w:rsid w:val="00DF6966"/>
    <w:rsid w:val="00E04222"/>
    <w:rsid w:val="00E0503C"/>
    <w:rsid w:val="00E064B0"/>
    <w:rsid w:val="00E1281F"/>
    <w:rsid w:val="00E13A65"/>
    <w:rsid w:val="00E16FFB"/>
    <w:rsid w:val="00E20342"/>
    <w:rsid w:val="00E2493A"/>
    <w:rsid w:val="00E338F6"/>
    <w:rsid w:val="00E34208"/>
    <w:rsid w:val="00E369B9"/>
    <w:rsid w:val="00E4365F"/>
    <w:rsid w:val="00E47725"/>
    <w:rsid w:val="00E50F50"/>
    <w:rsid w:val="00E51E99"/>
    <w:rsid w:val="00E530E4"/>
    <w:rsid w:val="00E64B36"/>
    <w:rsid w:val="00E660F1"/>
    <w:rsid w:val="00E7204F"/>
    <w:rsid w:val="00E74DBF"/>
    <w:rsid w:val="00E8008F"/>
    <w:rsid w:val="00E8009B"/>
    <w:rsid w:val="00E8413B"/>
    <w:rsid w:val="00E85DB1"/>
    <w:rsid w:val="00EB0782"/>
    <w:rsid w:val="00EB0DEC"/>
    <w:rsid w:val="00EB44F5"/>
    <w:rsid w:val="00EB669A"/>
    <w:rsid w:val="00EC126C"/>
    <w:rsid w:val="00EC13FB"/>
    <w:rsid w:val="00EC48D4"/>
    <w:rsid w:val="00ED5226"/>
    <w:rsid w:val="00EE2AA0"/>
    <w:rsid w:val="00EE3596"/>
    <w:rsid w:val="00EF1554"/>
    <w:rsid w:val="00EF1AC2"/>
    <w:rsid w:val="00F033FC"/>
    <w:rsid w:val="00F15E93"/>
    <w:rsid w:val="00F16414"/>
    <w:rsid w:val="00F22B14"/>
    <w:rsid w:val="00F24107"/>
    <w:rsid w:val="00F25219"/>
    <w:rsid w:val="00F377BD"/>
    <w:rsid w:val="00F45181"/>
    <w:rsid w:val="00F45972"/>
    <w:rsid w:val="00F53236"/>
    <w:rsid w:val="00F56917"/>
    <w:rsid w:val="00F576F6"/>
    <w:rsid w:val="00F676EC"/>
    <w:rsid w:val="00F7472C"/>
    <w:rsid w:val="00F806F6"/>
    <w:rsid w:val="00F82854"/>
    <w:rsid w:val="00FA13BA"/>
    <w:rsid w:val="00FA4548"/>
    <w:rsid w:val="00FB2008"/>
    <w:rsid w:val="00FB6A57"/>
    <w:rsid w:val="00FC159C"/>
    <w:rsid w:val="00FC2068"/>
    <w:rsid w:val="00FC2A67"/>
    <w:rsid w:val="00FD2439"/>
    <w:rsid w:val="00FE4624"/>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6B8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PS">
    <w:name w:val="PS"/>
    <w:basedOn w:val="a"/>
    <w:rsid w:val="00A3549C"/>
    <w:pPr>
      <w:bidi w:val="0"/>
      <w:ind w:firstLine="432"/>
    </w:pPr>
    <w:rPr>
      <w:szCs w:val="20"/>
      <w:lang w:bidi="ar-SA"/>
    </w:rPr>
  </w:style>
  <w:style w:type="character" w:styleId="ae">
    <w:name w:val="annotation reference"/>
    <w:basedOn w:val="a0"/>
    <w:semiHidden/>
    <w:unhideWhenUsed/>
    <w:rsid w:val="009F54E6"/>
    <w:rPr>
      <w:sz w:val="16"/>
      <w:szCs w:val="16"/>
    </w:rPr>
  </w:style>
  <w:style w:type="paragraph" w:styleId="af">
    <w:name w:val="annotation text"/>
    <w:basedOn w:val="a"/>
    <w:link w:val="af0"/>
    <w:semiHidden/>
    <w:unhideWhenUsed/>
    <w:rsid w:val="009F54E6"/>
    <w:rPr>
      <w:sz w:val="20"/>
      <w:szCs w:val="20"/>
    </w:rPr>
  </w:style>
  <w:style w:type="character" w:customStyle="1" w:styleId="af0">
    <w:name w:val="טקסט הערה תו"/>
    <w:basedOn w:val="a0"/>
    <w:link w:val="af"/>
    <w:semiHidden/>
    <w:rsid w:val="009F54E6"/>
  </w:style>
  <w:style w:type="paragraph" w:styleId="af1">
    <w:name w:val="annotation subject"/>
    <w:basedOn w:val="af"/>
    <w:next w:val="af"/>
    <w:link w:val="af2"/>
    <w:semiHidden/>
    <w:unhideWhenUsed/>
    <w:rsid w:val="009F54E6"/>
    <w:rPr>
      <w:b/>
      <w:bCs/>
    </w:rPr>
  </w:style>
  <w:style w:type="character" w:customStyle="1" w:styleId="af2">
    <w:name w:val="נושא הערה תו"/>
    <w:basedOn w:val="af0"/>
    <w:link w:val="af1"/>
    <w:semiHidden/>
    <w:rsid w:val="009F54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oi.org.il/en/communication-and-publications/regular-publications/overview-of-the-payment-and-settlement-systems-red-book/k19-11-2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boi.org.il/en/communication-and-publications/regular-publications/overview-of-the-payment-and-settlement-systems-red-book/i19-11-2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i.org.il/en/communication-and-publications/regular-publications/overview-of-the-payment-and-settlement-systems-red-book/g19-11-23/" TargetMode="External"/><Relationship Id="rId5" Type="http://schemas.openxmlformats.org/officeDocument/2006/relationships/webSettings" Target="webSettings.xml"/><Relationship Id="rId15" Type="http://schemas.openxmlformats.org/officeDocument/2006/relationships/hyperlink" Target="https://www.boi.org.il/en/communication-and-publications/regular-publications/overview-of-the-payment-and-settlement-systems-red-book/n19-11-23/" TargetMode="External"/><Relationship Id="rId23" Type="http://schemas.openxmlformats.org/officeDocument/2006/relationships/theme" Target="theme/theme1.xml"/><Relationship Id="rId10" Type="http://schemas.openxmlformats.org/officeDocument/2006/relationships/hyperlink" Target="https://www.boi.org.il/en/communication-and-publications/regular-publications/overview-of-the-payment-and-settlement-systems-red-book/e19-11-2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oi.org.il/en/communication-and-publications/regular-publications/overview-of-the-payment-and-settlement-systems-red-book/c19-11-23/" TargetMode="External"/><Relationship Id="rId14" Type="http://schemas.openxmlformats.org/officeDocument/2006/relationships/hyperlink" Target="https://www.boi.org.il/en/communication-and-publications/regular-publications/overview-of-the-payment-and-settlement-systems-red-book/m19-11-23/" TargetMode="External"/><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8762A-EDD1-41CA-8AB2-C522A0A30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1744</Words>
  <Characters>11348</Characters>
  <Application>Microsoft Office Word</Application>
  <DocSecurity>0</DocSecurity>
  <Lines>94</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13066</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2023-11-19T07:07:00Z</dcterms:created>
  <dcterms:modified xsi:type="dcterms:W3CDTF">2023-11-21T12:07:00Z</dcterms:modified>
</cp:coreProperties>
</file>