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901"/>
        <w:bidiVisual/>
        <w:tblW w:w="9530" w:type="dxa"/>
        <w:tblLayout w:type="fixed"/>
        <w:tblLook w:val="0000" w:firstRow="0" w:lastRow="0" w:firstColumn="0" w:lastColumn="0" w:noHBand="0" w:noVBand="0"/>
      </w:tblPr>
      <w:tblGrid>
        <w:gridCol w:w="3343"/>
        <w:gridCol w:w="2596"/>
        <w:gridCol w:w="3591"/>
      </w:tblGrid>
      <w:tr w:rsidR="00031A9D" w:rsidRPr="00894D8A" w:rsidTr="00031A9D">
        <w:tc>
          <w:tcPr>
            <w:tcW w:w="3343" w:type="dxa"/>
            <w:tcBorders>
              <w:top w:val="nil"/>
              <w:left w:val="nil"/>
              <w:bottom w:val="nil"/>
              <w:right w:val="nil"/>
            </w:tcBorders>
            <w:vAlign w:val="center"/>
          </w:tcPr>
          <w:p w:rsidR="00031A9D" w:rsidRPr="00894D8A" w:rsidRDefault="00031A9D" w:rsidP="00F2528F">
            <w:pPr>
              <w:bidi/>
              <w:spacing w:line="360" w:lineRule="auto"/>
              <w:jc w:val="center"/>
              <w:rPr>
                <w:rFonts w:asciiTheme="minorHAnsi" w:hAnsiTheme="minorHAnsi" w:cstheme="minorHAnsi"/>
                <w:b/>
                <w:bCs/>
                <w:rtl/>
              </w:rPr>
            </w:pPr>
            <w:r w:rsidRPr="00894D8A">
              <w:rPr>
                <w:rFonts w:asciiTheme="minorHAnsi" w:hAnsiTheme="minorHAnsi" w:cstheme="minorHAnsi"/>
                <w:b/>
                <w:bCs/>
                <w:rtl/>
              </w:rPr>
              <w:t>בנק ישראל</w:t>
            </w:r>
          </w:p>
          <w:p w:rsidR="00031A9D" w:rsidRPr="00894D8A" w:rsidRDefault="00031A9D" w:rsidP="00F2528F">
            <w:pPr>
              <w:bidi/>
              <w:spacing w:line="360" w:lineRule="auto"/>
              <w:jc w:val="center"/>
              <w:rPr>
                <w:rFonts w:asciiTheme="minorHAnsi" w:hAnsiTheme="minorHAnsi" w:cstheme="minorHAnsi"/>
                <w:b/>
                <w:bCs/>
              </w:rPr>
            </w:pPr>
            <w:r w:rsidRPr="00894D8A">
              <w:rPr>
                <w:rFonts w:asciiTheme="minorHAnsi" w:hAnsiTheme="minorHAnsi" w:cstheme="minorHAnsi"/>
                <w:rtl/>
              </w:rPr>
              <w:t>דוברות והסברה כלכלית</w:t>
            </w:r>
          </w:p>
        </w:tc>
        <w:tc>
          <w:tcPr>
            <w:tcW w:w="2596" w:type="dxa"/>
            <w:tcBorders>
              <w:top w:val="nil"/>
              <w:left w:val="nil"/>
              <w:bottom w:val="nil"/>
              <w:right w:val="nil"/>
            </w:tcBorders>
            <w:shd w:val="clear" w:color="auto" w:fill="FFFFFF"/>
          </w:tcPr>
          <w:p w:rsidR="00031A9D" w:rsidRPr="00894D8A" w:rsidRDefault="00CC57F4" w:rsidP="00F2528F">
            <w:pPr>
              <w:bidi/>
              <w:spacing w:line="360" w:lineRule="auto"/>
              <w:jc w:val="center"/>
              <w:rPr>
                <w:rFonts w:asciiTheme="minorHAnsi" w:hAnsiTheme="minorHAnsi" w:cstheme="minorHAnsi"/>
              </w:rPr>
            </w:pPr>
            <w:r w:rsidRPr="00894D8A">
              <w:rPr>
                <w:rFonts w:asciiTheme="minorHAnsi" w:hAnsiTheme="minorHAnsi" w:cstheme="minorHAnsi"/>
                <w:noProof/>
              </w:rPr>
              <w:drawing>
                <wp:inline distT="0" distB="0" distL="0" distR="0" wp14:anchorId="5F08C3AE">
                  <wp:extent cx="914400" cy="9144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p>
        </w:tc>
        <w:tc>
          <w:tcPr>
            <w:tcW w:w="3591" w:type="dxa"/>
            <w:tcBorders>
              <w:top w:val="nil"/>
              <w:left w:val="nil"/>
              <w:bottom w:val="nil"/>
              <w:right w:val="nil"/>
            </w:tcBorders>
            <w:vAlign w:val="center"/>
          </w:tcPr>
          <w:p w:rsidR="00031A9D" w:rsidRPr="00894D8A" w:rsidRDefault="00031A9D" w:rsidP="00F2528F">
            <w:pPr>
              <w:bidi/>
              <w:spacing w:line="360" w:lineRule="auto"/>
              <w:jc w:val="center"/>
              <w:rPr>
                <w:rFonts w:asciiTheme="minorHAnsi" w:hAnsiTheme="minorHAnsi" w:cstheme="minorHAnsi"/>
                <w:rtl/>
              </w:rPr>
            </w:pPr>
            <w:r w:rsidRPr="00894D8A">
              <w:rPr>
                <w:rFonts w:asciiTheme="minorHAnsi" w:hAnsiTheme="minorHAnsi" w:cstheme="minorHAnsi"/>
                <w:highlight w:val="green"/>
                <w:rtl/>
              </w:rPr>
              <w:t>‏</w:t>
            </w:r>
            <w:r w:rsidRPr="00894D8A">
              <w:rPr>
                <w:rFonts w:asciiTheme="minorHAnsi" w:hAnsiTheme="minorHAnsi" w:cstheme="minorHAnsi"/>
                <w:rtl/>
              </w:rPr>
              <w:t xml:space="preserve">ירושלים, </w:t>
            </w:r>
            <w:r w:rsidRPr="00894D8A">
              <w:rPr>
                <w:rFonts w:asciiTheme="minorHAnsi" w:hAnsiTheme="minorHAnsi" w:cstheme="minorHAnsi"/>
                <w:rtl/>
              </w:rPr>
              <w:fldChar w:fldCharType="begin"/>
            </w:r>
            <w:r w:rsidRPr="00894D8A">
              <w:rPr>
                <w:rFonts w:asciiTheme="minorHAnsi" w:hAnsiTheme="minorHAnsi" w:cstheme="minorHAnsi"/>
                <w:rtl/>
              </w:rPr>
              <w:instrText xml:space="preserve"> </w:instrText>
            </w:r>
            <w:r w:rsidRPr="00894D8A">
              <w:rPr>
                <w:rFonts w:asciiTheme="minorHAnsi" w:hAnsiTheme="minorHAnsi" w:cstheme="minorHAnsi"/>
              </w:rPr>
              <w:instrText>DATE</w:instrText>
            </w:r>
            <w:r w:rsidRPr="00894D8A">
              <w:rPr>
                <w:rFonts w:asciiTheme="minorHAnsi" w:hAnsiTheme="minorHAnsi" w:cstheme="minorHAnsi"/>
                <w:rtl/>
              </w:rPr>
              <w:instrText xml:space="preserve"> \@ "</w:instrText>
            </w:r>
            <w:r w:rsidRPr="00894D8A">
              <w:rPr>
                <w:rFonts w:asciiTheme="minorHAnsi" w:hAnsiTheme="minorHAnsi" w:cstheme="minorHAnsi"/>
              </w:rPr>
              <w:instrText>d MMMM, yyyy" \h</w:instrText>
            </w:r>
            <w:r w:rsidRPr="00894D8A">
              <w:rPr>
                <w:rFonts w:asciiTheme="minorHAnsi" w:hAnsiTheme="minorHAnsi" w:cstheme="minorHAnsi"/>
                <w:rtl/>
              </w:rPr>
              <w:instrText xml:space="preserve"> </w:instrText>
            </w:r>
            <w:r w:rsidRPr="00894D8A">
              <w:rPr>
                <w:rFonts w:asciiTheme="minorHAnsi" w:hAnsiTheme="minorHAnsi" w:cstheme="minorHAnsi"/>
                <w:rtl/>
              </w:rPr>
              <w:fldChar w:fldCharType="separate"/>
            </w:r>
            <w:r w:rsidR="00894D8A" w:rsidRPr="00894D8A">
              <w:rPr>
                <w:rFonts w:asciiTheme="minorHAnsi" w:hAnsiTheme="minorHAnsi" w:cstheme="minorHAnsi"/>
                <w:noProof/>
                <w:rtl/>
              </w:rPr>
              <w:t>‏כ"ג חשון, תשפ"ז</w:t>
            </w:r>
            <w:r w:rsidRPr="00894D8A">
              <w:rPr>
                <w:rFonts w:asciiTheme="minorHAnsi" w:hAnsiTheme="minorHAnsi" w:cstheme="minorHAnsi"/>
                <w:rtl/>
              </w:rPr>
              <w:fldChar w:fldCharType="end"/>
            </w:r>
          </w:p>
          <w:p w:rsidR="00031A9D" w:rsidRPr="00894D8A" w:rsidRDefault="00031A9D" w:rsidP="00F2528F">
            <w:pPr>
              <w:bidi/>
              <w:spacing w:line="360" w:lineRule="auto"/>
              <w:jc w:val="center"/>
              <w:rPr>
                <w:rFonts w:asciiTheme="minorHAnsi" w:hAnsiTheme="minorHAnsi" w:cstheme="minorHAnsi"/>
                <w:highlight w:val="green"/>
              </w:rPr>
            </w:pPr>
            <w:r w:rsidRPr="00894D8A">
              <w:rPr>
                <w:rFonts w:asciiTheme="minorHAnsi" w:hAnsiTheme="minorHAnsi" w:cstheme="minorHAnsi"/>
                <w:rtl/>
              </w:rPr>
              <w:fldChar w:fldCharType="begin"/>
            </w:r>
            <w:r w:rsidRPr="00894D8A">
              <w:rPr>
                <w:rFonts w:asciiTheme="minorHAnsi" w:hAnsiTheme="minorHAnsi" w:cstheme="minorHAnsi"/>
                <w:rtl/>
              </w:rPr>
              <w:instrText xml:space="preserve"> </w:instrText>
            </w:r>
            <w:r w:rsidRPr="00894D8A">
              <w:rPr>
                <w:rFonts w:asciiTheme="minorHAnsi" w:hAnsiTheme="minorHAnsi" w:cstheme="minorHAnsi"/>
              </w:rPr>
              <w:instrText>DATE</w:instrText>
            </w:r>
            <w:r w:rsidRPr="00894D8A">
              <w:rPr>
                <w:rFonts w:asciiTheme="minorHAnsi" w:hAnsiTheme="minorHAnsi" w:cstheme="minorHAnsi"/>
                <w:rtl/>
              </w:rPr>
              <w:instrText xml:space="preserve"> \@ "</w:instrText>
            </w:r>
            <w:r w:rsidRPr="00894D8A">
              <w:rPr>
                <w:rFonts w:asciiTheme="minorHAnsi" w:hAnsiTheme="minorHAnsi" w:cstheme="minorHAnsi"/>
              </w:rPr>
              <w:instrText>d MMMM, yyyy</w:instrText>
            </w:r>
            <w:r w:rsidRPr="00894D8A">
              <w:rPr>
                <w:rFonts w:asciiTheme="minorHAnsi" w:hAnsiTheme="minorHAnsi" w:cstheme="minorHAnsi"/>
                <w:rtl/>
              </w:rPr>
              <w:instrText xml:space="preserve">" </w:instrText>
            </w:r>
            <w:r w:rsidRPr="00894D8A">
              <w:rPr>
                <w:rFonts w:asciiTheme="minorHAnsi" w:hAnsiTheme="minorHAnsi" w:cstheme="minorHAnsi"/>
                <w:rtl/>
              </w:rPr>
              <w:fldChar w:fldCharType="separate"/>
            </w:r>
            <w:r w:rsidR="00894D8A" w:rsidRPr="00894D8A">
              <w:rPr>
                <w:rFonts w:asciiTheme="minorHAnsi" w:hAnsiTheme="minorHAnsi" w:cstheme="minorHAnsi"/>
                <w:noProof/>
                <w:rtl/>
              </w:rPr>
              <w:t>‏3 נובמבר, 2026</w:t>
            </w:r>
            <w:r w:rsidRPr="00894D8A">
              <w:rPr>
                <w:rFonts w:asciiTheme="minorHAnsi" w:hAnsiTheme="minorHAnsi" w:cstheme="minorHAnsi"/>
                <w:rtl/>
              </w:rPr>
              <w:fldChar w:fldCharType="end"/>
            </w:r>
          </w:p>
        </w:tc>
      </w:tr>
    </w:tbl>
    <w:p w:rsidR="003E7478" w:rsidRPr="00894D8A" w:rsidRDefault="003E7478" w:rsidP="00DD6497">
      <w:pPr>
        <w:bidi/>
        <w:spacing w:line="360" w:lineRule="auto"/>
        <w:jc w:val="center"/>
        <w:rPr>
          <w:rFonts w:asciiTheme="minorHAnsi" w:hAnsiTheme="minorHAnsi" w:cstheme="minorHAnsi"/>
          <w:rtl/>
        </w:rPr>
      </w:pPr>
    </w:p>
    <w:p w:rsidR="000B589E" w:rsidRPr="00894D8A" w:rsidRDefault="000B589E" w:rsidP="000B589E">
      <w:pPr>
        <w:bidi/>
        <w:spacing w:line="360" w:lineRule="auto"/>
        <w:rPr>
          <w:rFonts w:asciiTheme="minorHAnsi" w:hAnsiTheme="minorHAnsi" w:cstheme="minorHAnsi"/>
          <w:rtl/>
        </w:rPr>
      </w:pPr>
      <w:r w:rsidRPr="00894D8A">
        <w:rPr>
          <w:rFonts w:asciiTheme="minorHAnsi" w:hAnsiTheme="minorHAnsi" w:cstheme="minorHAnsi"/>
          <w:rtl/>
        </w:rPr>
        <w:t xml:space="preserve">הודעה לעיתונות: </w:t>
      </w:r>
    </w:p>
    <w:p w:rsidR="00894D8A" w:rsidRPr="00894D8A" w:rsidRDefault="00894D8A" w:rsidP="00894D8A">
      <w:pPr>
        <w:jc w:val="center"/>
        <w:rPr>
          <w:rFonts w:asciiTheme="minorHAnsi" w:hAnsiTheme="minorHAnsi" w:cstheme="minorHAnsi"/>
          <w:b/>
          <w:bCs/>
          <w:sz w:val="28"/>
          <w:szCs w:val="28"/>
          <w:rtl/>
        </w:rPr>
      </w:pPr>
      <w:bookmarkStart w:id="0" w:name="_GoBack"/>
      <w:r w:rsidRPr="00894D8A">
        <w:rPr>
          <w:rFonts w:asciiTheme="minorHAnsi" w:hAnsiTheme="minorHAnsi" w:cstheme="minorHAnsi"/>
          <w:b/>
          <w:bCs/>
          <w:sz w:val="28"/>
          <w:szCs w:val="28"/>
          <w:rtl/>
        </w:rPr>
        <w:t>המסחר בשוק מטבע החוץ ברבעון השלישי של שנת 2026</w:t>
      </w:r>
    </w:p>
    <w:bookmarkEnd w:id="0"/>
    <w:p w:rsidR="00894D8A" w:rsidRPr="00894D8A" w:rsidRDefault="00894D8A" w:rsidP="00894D8A">
      <w:pPr>
        <w:pStyle w:val="1"/>
        <w:bidi/>
        <w:spacing w:line="360" w:lineRule="auto"/>
        <w:rPr>
          <w:rFonts w:asciiTheme="minorHAnsi" w:hAnsiTheme="minorHAnsi" w:cstheme="minorHAnsi"/>
          <w:color w:val="000000" w:themeColor="text1"/>
          <w:sz w:val="24"/>
          <w:szCs w:val="24"/>
          <w:rtl/>
        </w:rPr>
      </w:pPr>
      <w:r w:rsidRPr="00894D8A">
        <w:rPr>
          <w:rFonts w:asciiTheme="minorHAnsi" w:eastAsia="Times New Roman" w:hAnsiTheme="minorHAnsi" w:cstheme="minorHAnsi"/>
          <w:color w:val="1F497D" w:themeColor="text2"/>
          <w:sz w:val="24"/>
          <w:szCs w:val="24"/>
          <w:rtl/>
        </w:rPr>
        <w:t>התפתחות שער החליפין – היחלשות השקל מול הדולר, לצד מגמה מעורבת של הדולר בעולם</w:t>
      </w:r>
    </w:p>
    <w:p w:rsidR="00894D8A" w:rsidRPr="00894D8A" w:rsidRDefault="00894D8A" w:rsidP="00894D8A">
      <w:pPr>
        <w:pStyle w:val="NormalWeb"/>
        <w:bidi/>
        <w:spacing w:line="360" w:lineRule="auto"/>
        <w:rPr>
          <w:rFonts w:asciiTheme="minorHAnsi" w:hAnsiTheme="minorHAnsi" w:cstheme="minorHAnsi"/>
          <w:color w:val="000000" w:themeColor="text1"/>
          <w:rtl/>
          <w:lang w:eastAsia="he-IL"/>
        </w:rPr>
      </w:pPr>
      <w:r w:rsidRPr="00894D8A">
        <w:rPr>
          <w:rFonts w:asciiTheme="minorHAnsi" w:hAnsiTheme="minorHAnsi" w:cstheme="minorHAnsi"/>
          <w:color w:val="000000" w:themeColor="text1"/>
          <w:rtl/>
          <w:lang w:eastAsia="he-IL"/>
        </w:rPr>
        <w:t>במהלך הרבעון השלישי של שנת 2026, השקל נחלש מול הדולר בכ-2.9% ובכ-2.4% מול האירו. כמו כן, השקל נחלש ב-2.8% מול מטבעות שותפות הסחר העיקריות של ישראל, כפי שמשוקלל במדד שער החליפין הנומינאלי האפקטיבי.</w:t>
      </w:r>
    </w:p>
    <w:p w:rsidR="00894D8A" w:rsidRPr="00894D8A" w:rsidRDefault="00894D8A" w:rsidP="00894D8A">
      <w:pPr>
        <w:pStyle w:val="NormalWeb"/>
        <w:bidi/>
        <w:spacing w:line="360" w:lineRule="auto"/>
        <w:rPr>
          <w:rFonts w:asciiTheme="minorHAnsi" w:hAnsiTheme="minorHAnsi" w:cstheme="minorHAnsi"/>
          <w:color w:val="000000" w:themeColor="text1"/>
          <w:rtl/>
          <w:lang w:eastAsia="he-IL"/>
        </w:rPr>
      </w:pPr>
      <w:r w:rsidRPr="00894D8A">
        <w:rPr>
          <w:rFonts w:asciiTheme="minorHAnsi" w:hAnsiTheme="minorHAnsi" w:cstheme="minorHAnsi"/>
          <w:color w:val="000000" w:themeColor="text1"/>
          <w:rtl/>
          <w:lang w:eastAsia="he-IL"/>
        </w:rPr>
        <w:t>במהלך הרבעון נרשמה מגמה מעורבת בשערי הדולר מול המטבעות העיקריים בעולם (תרשים 2): הדולר נחלש בכ-12.4% מול הוון הדרום קוריאני ובכ-3.3% מול היין היפני. ומנגד התחזק הדולר בכ-3.3% מול הפרנק השוויצרי ובכ-0.5% מול האירו.</w:t>
      </w:r>
    </w:p>
    <w:p w:rsidR="00894D8A" w:rsidRPr="00894D8A" w:rsidRDefault="00894D8A" w:rsidP="00894D8A">
      <w:pPr>
        <w:pStyle w:val="NormalWeb"/>
        <w:bidi/>
        <w:spacing w:line="360" w:lineRule="auto"/>
        <w:rPr>
          <w:rFonts w:asciiTheme="minorHAnsi" w:hAnsiTheme="minorHAnsi" w:cstheme="minorHAnsi"/>
          <w:color w:val="000000" w:themeColor="text1"/>
          <w:rtl/>
          <w:lang w:eastAsia="he-IL"/>
        </w:rPr>
      </w:pPr>
      <w:r w:rsidRPr="00894D8A">
        <w:rPr>
          <w:rFonts w:asciiTheme="minorHAnsi" w:hAnsiTheme="minorHAnsi" w:cstheme="minorHAnsi"/>
          <w:color w:val="000000" w:themeColor="text1"/>
          <w:rtl/>
          <w:lang w:eastAsia="he-IL"/>
        </w:rPr>
        <w:tab/>
      </w:r>
      <w:r w:rsidRPr="00894D8A">
        <w:rPr>
          <w:rFonts w:asciiTheme="minorHAnsi" w:hAnsiTheme="minorHAnsi" w:cstheme="minorHAnsi"/>
          <w:noProof/>
          <w:color w:val="000000" w:themeColor="text1"/>
        </w:rPr>
        <w:drawing>
          <wp:inline distT="0" distB="0" distL="0" distR="0" wp14:anchorId="06632DF7" wp14:editId="25E70917">
            <wp:extent cx="5301572" cy="3406982"/>
            <wp:effectExtent l="0" t="0" r="0" b="317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2997" cy="3420751"/>
                    </a:xfrm>
                    <a:prstGeom prst="rect">
                      <a:avLst/>
                    </a:prstGeom>
                    <a:noFill/>
                  </pic:spPr>
                </pic:pic>
              </a:graphicData>
            </a:graphic>
          </wp:inline>
        </w:drawing>
      </w:r>
    </w:p>
    <w:p w:rsidR="00894D8A" w:rsidRPr="00894D8A" w:rsidRDefault="00894D8A" w:rsidP="00894D8A">
      <w:pPr>
        <w:bidi/>
        <w:spacing w:line="480" w:lineRule="auto"/>
        <w:ind w:right="-101"/>
        <w:jc w:val="both"/>
        <w:rPr>
          <w:rFonts w:asciiTheme="minorHAnsi" w:hAnsiTheme="minorHAnsi" w:cstheme="minorHAnsi"/>
          <w:noProof/>
          <w:color w:val="000000" w:themeColor="text1"/>
          <w:rtl/>
        </w:rPr>
      </w:pPr>
    </w:p>
    <w:p w:rsidR="00894D8A" w:rsidRPr="00894D8A" w:rsidRDefault="00894D8A" w:rsidP="00894D8A">
      <w:pPr>
        <w:bidi/>
        <w:spacing w:line="480" w:lineRule="auto"/>
        <w:ind w:right="-101"/>
        <w:rPr>
          <w:rFonts w:asciiTheme="minorHAnsi" w:hAnsiTheme="minorHAnsi" w:cstheme="minorHAnsi"/>
          <w:color w:val="000000" w:themeColor="text1"/>
          <w:rtl/>
        </w:rPr>
      </w:pPr>
    </w:p>
    <w:p w:rsidR="00894D8A" w:rsidRPr="00894D8A" w:rsidRDefault="00894D8A" w:rsidP="00894D8A">
      <w:pPr>
        <w:bidi/>
        <w:spacing w:line="360" w:lineRule="auto"/>
        <w:ind w:right="-101"/>
        <w:jc w:val="center"/>
        <w:rPr>
          <w:rFonts w:asciiTheme="minorHAnsi" w:hAnsiTheme="minorHAnsi" w:cstheme="minorHAnsi"/>
          <w:color w:val="1F497D" w:themeColor="text2"/>
          <w:rtl/>
        </w:rPr>
      </w:pPr>
      <w:r w:rsidRPr="00894D8A">
        <w:rPr>
          <w:rFonts w:asciiTheme="minorHAnsi" w:hAnsiTheme="minorHAnsi" w:cstheme="minorHAnsi"/>
          <w:noProof/>
          <w:color w:val="1F497D" w:themeColor="text2"/>
        </w:rPr>
        <w:lastRenderedPageBreak/>
        <w:drawing>
          <wp:inline distT="0" distB="0" distL="0" distR="0" wp14:anchorId="2B547F37" wp14:editId="63A11BDF">
            <wp:extent cx="5131656" cy="3300882"/>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8938" cy="3311999"/>
                    </a:xfrm>
                    <a:prstGeom prst="rect">
                      <a:avLst/>
                    </a:prstGeom>
                    <a:noFill/>
                  </pic:spPr>
                </pic:pic>
              </a:graphicData>
            </a:graphic>
          </wp:inline>
        </w:drawing>
      </w:r>
    </w:p>
    <w:p w:rsidR="00894D8A" w:rsidRPr="00894D8A" w:rsidRDefault="00894D8A" w:rsidP="00894D8A">
      <w:pPr>
        <w:bidi/>
        <w:spacing w:line="360" w:lineRule="auto"/>
        <w:ind w:right="-101"/>
        <w:rPr>
          <w:rFonts w:asciiTheme="minorHAnsi" w:hAnsiTheme="minorHAnsi" w:cstheme="minorHAnsi"/>
          <w:color w:val="1F497D" w:themeColor="text2"/>
          <w:rtl/>
        </w:rPr>
      </w:pPr>
    </w:p>
    <w:p w:rsidR="00894D8A" w:rsidRPr="00894D8A" w:rsidRDefault="00894D8A" w:rsidP="00894D8A">
      <w:pPr>
        <w:bidi/>
        <w:spacing w:line="360" w:lineRule="auto"/>
        <w:ind w:right="-101"/>
        <w:rPr>
          <w:rFonts w:asciiTheme="minorHAnsi" w:hAnsiTheme="minorHAnsi" w:cstheme="minorHAnsi"/>
          <w:color w:val="000000" w:themeColor="text1"/>
          <w:rtl/>
        </w:rPr>
      </w:pPr>
      <w:r w:rsidRPr="00894D8A">
        <w:rPr>
          <w:rFonts w:asciiTheme="minorHAnsi" w:hAnsiTheme="minorHAnsi" w:cstheme="minorHAnsi"/>
          <w:color w:val="1F497D" w:themeColor="text2"/>
          <w:rtl/>
        </w:rPr>
        <w:t>תנודתיות שע"ח –  ירידה בסטיית תקן בפועל לצד עלייה מתונה בסטיית תקן הגלומה</w:t>
      </w:r>
    </w:p>
    <w:p w:rsidR="00894D8A" w:rsidRPr="00894D8A" w:rsidRDefault="00894D8A" w:rsidP="00894D8A">
      <w:pPr>
        <w:bidi/>
        <w:spacing w:line="480" w:lineRule="auto"/>
        <w:ind w:right="-101"/>
        <w:jc w:val="both"/>
        <w:rPr>
          <w:rFonts w:asciiTheme="minorHAnsi" w:hAnsiTheme="minorHAnsi" w:cstheme="minorHAnsi"/>
          <w:color w:val="000000" w:themeColor="text1"/>
          <w:rtl/>
        </w:rPr>
      </w:pPr>
      <w:r w:rsidRPr="00894D8A">
        <w:rPr>
          <w:rFonts w:asciiTheme="minorHAnsi" w:hAnsiTheme="minorHAnsi" w:cstheme="minorHAnsi"/>
          <w:color w:val="000000" w:themeColor="text1"/>
          <w:rtl/>
        </w:rPr>
        <w:t xml:space="preserve">סטיית התקן בפועל של שער החליפין שקל/דולר – המציינת את התנודתיות </w:t>
      </w:r>
      <w:r w:rsidRPr="00894D8A">
        <w:rPr>
          <w:rFonts w:asciiTheme="minorHAnsi" w:hAnsiTheme="minorHAnsi" w:cstheme="minorHAnsi"/>
          <w:b/>
          <w:bCs/>
          <w:color w:val="000000" w:themeColor="text1"/>
          <w:rtl/>
        </w:rPr>
        <w:t>בפועל</w:t>
      </w:r>
      <w:r w:rsidRPr="00894D8A">
        <w:rPr>
          <w:rFonts w:asciiTheme="minorHAnsi" w:hAnsiTheme="minorHAnsi" w:cstheme="minorHAnsi"/>
          <w:color w:val="000000" w:themeColor="text1"/>
          <w:rtl/>
        </w:rPr>
        <w:t xml:space="preserve"> בשער החליפין – ירדה במהלך הרבעון ב-1.7 נקודות אחוז לרמה ממוצעת של 9.0%.</w:t>
      </w:r>
    </w:p>
    <w:p w:rsidR="00894D8A" w:rsidRPr="00894D8A" w:rsidRDefault="00894D8A" w:rsidP="00894D8A">
      <w:pPr>
        <w:bidi/>
        <w:spacing w:line="480" w:lineRule="auto"/>
        <w:ind w:right="-101"/>
        <w:jc w:val="both"/>
        <w:rPr>
          <w:rFonts w:asciiTheme="minorHAnsi" w:hAnsiTheme="minorHAnsi" w:cstheme="minorHAnsi"/>
          <w:color w:val="000000" w:themeColor="text1"/>
          <w:rtl/>
        </w:rPr>
      </w:pPr>
      <w:r w:rsidRPr="00894D8A">
        <w:rPr>
          <w:rFonts w:asciiTheme="minorHAnsi" w:hAnsiTheme="minorHAnsi" w:cstheme="minorHAnsi"/>
          <w:color w:val="000000" w:themeColor="text1"/>
          <w:rtl/>
        </w:rPr>
        <w:t xml:space="preserve">סטיית התקן הגלומה באופציות על שער החליפין שקל/דולר 'מעבר לדלפק' – המציינת את התנודתיות </w:t>
      </w:r>
      <w:r w:rsidRPr="00894D8A">
        <w:rPr>
          <w:rFonts w:asciiTheme="minorHAnsi" w:hAnsiTheme="minorHAnsi" w:cstheme="minorHAnsi"/>
          <w:b/>
          <w:bCs/>
          <w:color w:val="000000" w:themeColor="text1"/>
          <w:rtl/>
        </w:rPr>
        <w:t>הצפויה</w:t>
      </w:r>
      <w:r w:rsidRPr="00894D8A">
        <w:rPr>
          <w:rFonts w:asciiTheme="minorHAnsi" w:hAnsiTheme="minorHAnsi" w:cstheme="minorHAnsi"/>
          <w:color w:val="000000" w:themeColor="text1"/>
          <w:rtl/>
        </w:rPr>
        <w:t xml:space="preserve"> בשער החליפין – עלתה ב-0.1 נקודות אחוז לרמה ממוצעת של 10.1%. זאת, לצד ירידה ברמתה הממוצעת של סטיית התקן הגלומה באופציות על מט"ח בשווקים מתעוררים, בכ-1.3 נקודות אחוז, לרמה של כ-8.7%. כמו כן נרשמה ירידה של כ-0.6 נקודות אחוז ברמתה הממוצעת של סטיית התקן בשווקים מפותחים, והיא עמדה על כ-6.4% (תרשים 4).</w:t>
      </w:r>
    </w:p>
    <w:p w:rsidR="00894D8A" w:rsidRPr="00894D8A" w:rsidRDefault="00894D8A" w:rsidP="00894D8A">
      <w:pPr>
        <w:bidi/>
        <w:spacing w:line="480" w:lineRule="auto"/>
        <w:ind w:right="-101"/>
        <w:jc w:val="center"/>
        <w:rPr>
          <w:rFonts w:asciiTheme="minorHAnsi" w:hAnsiTheme="minorHAnsi" w:cstheme="minorHAnsi"/>
          <w:color w:val="000000" w:themeColor="text1"/>
          <w:rtl/>
        </w:rPr>
      </w:pPr>
    </w:p>
    <w:p w:rsidR="00894D8A" w:rsidRPr="00894D8A" w:rsidRDefault="00894D8A" w:rsidP="00894D8A">
      <w:pPr>
        <w:bidi/>
        <w:jc w:val="center"/>
        <w:rPr>
          <w:rFonts w:asciiTheme="minorHAnsi" w:hAnsiTheme="minorHAnsi" w:cstheme="minorHAnsi"/>
          <w:noProof/>
          <w:rtl/>
        </w:rPr>
      </w:pPr>
    </w:p>
    <w:p w:rsidR="00894D8A" w:rsidRPr="00894D8A" w:rsidRDefault="00894D8A" w:rsidP="00894D8A">
      <w:pPr>
        <w:spacing w:after="200" w:line="276" w:lineRule="auto"/>
        <w:rPr>
          <w:rFonts w:asciiTheme="minorHAnsi" w:hAnsiTheme="minorHAnsi" w:cstheme="minorHAnsi"/>
          <w:color w:val="1F497D" w:themeColor="text2"/>
        </w:rPr>
      </w:pPr>
    </w:p>
    <w:p w:rsidR="00894D8A" w:rsidRPr="00894D8A" w:rsidRDefault="00894D8A" w:rsidP="00894D8A">
      <w:pPr>
        <w:bidi/>
        <w:spacing w:after="200" w:line="276" w:lineRule="auto"/>
        <w:rPr>
          <w:rFonts w:asciiTheme="minorHAnsi" w:hAnsiTheme="minorHAnsi" w:cstheme="minorHAnsi"/>
          <w:color w:val="1F497D" w:themeColor="text2"/>
          <w:rtl/>
        </w:rPr>
      </w:pPr>
    </w:p>
    <w:p w:rsidR="00894D8A" w:rsidRPr="00894D8A" w:rsidRDefault="00894D8A" w:rsidP="00894D8A">
      <w:pPr>
        <w:bidi/>
        <w:spacing w:after="200" w:line="276" w:lineRule="auto"/>
        <w:rPr>
          <w:rFonts w:asciiTheme="minorHAnsi" w:hAnsiTheme="minorHAnsi" w:cstheme="minorHAnsi"/>
          <w:color w:val="1F497D" w:themeColor="text2"/>
          <w:rtl/>
        </w:rPr>
      </w:pPr>
      <w:r w:rsidRPr="00894D8A">
        <w:rPr>
          <w:rFonts w:asciiTheme="minorHAnsi" w:hAnsiTheme="minorHAnsi" w:cstheme="minorHAnsi"/>
          <w:noProof/>
          <w:color w:val="000000" w:themeColor="text1"/>
        </w:rPr>
        <w:lastRenderedPageBreak/>
        <w:drawing>
          <wp:anchor distT="0" distB="0" distL="114300" distR="114300" simplePos="0" relativeHeight="251658240" behindDoc="1" locked="0" layoutInCell="1" allowOverlap="1">
            <wp:simplePos x="0" y="0"/>
            <wp:positionH relativeFrom="margin">
              <wp:align>right</wp:align>
            </wp:positionH>
            <wp:positionV relativeFrom="paragraph">
              <wp:posOffset>600</wp:posOffset>
            </wp:positionV>
            <wp:extent cx="5700453" cy="3690710"/>
            <wp:effectExtent l="0" t="0" r="0" b="5080"/>
            <wp:wrapTight wrapText="bothSides">
              <wp:wrapPolygon edited="0">
                <wp:start x="0" y="0"/>
                <wp:lineTo x="0" y="21518"/>
                <wp:lineTo x="21511" y="21518"/>
                <wp:lineTo x="21511" y="223"/>
                <wp:lineTo x="21439" y="0"/>
                <wp:lineTo x="0" y="0"/>
              </wp:wrapPolygon>
            </wp:wrapTight>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00453" cy="3690710"/>
                    </a:xfrm>
                    <a:prstGeom prst="rect">
                      <a:avLst/>
                    </a:prstGeom>
                    <a:noFill/>
                  </pic:spPr>
                </pic:pic>
              </a:graphicData>
            </a:graphic>
            <wp14:sizeRelH relativeFrom="margin">
              <wp14:pctWidth>0</wp14:pctWidth>
            </wp14:sizeRelH>
            <wp14:sizeRelV relativeFrom="margin">
              <wp14:pctHeight>0</wp14:pctHeight>
            </wp14:sizeRelV>
          </wp:anchor>
        </w:drawing>
      </w:r>
      <w:r w:rsidRPr="00894D8A">
        <w:rPr>
          <w:rFonts w:asciiTheme="minorHAnsi" w:hAnsiTheme="minorHAnsi" w:cstheme="minorHAnsi"/>
          <w:noProof/>
          <w:color w:val="1F497D" w:themeColor="text2"/>
        </w:rPr>
        <w:drawing>
          <wp:inline distT="0" distB="0" distL="0" distR="0" wp14:anchorId="3F400DF6" wp14:editId="17645EC0">
            <wp:extent cx="5798110" cy="3759038"/>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8997" cy="3772580"/>
                    </a:xfrm>
                    <a:prstGeom prst="rect">
                      <a:avLst/>
                    </a:prstGeom>
                    <a:noFill/>
                  </pic:spPr>
                </pic:pic>
              </a:graphicData>
            </a:graphic>
          </wp:inline>
        </w:drawing>
      </w:r>
    </w:p>
    <w:p w:rsidR="00894D8A" w:rsidRDefault="00894D8A" w:rsidP="00894D8A">
      <w:pPr>
        <w:bidi/>
        <w:spacing w:after="200" w:line="276" w:lineRule="auto"/>
        <w:rPr>
          <w:rFonts w:asciiTheme="minorHAnsi" w:hAnsiTheme="minorHAnsi" w:cstheme="minorHAnsi"/>
          <w:color w:val="1F497D" w:themeColor="text2"/>
          <w:rtl/>
        </w:rPr>
      </w:pPr>
    </w:p>
    <w:p w:rsidR="00894D8A" w:rsidRDefault="00894D8A" w:rsidP="00894D8A">
      <w:pPr>
        <w:bidi/>
        <w:spacing w:after="200" w:line="276" w:lineRule="auto"/>
        <w:rPr>
          <w:rFonts w:asciiTheme="minorHAnsi" w:hAnsiTheme="minorHAnsi" w:cstheme="minorHAnsi"/>
          <w:color w:val="1F497D" w:themeColor="text2"/>
          <w:rtl/>
        </w:rPr>
      </w:pPr>
    </w:p>
    <w:p w:rsidR="00894D8A" w:rsidRDefault="00894D8A" w:rsidP="00894D8A">
      <w:pPr>
        <w:bidi/>
        <w:spacing w:after="200" w:line="276" w:lineRule="auto"/>
        <w:rPr>
          <w:rFonts w:asciiTheme="minorHAnsi" w:hAnsiTheme="minorHAnsi" w:cstheme="minorHAnsi"/>
          <w:color w:val="1F497D" w:themeColor="text2"/>
          <w:rtl/>
        </w:rPr>
      </w:pPr>
    </w:p>
    <w:p w:rsidR="00894D8A" w:rsidRPr="00894D8A" w:rsidRDefault="00894D8A" w:rsidP="00894D8A">
      <w:pPr>
        <w:bidi/>
        <w:spacing w:after="200" w:line="276" w:lineRule="auto"/>
        <w:rPr>
          <w:rFonts w:asciiTheme="minorHAnsi" w:hAnsiTheme="minorHAnsi" w:cstheme="minorHAnsi"/>
          <w:color w:val="1F497D" w:themeColor="text2"/>
          <w:rtl/>
        </w:rPr>
        <w:sectPr w:rsidR="00894D8A" w:rsidRPr="00894D8A" w:rsidSect="00894D8A">
          <w:pgSz w:w="11906" w:h="16838"/>
          <w:pgMar w:top="624" w:right="1077" w:bottom="624" w:left="1077" w:header="709" w:footer="709" w:gutter="0"/>
          <w:cols w:space="708"/>
          <w:bidi/>
          <w:rtlGutter/>
          <w:docGrid w:linePitch="360"/>
        </w:sectPr>
      </w:pPr>
      <w:r w:rsidRPr="00894D8A">
        <w:rPr>
          <w:rFonts w:asciiTheme="minorHAnsi" w:hAnsiTheme="minorHAnsi" w:cstheme="minorHAnsi"/>
          <w:color w:val="1F497D" w:themeColor="text2"/>
          <w:rtl/>
        </w:rPr>
        <w:t xml:space="preserve">פעילות המגזרים העיקריים בשוק </w:t>
      </w:r>
      <w:proofErr w:type="spellStart"/>
      <w:r w:rsidRPr="00894D8A">
        <w:rPr>
          <w:rFonts w:asciiTheme="minorHAnsi" w:hAnsiTheme="minorHAnsi" w:cstheme="minorHAnsi"/>
          <w:color w:val="1F497D" w:themeColor="text2"/>
          <w:rtl/>
        </w:rPr>
        <w:t>המט"ח</w:t>
      </w:r>
      <w:proofErr w:type="spellEnd"/>
      <w:r w:rsidRPr="00894D8A">
        <w:rPr>
          <w:rStyle w:val="af2"/>
          <w:rFonts w:asciiTheme="minorHAnsi" w:hAnsiTheme="minorHAnsi" w:cstheme="minorHAnsi"/>
          <w:color w:val="1F497D" w:themeColor="text2"/>
          <w:rtl/>
        </w:rPr>
        <w:footnoteReference w:id="1"/>
      </w:r>
      <w:r w:rsidRPr="00894D8A">
        <w:rPr>
          <w:rStyle w:val="af2"/>
          <w:rFonts w:asciiTheme="minorHAnsi" w:hAnsiTheme="minorHAnsi" w:cstheme="minorHAnsi"/>
          <w:color w:val="1F497D" w:themeColor="text2"/>
          <w:rtl/>
        </w:rPr>
        <w:footnoteReference w:id="2"/>
      </w:r>
    </w:p>
    <w:p w:rsidR="00894D8A" w:rsidRPr="00894D8A" w:rsidRDefault="00894D8A" w:rsidP="00894D8A">
      <w:pPr>
        <w:tabs>
          <w:tab w:val="left" w:pos="4084"/>
        </w:tabs>
        <w:bidi/>
        <w:rPr>
          <w:rFonts w:asciiTheme="minorHAnsi" w:hAnsiTheme="minorHAnsi" w:cstheme="minorHAnsi"/>
          <w:rtl/>
        </w:rPr>
        <w:sectPr w:rsidR="00894D8A" w:rsidRPr="00894D8A" w:rsidSect="004E549D">
          <w:footerReference w:type="default" r:id="rId12"/>
          <w:type w:val="continuous"/>
          <w:pgSz w:w="11906" w:h="16838"/>
          <w:pgMar w:top="624" w:right="1077" w:bottom="624" w:left="1077" w:header="709" w:footer="709" w:gutter="0"/>
          <w:cols w:space="708"/>
          <w:bidi/>
          <w:rtlGutter/>
          <w:docGrid w:linePitch="360"/>
        </w:sectPr>
      </w:pPr>
    </w:p>
    <w:p w:rsidR="00894D8A" w:rsidRPr="00894D8A" w:rsidRDefault="00894D8A" w:rsidP="00894D8A">
      <w:pPr>
        <w:bidi/>
        <w:spacing w:line="480" w:lineRule="auto"/>
        <w:ind w:right="-101"/>
        <w:rPr>
          <w:rFonts w:asciiTheme="minorHAnsi" w:hAnsiTheme="minorHAnsi" w:cstheme="minorHAnsi"/>
          <w:color w:val="000000" w:themeColor="text1"/>
          <w:rtl/>
        </w:rPr>
      </w:pPr>
      <w:r w:rsidRPr="00894D8A">
        <w:rPr>
          <w:rFonts w:asciiTheme="minorHAnsi" w:hAnsiTheme="minorHAnsi" w:cstheme="minorHAnsi"/>
          <w:color w:val="000000" w:themeColor="text1"/>
          <w:rtl/>
        </w:rPr>
        <w:lastRenderedPageBreak/>
        <w:t xml:space="preserve">אומדן לפעילות המגזרים העיקריים בשוק </w:t>
      </w:r>
      <w:proofErr w:type="spellStart"/>
      <w:r w:rsidRPr="00894D8A">
        <w:rPr>
          <w:rFonts w:asciiTheme="minorHAnsi" w:hAnsiTheme="minorHAnsi" w:cstheme="minorHAnsi"/>
          <w:color w:val="000000" w:themeColor="text1"/>
          <w:rtl/>
        </w:rPr>
        <w:t>המט"ח</w:t>
      </w:r>
      <w:proofErr w:type="spellEnd"/>
      <w:r w:rsidRPr="00894D8A">
        <w:rPr>
          <w:rFonts w:asciiTheme="minorHAnsi" w:hAnsiTheme="minorHAnsi" w:cstheme="minorHAnsi"/>
          <w:color w:val="000000" w:themeColor="text1"/>
          <w:rtl/>
        </w:rPr>
        <w:t xml:space="preserve"> מצביע על שינוי בהרכב הפעילות ברבעון השלישי. במהלך הרבעון המגזר הפיננסי עבר לרכישות מט"ח נטו, בעוד שהמגזר העסקי צמצם משמעותית את רכישות </w:t>
      </w:r>
      <w:proofErr w:type="spellStart"/>
      <w:r w:rsidRPr="00894D8A">
        <w:rPr>
          <w:rFonts w:asciiTheme="minorHAnsi" w:hAnsiTheme="minorHAnsi" w:cstheme="minorHAnsi"/>
          <w:color w:val="000000" w:themeColor="text1"/>
          <w:rtl/>
        </w:rPr>
        <w:t>המט"ח</w:t>
      </w:r>
      <w:proofErr w:type="spellEnd"/>
      <w:r w:rsidRPr="00894D8A">
        <w:rPr>
          <w:rFonts w:asciiTheme="minorHAnsi" w:hAnsiTheme="minorHAnsi" w:cstheme="minorHAnsi"/>
          <w:color w:val="000000" w:themeColor="text1"/>
          <w:rtl/>
        </w:rPr>
        <w:t xml:space="preserve"> נטו שלו. הגופים המוסדיים צמצמו את מכירות </w:t>
      </w:r>
      <w:proofErr w:type="spellStart"/>
      <w:r w:rsidRPr="00894D8A">
        <w:rPr>
          <w:rFonts w:asciiTheme="minorHAnsi" w:hAnsiTheme="minorHAnsi" w:cstheme="minorHAnsi"/>
          <w:color w:val="000000" w:themeColor="text1"/>
          <w:rtl/>
        </w:rPr>
        <w:t>המט"ח</w:t>
      </w:r>
      <w:proofErr w:type="spellEnd"/>
      <w:r w:rsidRPr="00894D8A">
        <w:rPr>
          <w:rFonts w:asciiTheme="minorHAnsi" w:hAnsiTheme="minorHAnsi" w:cstheme="minorHAnsi"/>
          <w:color w:val="000000" w:themeColor="text1"/>
          <w:rtl/>
        </w:rPr>
        <w:t xml:space="preserve"> נטו, ותושבי החוץ המשיכו במכירות מט"ח נטו</w:t>
      </w:r>
      <w:r w:rsidRPr="00894D8A">
        <w:rPr>
          <w:rFonts w:asciiTheme="minorHAnsi" w:hAnsiTheme="minorHAnsi" w:cstheme="minorHAnsi"/>
          <w:color w:val="000000" w:themeColor="text1"/>
        </w:rPr>
        <w:t>.</w:t>
      </w:r>
    </w:p>
    <w:p w:rsidR="00894D8A" w:rsidRPr="00894D8A" w:rsidRDefault="00894D8A" w:rsidP="00894D8A">
      <w:pPr>
        <w:bidi/>
        <w:spacing w:line="480" w:lineRule="auto"/>
        <w:ind w:right="-101"/>
        <w:rPr>
          <w:rFonts w:asciiTheme="minorHAnsi" w:hAnsiTheme="minorHAnsi" w:cstheme="minorHAnsi"/>
          <w:color w:val="000000" w:themeColor="text1"/>
          <w:rtl/>
        </w:rPr>
      </w:pPr>
      <w:r w:rsidRPr="00894D8A">
        <w:rPr>
          <w:rFonts w:asciiTheme="minorHAnsi" w:hAnsiTheme="minorHAnsi" w:cstheme="minorHAnsi"/>
          <w:color w:val="000000" w:themeColor="text1"/>
          <w:rtl/>
        </w:rPr>
        <w:t xml:space="preserve">הגופים המוסדיים – קרנות הפנסיה, קופות הגמל וחברות הביטוח – צמצמו את מכירות </w:t>
      </w:r>
      <w:proofErr w:type="spellStart"/>
      <w:r w:rsidRPr="00894D8A">
        <w:rPr>
          <w:rFonts w:asciiTheme="minorHAnsi" w:hAnsiTheme="minorHAnsi" w:cstheme="minorHAnsi"/>
          <w:color w:val="000000" w:themeColor="text1"/>
          <w:rtl/>
        </w:rPr>
        <w:t>המט"ח</w:t>
      </w:r>
      <w:proofErr w:type="spellEnd"/>
      <w:r w:rsidRPr="00894D8A">
        <w:rPr>
          <w:rFonts w:asciiTheme="minorHAnsi" w:hAnsiTheme="minorHAnsi" w:cstheme="minorHAnsi"/>
          <w:color w:val="000000" w:themeColor="text1"/>
          <w:rtl/>
        </w:rPr>
        <w:t xml:space="preserve"> נטו לכ-4.4 מיליארד דולר במהלך הרבעון, לעומת מכירות של כ-13.8 מיליארד דולר ברבעון הקודם</w:t>
      </w:r>
      <w:r w:rsidRPr="00894D8A">
        <w:rPr>
          <w:rFonts w:asciiTheme="minorHAnsi" w:hAnsiTheme="minorHAnsi" w:cstheme="minorHAnsi"/>
          <w:color w:val="000000" w:themeColor="text1"/>
        </w:rPr>
        <w:t>.</w:t>
      </w:r>
    </w:p>
    <w:p w:rsidR="00894D8A" w:rsidRPr="00894D8A" w:rsidRDefault="00894D8A" w:rsidP="00894D8A">
      <w:pPr>
        <w:bidi/>
        <w:spacing w:line="480" w:lineRule="auto"/>
        <w:ind w:right="-101"/>
        <w:rPr>
          <w:rFonts w:asciiTheme="minorHAnsi" w:hAnsiTheme="minorHAnsi" w:cstheme="minorHAnsi"/>
          <w:color w:val="000000" w:themeColor="text1"/>
          <w:rtl/>
        </w:rPr>
      </w:pPr>
      <w:r w:rsidRPr="00894D8A">
        <w:rPr>
          <w:rFonts w:asciiTheme="minorHAnsi" w:hAnsiTheme="minorHAnsi" w:cstheme="minorHAnsi"/>
          <w:color w:val="000000" w:themeColor="text1"/>
          <w:rtl/>
        </w:rPr>
        <w:t xml:space="preserve">המגזר העסקי צמצם את רכישות </w:t>
      </w:r>
      <w:proofErr w:type="spellStart"/>
      <w:r w:rsidRPr="00894D8A">
        <w:rPr>
          <w:rFonts w:asciiTheme="minorHAnsi" w:hAnsiTheme="minorHAnsi" w:cstheme="minorHAnsi"/>
          <w:color w:val="000000" w:themeColor="text1"/>
          <w:rtl/>
        </w:rPr>
        <w:t>המט"ח</w:t>
      </w:r>
      <w:proofErr w:type="spellEnd"/>
      <w:r w:rsidRPr="00894D8A">
        <w:rPr>
          <w:rFonts w:asciiTheme="minorHAnsi" w:hAnsiTheme="minorHAnsi" w:cstheme="minorHAnsi"/>
          <w:color w:val="000000" w:themeColor="text1"/>
          <w:rtl/>
        </w:rPr>
        <w:t xml:space="preserve"> נטו לכ-1.7 מיליארד דולר, לעומת רכישות נטו של כ-12.1 מיליארד דולר ברבעון הקודם</w:t>
      </w:r>
      <w:r w:rsidRPr="00894D8A">
        <w:rPr>
          <w:rFonts w:asciiTheme="minorHAnsi" w:hAnsiTheme="minorHAnsi" w:cstheme="minorHAnsi"/>
          <w:color w:val="000000" w:themeColor="text1"/>
        </w:rPr>
        <w:t>.</w:t>
      </w:r>
    </w:p>
    <w:p w:rsidR="00894D8A" w:rsidRPr="00894D8A" w:rsidRDefault="00894D8A" w:rsidP="00894D8A">
      <w:pPr>
        <w:bidi/>
        <w:spacing w:line="480" w:lineRule="auto"/>
        <w:ind w:right="-101"/>
        <w:rPr>
          <w:rFonts w:asciiTheme="minorHAnsi" w:hAnsiTheme="minorHAnsi" w:cstheme="minorHAnsi"/>
          <w:color w:val="000000" w:themeColor="text1"/>
          <w:rtl/>
        </w:rPr>
      </w:pPr>
      <w:r w:rsidRPr="00894D8A">
        <w:rPr>
          <w:rFonts w:asciiTheme="minorHAnsi" w:hAnsiTheme="minorHAnsi" w:cstheme="minorHAnsi"/>
          <w:color w:val="000000" w:themeColor="text1"/>
          <w:rtl/>
        </w:rPr>
        <w:t>תושבי החוץ המשיכו במכירות מט"ח נטו בהיקף של כ-6.5 מיליארד דולר, לעומת מכירות נטו של כ-6.4 מיליארד דולר ברבעון הקודם</w:t>
      </w:r>
      <w:r w:rsidRPr="00894D8A">
        <w:rPr>
          <w:rFonts w:asciiTheme="minorHAnsi" w:hAnsiTheme="minorHAnsi" w:cstheme="minorHAnsi"/>
          <w:color w:val="000000" w:themeColor="text1"/>
        </w:rPr>
        <w:t>.</w:t>
      </w:r>
    </w:p>
    <w:p w:rsidR="00894D8A" w:rsidRPr="00894D8A" w:rsidRDefault="00894D8A" w:rsidP="00894D8A">
      <w:pPr>
        <w:bidi/>
        <w:spacing w:line="480" w:lineRule="auto"/>
        <w:ind w:right="-101"/>
        <w:rPr>
          <w:rFonts w:asciiTheme="minorHAnsi" w:hAnsiTheme="minorHAnsi" w:cstheme="minorHAnsi"/>
          <w:color w:val="000000" w:themeColor="text1"/>
          <w:rtl/>
        </w:rPr>
      </w:pPr>
      <w:r w:rsidRPr="00894D8A">
        <w:rPr>
          <w:rFonts w:asciiTheme="minorHAnsi" w:hAnsiTheme="minorHAnsi" w:cstheme="minorHAnsi"/>
          <w:color w:val="000000" w:themeColor="text1"/>
          <w:rtl/>
        </w:rPr>
        <w:t>המגזר הפיננסי (בעיקר בנקים) עבר לרכישות מט"ח נטו בהיקף של כ-3.7 מיליארד דולר, לעומת מכירות נטו של כ-1.1 מיליארד דולר ברבעון הקודם</w:t>
      </w:r>
      <w:r w:rsidRPr="00894D8A">
        <w:rPr>
          <w:rFonts w:asciiTheme="minorHAnsi" w:hAnsiTheme="minorHAnsi" w:cstheme="minorHAnsi"/>
          <w:color w:val="000000" w:themeColor="text1"/>
        </w:rPr>
        <w:t>.</w:t>
      </w:r>
    </w:p>
    <w:p w:rsidR="00894D8A" w:rsidRPr="00894D8A" w:rsidRDefault="00894D8A" w:rsidP="00894D8A">
      <w:pPr>
        <w:bidi/>
        <w:spacing w:line="480" w:lineRule="auto"/>
        <w:ind w:right="-101"/>
        <w:rPr>
          <w:rFonts w:asciiTheme="minorHAnsi" w:hAnsiTheme="minorHAnsi" w:cstheme="minorHAnsi"/>
          <w:color w:val="000000" w:themeColor="text1"/>
          <w:rtl/>
        </w:rPr>
      </w:pPr>
      <w:r w:rsidRPr="00894D8A">
        <w:rPr>
          <w:rFonts w:asciiTheme="minorHAnsi" w:hAnsiTheme="minorHAnsi" w:cstheme="minorHAnsi"/>
          <w:color w:val="000000" w:themeColor="text1"/>
          <w:rtl/>
        </w:rPr>
        <w:t>בנק ישראל לא רכש מט"ח נטו במהלך הרבעון (ברבעון הקודם נרכשו כ-1.8 מיליארד דולר).</w:t>
      </w:r>
    </w:p>
    <w:p w:rsidR="00894D8A" w:rsidRPr="00894D8A" w:rsidRDefault="00894D8A" w:rsidP="00894D8A">
      <w:pPr>
        <w:bidi/>
        <w:spacing w:line="480" w:lineRule="auto"/>
        <w:ind w:right="-101"/>
        <w:jc w:val="both"/>
        <w:rPr>
          <w:rFonts w:asciiTheme="minorHAnsi" w:hAnsiTheme="minorHAnsi" w:cstheme="minorHAnsi"/>
          <w:color w:val="000000" w:themeColor="text1"/>
          <w:rtl/>
        </w:rPr>
      </w:pPr>
      <w:r w:rsidRPr="00894D8A">
        <w:rPr>
          <w:rFonts w:asciiTheme="minorHAnsi" w:hAnsiTheme="minorHAnsi" w:cstheme="minorHAnsi"/>
          <w:color w:val="000000" w:themeColor="text1"/>
          <w:rtl/>
        </w:rPr>
        <w:t xml:space="preserve"> </w:t>
      </w:r>
      <w:r w:rsidRPr="00894D8A">
        <w:rPr>
          <w:rFonts w:asciiTheme="minorHAnsi" w:hAnsiTheme="minorHAnsi" w:cstheme="minorHAnsi"/>
          <w:noProof/>
          <w:color w:val="000000" w:themeColor="text1"/>
        </w:rPr>
        <w:drawing>
          <wp:inline distT="0" distB="0" distL="0" distR="0" wp14:anchorId="0093B110" wp14:editId="3CFC66F7">
            <wp:extent cx="5359179" cy="3449026"/>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73241" cy="3458076"/>
                    </a:xfrm>
                    <a:prstGeom prst="rect">
                      <a:avLst/>
                    </a:prstGeom>
                    <a:noFill/>
                  </pic:spPr>
                </pic:pic>
              </a:graphicData>
            </a:graphic>
          </wp:inline>
        </w:drawing>
      </w:r>
    </w:p>
    <w:p w:rsidR="00894D8A" w:rsidRPr="00894D8A" w:rsidRDefault="00894D8A" w:rsidP="00894D8A">
      <w:pPr>
        <w:bidi/>
        <w:spacing w:line="480" w:lineRule="auto"/>
        <w:ind w:right="-101"/>
        <w:jc w:val="both"/>
        <w:rPr>
          <w:rFonts w:asciiTheme="minorHAnsi" w:hAnsiTheme="minorHAnsi" w:cstheme="minorHAnsi"/>
          <w:color w:val="000000" w:themeColor="text1"/>
          <w:rtl/>
        </w:rPr>
      </w:pPr>
      <w:r w:rsidRPr="00894D8A">
        <w:rPr>
          <w:rFonts w:asciiTheme="minorHAnsi" w:hAnsiTheme="minorHAnsi" w:cstheme="minorHAnsi"/>
          <w:noProof/>
          <w:color w:val="000000" w:themeColor="text1"/>
        </w:rPr>
        <w:lastRenderedPageBreak/>
        <w:drawing>
          <wp:inline distT="0" distB="0" distL="0" distR="0" wp14:anchorId="3A06D564" wp14:editId="33354375">
            <wp:extent cx="5445417" cy="3530379"/>
            <wp:effectExtent l="0" t="0" r="3175" b="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54717" cy="3536409"/>
                    </a:xfrm>
                    <a:prstGeom prst="rect">
                      <a:avLst/>
                    </a:prstGeom>
                    <a:noFill/>
                  </pic:spPr>
                </pic:pic>
              </a:graphicData>
            </a:graphic>
          </wp:inline>
        </w:drawing>
      </w:r>
    </w:p>
    <w:p w:rsidR="00894D8A" w:rsidRPr="00894D8A" w:rsidRDefault="00894D8A" w:rsidP="00894D8A">
      <w:pPr>
        <w:bidi/>
        <w:spacing w:line="480" w:lineRule="auto"/>
        <w:jc w:val="both"/>
        <w:rPr>
          <w:rFonts w:asciiTheme="minorHAnsi" w:hAnsiTheme="minorHAnsi" w:cstheme="minorHAnsi"/>
          <w:color w:val="000000" w:themeColor="text1"/>
          <w:rtl/>
        </w:rPr>
      </w:pPr>
      <w:r w:rsidRPr="00894D8A">
        <w:rPr>
          <w:rFonts w:asciiTheme="minorHAnsi" w:hAnsiTheme="minorHAnsi" w:cstheme="minorHAnsi"/>
          <w:color w:val="1F497D" w:themeColor="text2"/>
          <w:rtl/>
        </w:rPr>
        <w:t>נפחי מסחר – לוחות ותרשימים</w:t>
      </w:r>
    </w:p>
    <w:p w:rsidR="00894D8A" w:rsidRPr="00894D8A" w:rsidRDefault="00894D8A" w:rsidP="00894D8A">
      <w:pPr>
        <w:pStyle w:val="2"/>
        <w:bidi/>
        <w:rPr>
          <w:rFonts w:asciiTheme="minorHAnsi" w:hAnsiTheme="minorHAnsi" w:cstheme="minorHAnsi"/>
          <w:sz w:val="24"/>
          <w:szCs w:val="24"/>
          <w:rtl/>
        </w:rPr>
      </w:pPr>
      <w:r w:rsidRPr="00894D8A">
        <w:rPr>
          <w:rFonts w:asciiTheme="minorHAnsi" w:hAnsiTheme="minorHAnsi" w:cstheme="minorHAnsi"/>
          <w:sz w:val="24"/>
          <w:szCs w:val="24"/>
          <w:rtl/>
        </w:rPr>
        <w:t>נפח המסחר מול מערכת הבנקאות המקומית</w:t>
      </w:r>
      <w:r w:rsidRPr="00894D8A">
        <w:rPr>
          <w:rFonts w:asciiTheme="minorHAnsi" w:hAnsiTheme="minorHAnsi" w:cstheme="minorHAnsi"/>
          <w:sz w:val="24"/>
          <w:szCs w:val="24"/>
          <w:vertAlign w:val="superscript"/>
          <w:rtl/>
        </w:rPr>
        <w:footnoteReference w:id="3"/>
      </w:r>
    </w:p>
    <w:p w:rsidR="00894D8A" w:rsidRPr="00894D8A" w:rsidRDefault="00894D8A" w:rsidP="00894D8A">
      <w:pPr>
        <w:bidi/>
        <w:rPr>
          <w:rFonts w:asciiTheme="minorHAnsi" w:hAnsiTheme="minorHAnsi" w:cstheme="minorHAnsi"/>
          <w:rtl/>
        </w:rPr>
      </w:pPr>
    </w:p>
    <w:p w:rsidR="00894D8A" w:rsidRPr="00894D8A" w:rsidRDefault="00894D8A" w:rsidP="00894D8A">
      <w:pPr>
        <w:bidi/>
        <w:spacing w:line="360" w:lineRule="auto"/>
        <w:jc w:val="both"/>
        <w:rPr>
          <w:rFonts w:asciiTheme="minorHAnsi" w:hAnsiTheme="minorHAnsi" w:cstheme="minorHAnsi"/>
          <w:color w:val="000000" w:themeColor="text1"/>
          <w:rtl/>
        </w:rPr>
      </w:pPr>
      <w:r w:rsidRPr="00894D8A">
        <w:rPr>
          <w:rFonts w:asciiTheme="minorHAnsi" w:hAnsiTheme="minorHAnsi" w:cstheme="minorHAnsi"/>
          <w:b/>
          <w:bCs/>
          <w:color w:val="000000" w:themeColor="text1"/>
          <w:rtl/>
        </w:rPr>
        <w:t>נפח המסחר היומי הממוצע</w:t>
      </w:r>
      <w:r w:rsidRPr="00894D8A">
        <w:rPr>
          <w:rFonts w:asciiTheme="minorHAnsi" w:hAnsiTheme="minorHAnsi" w:cstheme="minorHAnsi"/>
          <w:color w:val="000000" w:themeColor="text1"/>
          <w:rtl/>
        </w:rPr>
        <w:t xml:space="preserve"> רשם ירידה של 9.1% במהלך הרבעון, לרמה של 16.0 מיליארדי דולרים, כאשר עיקר הירידה בנפח המסחר היומי בעסקאות המרה. </w:t>
      </w:r>
      <w:r w:rsidRPr="00894D8A">
        <w:rPr>
          <w:rFonts w:asciiTheme="minorHAnsi" w:hAnsiTheme="minorHAnsi" w:cstheme="minorHAnsi"/>
          <w:b/>
          <w:bCs/>
          <w:color w:val="000000" w:themeColor="text1"/>
          <w:rtl/>
        </w:rPr>
        <w:t xml:space="preserve">חלקם היחסי של תושבי חוץ בנפח המסחר מול מערכת הבנקאות המקומית </w:t>
      </w:r>
      <w:r w:rsidRPr="00894D8A">
        <w:rPr>
          <w:rFonts w:asciiTheme="minorHAnsi" w:hAnsiTheme="minorHAnsi" w:cstheme="minorHAnsi"/>
          <w:color w:val="000000" w:themeColor="text1"/>
          <w:rtl/>
        </w:rPr>
        <w:t>(עסקאות המרה, עסקאות באופציות ועסקאות החלף) עלה ב-5.2 נקודות אחוז ועמד בסוף הרבעון השלישי על 41.4%.</w:t>
      </w:r>
    </w:p>
    <w:p w:rsidR="00894D8A" w:rsidRPr="00894D8A" w:rsidRDefault="00894D8A" w:rsidP="00894D8A">
      <w:pPr>
        <w:bidi/>
        <w:spacing w:line="360" w:lineRule="auto"/>
        <w:jc w:val="both"/>
        <w:rPr>
          <w:rFonts w:asciiTheme="minorHAnsi" w:hAnsiTheme="minorHAnsi" w:cstheme="minorHAnsi"/>
          <w:color w:val="000000" w:themeColor="text1"/>
          <w:rtl/>
        </w:rPr>
      </w:pPr>
    </w:p>
    <w:p w:rsidR="00894D8A" w:rsidRPr="00894D8A" w:rsidRDefault="00894D8A" w:rsidP="00894D8A">
      <w:pPr>
        <w:bidi/>
        <w:spacing w:line="360" w:lineRule="auto"/>
        <w:jc w:val="both"/>
        <w:rPr>
          <w:rFonts w:asciiTheme="minorHAnsi" w:hAnsiTheme="minorHAnsi" w:cstheme="minorHAnsi"/>
          <w:color w:val="000000" w:themeColor="text1"/>
          <w:rtl/>
        </w:rPr>
      </w:pPr>
    </w:p>
    <w:p w:rsidR="00894D8A" w:rsidRPr="00894D8A" w:rsidRDefault="00894D8A" w:rsidP="00894D8A">
      <w:pPr>
        <w:bidi/>
        <w:spacing w:line="360" w:lineRule="auto"/>
        <w:jc w:val="center"/>
        <w:rPr>
          <w:rFonts w:asciiTheme="minorHAnsi" w:hAnsiTheme="minorHAnsi" w:cstheme="minorHAnsi"/>
          <w:color w:val="000000" w:themeColor="text1"/>
          <w:rtl/>
        </w:rPr>
      </w:pPr>
      <w:r w:rsidRPr="00894D8A">
        <w:rPr>
          <w:rFonts w:asciiTheme="minorHAnsi" w:hAnsiTheme="minorHAnsi" w:cstheme="minorHAnsi"/>
          <w:noProof/>
          <w:color w:val="000000" w:themeColor="text1"/>
        </w:rPr>
        <w:lastRenderedPageBreak/>
        <w:drawing>
          <wp:inline distT="0" distB="0" distL="0" distR="0" wp14:anchorId="1D69A916" wp14:editId="798872B3">
            <wp:extent cx="5494351" cy="3530869"/>
            <wp:effectExtent l="0" t="0" r="0" b="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4541" cy="3537417"/>
                    </a:xfrm>
                    <a:prstGeom prst="rect">
                      <a:avLst/>
                    </a:prstGeom>
                    <a:noFill/>
                  </pic:spPr>
                </pic:pic>
              </a:graphicData>
            </a:graphic>
          </wp:inline>
        </w:drawing>
      </w:r>
    </w:p>
    <w:p w:rsidR="00894D8A" w:rsidRPr="00894D8A" w:rsidRDefault="00894D8A" w:rsidP="00894D8A">
      <w:pPr>
        <w:bidi/>
        <w:spacing w:line="360" w:lineRule="auto"/>
        <w:jc w:val="both"/>
        <w:rPr>
          <w:rFonts w:asciiTheme="minorHAnsi" w:hAnsiTheme="minorHAnsi" w:cstheme="minorHAnsi"/>
          <w:color w:val="000000" w:themeColor="text1"/>
          <w:rtl/>
        </w:rPr>
      </w:pPr>
    </w:p>
    <w:tbl>
      <w:tblPr>
        <w:bidiVisual/>
        <w:tblW w:w="9666" w:type="dxa"/>
        <w:tblLook w:val="04A0" w:firstRow="1" w:lastRow="0" w:firstColumn="1" w:lastColumn="0" w:noHBand="0" w:noVBand="1"/>
      </w:tblPr>
      <w:tblGrid>
        <w:gridCol w:w="992"/>
        <w:gridCol w:w="2806"/>
        <w:gridCol w:w="1003"/>
        <w:gridCol w:w="934"/>
        <w:gridCol w:w="1363"/>
        <w:gridCol w:w="1074"/>
        <w:gridCol w:w="1574"/>
      </w:tblGrid>
      <w:tr w:rsidR="00894D8A" w:rsidRPr="00894D8A" w:rsidTr="0034318D">
        <w:trPr>
          <w:trHeight w:val="300"/>
        </w:trPr>
        <w:tc>
          <w:tcPr>
            <w:tcW w:w="9666" w:type="dxa"/>
            <w:gridSpan w:val="7"/>
            <w:tcBorders>
              <w:top w:val="nil"/>
              <w:left w:val="nil"/>
              <w:bottom w:val="nil"/>
              <w:right w:val="nil"/>
            </w:tcBorders>
            <w:shd w:val="clear" w:color="auto" w:fill="auto"/>
            <w:noWrap/>
            <w:vAlign w:val="bottom"/>
            <w:hideMark/>
          </w:tcPr>
          <w:p w:rsidR="00894D8A" w:rsidRPr="00894D8A" w:rsidRDefault="00894D8A" w:rsidP="0034318D">
            <w:pPr>
              <w:spacing w:after="200" w:line="276" w:lineRule="auto"/>
              <w:jc w:val="center"/>
              <w:rPr>
                <w:rFonts w:asciiTheme="minorHAnsi" w:hAnsiTheme="minorHAnsi" w:cstheme="minorHAnsi"/>
                <w:b/>
                <w:bCs/>
                <w:rtl/>
              </w:rPr>
            </w:pPr>
            <w:r w:rsidRPr="00894D8A">
              <w:rPr>
                <w:rFonts w:asciiTheme="minorHAnsi" w:hAnsiTheme="minorHAnsi" w:cstheme="minorHAnsi"/>
                <w:b/>
                <w:bCs/>
                <w:rtl/>
              </w:rPr>
              <w:t>עסקאות במט"ח עם הבנקים המקומיים לפי מכשירים ומגזרים (במיליוני דולרים)</w:t>
            </w:r>
          </w:p>
          <w:tbl>
            <w:tblPr>
              <w:bidiVisual/>
              <w:tblW w:w="9547" w:type="dxa"/>
              <w:tblLook w:val="04A0" w:firstRow="1" w:lastRow="0" w:firstColumn="1" w:lastColumn="0" w:noHBand="0" w:noVBand="1"/>
            </w:tblPr>
            <w:tblGrid>
              <w:gridCol w:w="978"/>
              <w:gridCol w:w="2578"/>
              <w:gridCol w:w="1008"/>
              <w:gridCol w:w="1008"/>
              <w:gridCol w:w="1186"/>
              <w:gridCol w:w="1129"/>
              <w:gridCol w:w="1660"/>
            </w:tblGrid>
            <w:tr w:rsidR="00894D8A" w:rsidRPr="00894D8A" w:rsidTr="0034318D">
              <w:trPr>
                <w:trHeight w:val="795"/>
              </w:trPr>
              <w:tc>
                <w:tcPr>
                  <w:tcW w:w="106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4D8A" w:rsidRPr="00894D8A" w:rsidRDefault="00894D8A" w:rsidP="0034318D">
                  <w:pPr>
                    <w:rPr>
                      <w:rFonts w:asciiTheme="minorHAnsi" w:hAnsiTheme="minorHAnsi" w:cstheme="minorHAnsi"/>
                    </w:rPr>
                  </w:pPr>
                  <w:r w:rsidRPr="00894D8A">
                    <w:rPr>
                      <w:rFonts w:asciiTheme="minorHAnsi" w:hAnsiTheme="minorHAnsi" w:cstheme="minorHAnsi"/>
                    </w:rPr>
                    <w:t> </w:t>
                  </w:r>
                </w:p>
              </w:tc>
              <w:tc>
                <w:tcPr>
                  <w:tcW w:w="329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jc w:val="center"/>
                    <w:rPr>
                      <w:rFonts w:asciiTheme="minorHAnsi" w:hAnsiTheme="minorHAnsi" w:cstheme="minorHAnsi"/>
                      <w:b/>
                      <w:bCs/>
                    </w:rPr>
                  </w:pPr>
                  <w:r w:rsidRPr="00894D8A">
                    <w:rPr>
                      <w:rFonts w:asciiTheme="minorHAnsi" w:hAnsiTheme="minorHAnsi" w:cstheme="minorHAnsi"/>
                      <w:b/>
                      <w:bCs/>
                      <w:rtl/>
                    </w:rPr>
                    <w:t xml:space="preserve">עסקאות המרה (1) </w:t>
                  </w:r>
                </w:p>
              </w:tc>
              <w:tc>
                <w:tcPr>
                  <w:tcW w:w="8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jc w:val="center"/>
                    <w:rPr>
                      <w:rFonts w:asciiTheme="minorHAnsi" w:hAnsiTheme="minorHAnsi" w:cstheme="minorHAnsi"/>
                      <w:b/>
                      <w:bCs/>
                      <w:rtl/>
                    </w:rPr>
                  </w:pPr>
                  <w:r w:rsidRPr="00894D8A">
                    <w:rPr>
                      <w:rFonts w:asciiTheme="minorHAnsi" w:hAnsiTheme="minorHAnsi" w:cstheme="minorHAnsi"/>
                      <w:b/>
                      <w:bCs/>
                      <w:rtl/>
                    </w:rPr>
                    <w:t>עסקאות החלף</w:t>
                  </w:r>
                  <w:r w:rsidRPr="00894D8A">
                    <w:rPr>
                      <w:rFonts w:asciiTheme="minorHAnsi" w:hAnsiTheme="minorHAnsi" w:cstheme="minorHAnsi"/>
                      <w:b/>
                      <w:bCs/>
                      <w:vertAlign w:val="superscript"/>
                      <w:rtl/>
                    </w:rPr>
                    <w:t>1</w:t>
                  </w:r>
                  <w:r w:rsidRPr="00894D8A">
                    <w:rPr>
                      <w:rFonts w:asciiTheme="minorHAnsi" w:hAnsiTheme="minorHAnsi" w:cstheme="minorHAnsi"/>
                      <w:b/>
                      <w:bCs/>
                      <w:rtl/>
                    </w:rPr>
                    <w:t xml:space="preserve"> (</w:t>
                  </w:r>
                  <w:proofErr w:type="spellStart"/>
                  <w:r w:rsidRPr="00894D8A">
                    <w:rPr>
                      <w:rFonts w:asciiTheme="minorHAnsi" w:hAnsiTheme="minorHAnsi" w:cstheme="minorHAnsi"/>
                      <w:b/>
                      <w:bCs/>
                      <w:rtl/>
                    </w:rPr>
                    <w:t>סוופ</w:t>
                  </w:r>
                  <w:proofErr w:type="spellEnd"/>
                  <w:r w:rsidRPr="00894D8A">
                    <w:rPr>
                      <w:rFonts w:asciiTheme="minorHAnsi" w:hAnsiTheme="minorHAnsi" w:cstheme="minorHAnsi"/>
                      <w:b/>
                      <w:bCs/>
                      <w:rtl/>
                    </w:rPr>
                    <w:t>) (2)</w:t>
                  </w:r>
                </w:p>
              </w:tc>
              <w:tc>
                <w:tcPr>
                  <w:tcW w:w="12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jc w:val="center"/>
                    <w:rPr>
                      <w:rFonts w:asciiTheme="minorHAnsi" w:hAnsiTheme="minorHAnsi" w:cstheme="minorHAnsi"/>
                      <w:b/>
                      <w:bCs/>
                      <w:rtl/>
                    </w:rPr>
                  </w:pPr>
                  <w:r w:rsidRPr="00894D8A">
                    <w:rPr>
                      <w:rFonts w:asciiTheme="minorHAnsi" w:hAnsiTheme="minorHAnsi" w:cstheme="minorHAnsi"/>
                      <w:b/>
                      <w:bCs/>
                      <w:rtl/>
                    </w:rPr>
                    <w:t xml:space="preserve"> עסקאות החלף </w:t>
                  </w:r>
                  <w:r w:rsidRPr="00894D8A">
                    <w:rPr>
                      <w:rFonts w:asciiTheme="minorHAnsi" w:hAnsiTheme="minorHAnsi" w:cstheme="minorHAnsi"/>
                      <w:b/>
                      <w:bCs/>
                      <w:vertAlign w:val="superscript"/>
                      <w:rtl/>
                    </w:rPr>
                    <w:t>2</w:t>
                  </w:r>
                  <w:r w:rsidRPr="00894D8A">
                    <w:rPr>
                      <w:rFonts w:asciiTheme="minorHAnsi" w:hAnsiTheme="minorHAnsi" w:cstheme="minorHAnsi"/>
                      <w:b/>
                      <w:bCs/>
                      <w:rtl/>
                    </w:rPr>
                    <w:t xml:space="preserve"> </w:t>
                  </w:r>
                  <w:r w:rsidRPr="00894D8A">
                    <w:rPr>
                      <w:rFonts w:asciiTheme="minorHAnsi" w:hAnsiTheme="minorHAnsi" w:cstheme="minorHAnsi"/>
                      <w:b/>
                      <w:bCs/>
                    </w:rPr>
                    <w:t>Cross Currency Swap</w:t>
                  </w:r>
                  <w:r w:rsidRPr="00894D8A">
                    <w:rPr>
                      <w:rFonts w:asciiTheme="minorHAnsi" w:hAnsiTheme="minorHAnsi" w:cstheme="minorHAnsi"/>
                      <w:b/>
                      <w:bCs/>
                      <w:rtl/>
                    </w:rPr>
                    <w:t xml:space="preserve"> (3)</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jc w:val="center"/>
                    <w:rPr>
                      <w:rFonts w:asciiTheme="minorHAnsi" w:hAnsiTheme="minorHAnsi" w:cstheme="minorHAnsi"/>
                      <w:b/>
                      <w:bCs/>
                      <w:rtl/>
                    </w:rPr>
                  </w:pPr>
                  <w:r w:rsidRPr="00894D8A">
                    <w:rPr>
                      <w:rFonts w:asciiTheme="minorHAnsi" w:hAnsiTheme="minorHAnsi" w:cstheme="minorHAnsi"/>
                      <w:b/>
                      <w:bCs/>
                      <w:rtl/>
                    </w:rPr>
                    <w:t>עסקאות באופציות</w:t>
                  </w:r>
                  <w:r w:rsidRPr="00894D8A">
                    <w:rPr>
                      <w:rFonts w:asciiTheme="minorHAnsi" w:hAnsiTheme="minorHAnsi" w:cstheme="minorHAnsi"/>
                      <w:b/>
                      <w:bCs/>
                      <w:vertAlign w:val="superscript"/>
                      <w:rtl/>
                    </w:rPr>
                    <w:t>3</w:t>
                  </w:r>
                  <w:r w:rsidRPr="00894D8A">
                    <w:rPr>
                      <w:rFonts w:asciiTheme="minorHAnsi" w:hAnsiTheme="minorHAnsi" w:cstheme="minorHAnsi"/>
                      <w:b/>
                      <w:bCs/>
                      <w:rtl/>
                    </w:rPr>
                    <w:t xml:space="preserve"> (4)</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jc w:val="center"/>
                    <w:rPr>
                      <w:rFonts w:asciiTheme="minorHAnsi" w:hAnsiTheme="minorHAnsi" w:cstheme="minorHAnsi"/>
                      <w:b/>
                      <w:bCs/>
                      <w:rtl/>
                    </w:rPr>
                  </w:pPr>
                  <w:r w:rsidRPr="00894D8A">
                    <w:rPr>
                      <w:rFonts w:asciiTheme="minorHAnsi" w:hAnsiTheme="minorHAnsi" w:cstheme="minorHAnsi"/>
                      <w:b/>
                      <w:bCs/>
                      <w:rtl/>
                    </w:rPr>
                    <w:t>נפח המסחר הכולל (1)+(2)+(3)+(4)</w:t>
                  </w:r>
                </w:p>
              </w:tc>
            </w:tr>
            <w:tr w:rsidR="00894D8A" w:rsidRPr="00894D8A" w:rsidTr="0034318D">
              <w:trPr>
                <w:trHeight w:val="210"/>
              </w:trPr>
              <w:tc>
                <w:tcPr>
                  <w:tcW w:w="1069" w:type="dxa"/>
                  <w:vMerge w:val="restart"/>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jc w:val="center"/>
                    <w:rPr>
                      <w:rFonts w:asciiTheme="minorHAnsi" w:hAnsiTheme="minorHAnsi" w:cstheme="minorHAnsi"/>
                      <w:b/>
                      <w:bCs/>
                    </w:rPr>
                  </w:pPr>
                  <w:r w:rsidRPr="00894D8A">
                    <w:rPr>
                      <w:rFonts w:asciiTheme="minorHAnsi" w:hAnsiTheme="minorHAnsi" w:cstheme="minorHAnsi"/>
                      <w:b/>
                      <w:bCs/>
                      <w:rtl/>
                    </w:rPr>
                    <w:t>רבעון שלישי 2026  (נתון ארעי)</w:t>
                  </w:r>
                </w:p>
              </w:tc>
              <w:tc>
                <w:tcPr>
                  <w:tcW w:w="3298"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bidi/>
                    <w:rPr>
                      <w:rFonts w:asciiTheme="minorHAnsi" w:hAnsiTheme="minorHAnsi" w:cstheme="minorHAnsi"/>
                      <w:b/>
                      <w:bCs/>
                      <w:rtl/>
                    </w:rPr>
                  </w:pPr>
                  <w:r w:rsidRPr="00894D8A">
                    <w:rPr>
                      <w:rFonts w:asciiTheme="minorHAnsi" w:hAnsiTheme="minorHAnsi" w:cstheme="minorHAnsi"/>
                      <w:b/>
                      <w:bCs/>
                      <w:rtl/>
                    </w:rPr>
                    <w:t>סה"כ</w:t>
                  </w:r>
                </w:p>
              </w:tc>
              <w:tc>
                <w:tcPr>
                  <w:tcW w:w="895"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241,401 </w:t>
                  </w:r>
                </w:p>
              </w:tc>
              <w:tc>
                <w:tcPr>
                  <w:tcW w:w="866"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733,942 </w:t>
                  </w:r>
                </w:p>
              </w:tc>
              <w:tc>
                <w:tcPr>
                  <w:tcW w:w="1224"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4,323 </w:t>
                  </w:r>
                </w:p>
              </w:tc>
              <w:tc>
                <w:tcPr>
                  <w:tcW w:w="892"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29,105 </w:t>
                  </w:r>
                </w:p>
              </w:tc>
              <w:tc>
                <w:tcPr>
                  <w:tcW w:w="1303"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1,008,771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bidi/>
                    <w:rPr>
                      <w:rFonts w:asciiTheme="minorHAnsi" w:hAnsiTheme="minorHAnsi" w:cstheme="minorHAnsi"/>
                      <w:b/>
                      <w:bCs/>
                      <w:rtl/>
                    </w:rPr>
                  </w:pPr>
                  <w:r w:rsidRPr="00894D8A">
                    <w:rPr>
                      <w:rFonts w:asciiTheme="minorHAnsi" w:hAnsiTheme="minorHAnsi" w:cstheme="minorHAnsi"/>
                      <w:b/>
                      <w:bCs/>
                      <w:rtl/>
                    </w:rPr>
                    <w:t>סה"כ (ממוצע יומי לפי 63 ימי מסחר)</w:t>
                  </w:r>
                </w:p>
              </w:tc>
              <w:tc>
                <w:tcPr>
                  <w:tcW w:w="895"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3,832 </w:t>
                  </w:r>
                </w:p>
              </w:tc>
              <w:tc>
                <w:tcPr>
                  <w:tcW w:w="866"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11,650 </w:t>
                  </w:r>
                </w:p>
              </w:tc>
              <w:tc>
                <w:tcPr>
                  <w:tcW w:w="1224"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69 </w:t>
                  </w:r>
                </w:p>
              </w:tc>
              <w:tc>
                <w:tcPr>
                  <w:tcW w:w="892"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462 </w:t>
                  </w:r>
                </w:p>
              </w:tc>
              <w:tc>
                <w:tcPr>
                  <w:tcW w:w="1303"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16,012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תושבי חוץ</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92,421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314,369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1,136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9,483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417,408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מזה: מוסדות פיננסיים זרים</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91,436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314,369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1,136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9,476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416,417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תושבי ישראל</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148,980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419,573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3,187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19,622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591,363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מזה: סקטור ריאלי</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56,625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41,009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469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12,095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110,198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 xml:space="preserve">         סקטור פיננסי</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38,758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178,877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878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794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219,306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 xml:space="preserve">         מוסדיים (כולל חברות ביטוח)</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27,416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169,576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0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4,026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201,018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 xml:space="preserve">         יחידים</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7,885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4,766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0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85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12,737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 xml:space="preserve">         אחרים4</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985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0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0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7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992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 xml:space="preserve">         בנקים מקומיים5</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10,327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14,200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242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2,035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26,804 </w:t>
                  </w:r>
                </w:p>
              </w:tc>
            </w:tr>
            <w:tr w:rsidR="00894D8A" w:rsidRPr="00894D8A" w:rsidTr="0034318D">
              <w:trPr>
                <w:trHeight w:val="210"/>
              </w:trPr>
              <w:tc>
                <w:tcPr>
                  <w:tcW w:w="1069" w:type="dxa"/>
                  <w:vMerge w:val="restart"/>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jc w:val="center"/>
                    <w:rPr>
                      <w:rFonts w:asciiTheme="minorHAnsi" w:hAnsiTheme="minorHAnsi" w:cstheme="minorHAnsi"/>
                      <w:b/>
                      <w:bCs/>
                    </w:rPr>
                  </w:pPr>
                  <w:r w:rsidRPr="00894D8A">
                    <w:rPr>
                      <w:rFonts w:asciiTheme="minorHAnsi" w:hAnsiTheme="minorHAnsi" w:cstheme="minorHAnsi"/>
                      <w:b/>
                      <w:bCs/>
                      <w:rtl/>
                    </w:rPr>
                    <w:t>רבעון שני 2026</w:t>
                  </w:r>
                </w:p>
              </w:tc>
              <w:tc>
                <w:tcPr>
                  <w:tcW w:w="3298"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bidi/>
                    <w:rPr>
                      <w:rFonts w:asciiTheme="minorHAnsi" w:hAnsiTheme="minorHAnsi" w:cstheme="minorHAnsi"/>
                      <w:b/>
                      <w:bCs/>
                      <w:rtl/>
                    </w:rPr>
                  </w:pPr>
                  <w:r w:rsidRPr="00894D8A">
                    <w:rPr>
                      <w:rFonts w:asciiTheme="minorHAnsi" w:hAnsiTheme="minorHAnsi" w:cstheme="minorHAnsi"/>
                      <w:b/>
                      <w:bCs/>
                      <w:rtl/>
                    </w:rPr>
                    <w:t>סה"כ</w:t>
                  </w:r>
                </w:p>
              </w:tc>
              <w:tc>
                <w:tcPr>
                  <w:tcW w:w="895"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281,076 </w:t>
                  </w:r>
                </w:p>
              </w:tc>
              <w:tc>
                <w:tcPr>
                  <w:tcW w:w="866"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685,734 </w:t>
                  </w:r>
                </w:p>
              </w:tc>
              <w:tc>
                <w:tcPr>
                  <w:tcW w:w="1224"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1,857 </w:t>
                  </w:r>
                </w:p>
              </w:tc>
              <w:tc>
                <w:tcPr>
                  <w:tcW w:w="892"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35,845 </w:t>
                  </w:r>
                </w:p>
              </w:tc>
              <w:tc>
                <w:tcPr>
                  <w:tcW w:w="1303"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1,004,512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סה"כ (ממוצע יומי לפי 57 ימי מסחר)</w:t>
                  </w:r>
                </w:p>
              </w:tc>
              <w:tc>
                <w:tcPr>
                  <w:tcW w:w="895"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4,931 </w:t>
                  </w:r>
                </w:p>
              </w:tc>
              <w:tc>
                <w:tcPr>
                  <w:tcW w:w="866"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12,030 </w:t>
                  </w:r>
                </w:p>
              </w:tc>
              <w:tc>
                <w:tcPr>
                  <w:tcW w:w="1224"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33 </w:t>
                  </w:r>
                </w:p>
              </w:tc>
              <w:tc>
                <w:tcPr>
                  <w:tcW w:w="892"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629 </w:t>
                  </w:r>
                </w:p>
              </w:tc>
              <w:tc>
                <w:tcPr>
                  <w:tcW w:w="1303" w:type="dxa"/>
                  <w:tcBorders>
                    <w:top w:val="nil"/>
                    <w:left w:val="single" w:sz="4" w:space="0" w:color="auto"/>
                    <w:bottom w:val="single" w:sz="4" w:space="0" w:color="auto"/>
                    <w:right w:val="single" w:sz="4" w:space="0" w:color="auto"/>
                  </w:tcBorders>
                  <w:shd w:val="clear" w:color="000000" w:fill="D9D9D9"/>
                  <w:vAlign w:val="center"/>
                  <w:hideMark/>
                </w:tcPr>
                <w:p w:rsidR="00894D8A" w:rsidRPr="00894D8A" w:rsidRDefault="00894D8A" w:rsidP="0034318D">
                  <w:pPr>
                    <w:jc w:val="center"/>
                    <w:rPr>
                      <w:rFonts w:asciiTheme="minorHAnsi" w:hAnsiTheme="minorHAnsi" w:cstheme="minorHAnsi"/>
                      <w:b/>
                      <w:bCs/>
                    </w:rPr>
                  </w:pPr>
                  <w:r w:rsidRPr="00894D8A">
                    <w:rPr>
                      <w:rFonts w:asciiTheme="minorHAnsi" w:hAnsiTheme="minorHAnsi" w:cstheme="minorHAnsi"/>
                      <w:b/>
                      <w:bCs/>
                    </w:rPr>
                    <w:t xml:space="preserve">17,623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תושבי חוץ</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105,280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248,274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1,008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8,957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363,518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מזה: מוסדות פיננסיים זרים</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104,406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248,274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1,008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8,846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362,534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תושבי ישראל</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175,796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437,460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849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26,888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640,994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מזה: סקטור ריאלי</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58,807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37,010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479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15,064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111,361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 xml:space="preserve">         סקטור פיננסי</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49,440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208,856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59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1,910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260,265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 xml:space="preserve">         מוסדיים (כולל חברות ביטוח)</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39,110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139,285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0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6,216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184,611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 xml:space="preserve">         יחידים</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7,904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3,318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0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90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11,312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 xml:space="preserve">         אחרים4</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873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0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0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111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985 </w:t>
                  </w:r>
                </w:p>
              </w:tc>
            </w:tr>
            <w:tr w:rsidR="00894D8A" w:rsidRPr="00894D8A" w:rsidTr="0034318D">
              <w:trPr>
                <w:trHeight w:val="210"/>
              </w:trPr>
              <w:tc>
                <w:tcPr>
                  <w:tcW w:w="1069" w:type="dxa"/>
                  <w:vMerge/>
                  <w:tcBorders>
                    <w:top w:val="nil"/>
                    <w:left w:val="single" w:sz="4" w:space="0" w:color="auto"/>
                    <w:bottom w:val="single" w:sz="4" w:space="0" w:color="auto"/>
                    <w:right w:val="single" w:sz="4" w:space="0" w:color="auto"/>
                  </w:tcBorders>
                  <w:vAlign w:val="center"/>
                  <w:hideMark/>
                </w:tcPr>
                <w:p w:rsidR="00894D8A" w:rsidRPr="00894D8A" w:rsidRDefault="00894D8A" w:rsidP="0034318D">
                  <w:pPr>
                    <w:bidi/>
                    <w:rPr>
                      <w:rFonts w:asciiTheme="minorHAnsi" w:hAnsiTheme="minorHAnsi" w:cstheme="minorHAnsi"/>
                      <w:b/>
                      <w:bCs/>
                    </w:rPr>
                  </w:pPr>
                </w:p>
              </w:tc>
              <w:tc>
                <w:tcPr>
                  <w:tcW w:w="3298"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bidi/>
                    <w:rPr>
                      <w:rFonts w:asciiTheme="minorHAnsi" w:hAnsiTheme="minorHAnsi" w:cstheme="minorHAnsi"/>
                      <w:b/>
                      <w:bCs/>
                    </w:rPr>
                  </w:pPr>
                  <w:r w:rsidRPr="00894D8A">
                    <w:rPr>
                      <w:rFonts w:asciiTheme="minorHAnsi" w:hAnsiTheme="minorHAnsi" w:cstheme="minorHAnsi"/>
                      <w:b/>
                      <w:bCs/>
                      <w:rtl/>
                    </w:rPr>
                    <w:t xml:space="preserve">         בנקים מקומיים5</w:t>
                  </w:r>
                </w:p>
              </w:tc>
              <w:tc>
                <w:tcPr>
                  <w:tcW w:w="895"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11,876 </w:t>
                  </w:r>
                </w:p>
              </w:tc>
              <w:tc>
                <w:tcPr>
                  <w:tcW w:w="866"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20,747 </w:t>
                  </w:r>
                </w:p>
              </w:tc>
              <w:tc>
                <w:tcPr>
                  <w:tcW w:w="1224"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81 </w:t>
                  </w:r>
                </w:p>
              </w:tc>
              <w:tc>
                <w:tcPr>
                  <w:tcW w:w="892"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2,959 </w:t>
                  </w:r>
                </w:p>
              </w:tc>
              <w:tc>
                <w:tcPr>
                  <w:tcW w:w="1303" w:type="dxa"/>
                  <w:tcBorders>
                    <w:top w:val="nil"/>
                    <w:left w:val="single" w:sz="4" w:space="0" w:color="auto"/>
                    <w:bottom w:val="single" w:sz="4" w:space="0" w:color="auto"/>
                    <w:right w:val="single" w:sz="4" w:space="0" w:color="auto"/>
                  </w:tcBorders>
                  <w:shd w:val="clear" w:color="auto" w:fill="auto"/>
                  <w:vAlign w:val="center"/>
                  <w:hideMark/>
                </w:tcPr>
                <w:p w:rsidR="00894D8A" w:rsidRPr="00894D8A" w:rsidRDefault="00894D8A" w:rsidP="0034318D">
                  <w:pPr>
                    <w:jc w:val="center"/>
                    <w:rPr>
                      <w:rFonts w:asciiTheme="minorHAnsi" w:hAnsiTheme="minorHAnsi" w:cstheme="minorHAnsi"/>
                    </w:rPr>
                  </w:pPr>
                  <w:r w:rsidRPr="00894D8A">
                    <w:rPr>
                      <w:rFonts w:asciiTheme="minorHAnsi" w:hAnsiTheme="minorHAnsi" w:cstheme="minorHAnsi"/>
                    </w:rPr>
                    <w:t xml:space="preserve">35,663 </w:t>
                  </w:r>
                </w:p>
              </w:tc>
            </w:tr>
          </w:tbl>
          <w:p w:rsidR="00894D8A" w:rsidRPr="00894D8A" w:rsidRDefault="00894D8A" w:rsidP="0034318D">
            <w:pPr>
              <w:bidi/>
              <w:jc w:val="center"/>
              <w:rPr>
                <w:rFonts w:asciiTheme="minorHAnsi" w:hAnsiTheme="minorHAnsi" w:cstheme="minorHAnsi"/>
                <w:b/>
                <w:bCs/>
              </w:rPr>
            </w:pPr>
          </w:p>
        </w:tc>
      </w:tr>
      <w:tr w:rsidR="00894D8A" w:rsidRPr="00894D8A" w:rsidTr="0034318D">
        <w:trPr>
          <w:trHeight w:val="45"/>
        </w:trPr>
        <w:tc>
          <w:tcPr>
            <w:tcW w:w="978" w:type="dxa"/>
            <w:tcBorders>
              <w:top w:val="nil"/>
              <w:left w:val="nil"/>
              <w:bottom w:val="nil"/>
              <w:right w:val="nil"/>
            </w:tcBorders>
            <w:shd w:val="clear" w:color="auto" w:fill="auto"/>
            <w:noWrap/>
            <w:vAlign w:val="bottom"/>
            <w:hideMark/>
          </w:tcPr>
          <w:p w:rsidR="00894D8A" w:rsidRPr="00894D8A" w:rsidRDefault="00894D8A" w:rsidP="0034318D">
            <w:pPr>
              <w:bidi/>
              <w:jc w:val="center"/>
              <w:rPr>
                <w:rFonts w:asciiTheme="minorHAnsi" w:hAnsiTheme="minorHAnsi" w:cstheme="minorHAnsi"/>
                <w:b/>
                <w:bCs/>
                <w:rtl/>
              </w:rPr>
            </w:pPr>
          </w:p>
        </w:tc>
        <w:tc>
          <w:tcPr>
            <w:tcW w:w="2786" w:type="dxa"/>
            <w:tcBorders>
              <w:top w:val="nil"/>
              <w:left w:val="nil"/>
              <w:bottom w:val="nil"/>
              <w:right w:val="nil"/>
            </w:tcBorders>
            <w:shd w:val="clear" w:color="auto" w:fill="auto"/>
            <w:noWrap/>
            <w:vAlign w:val="bottom"/>
            <w:hideMark/>
          </w:tcPr>
          <w:p w:rsidR="00894D8A" w:rsidRPr="00894D8A" w:rsidRDefault="00894D8A" w:rsidP="0034318D">
            <w:pPr>
              <w:jc w:val="center"/>
              <w:rPr>
                <w:rFonts w:asciiTheme="minorHAnsi" w:hAnsiTheme="minorHAnsi" w:cstheme="minorHAnsi"/>
              </w:rPr>
            </w:pPr>
          </w:p>
        </w:tc>
        <w:tc>
          <w:tcPr>
            <w:tcW w:w="995" w:type="dxa"/>
            <w:tcBorders>
              <w:top w:val="nil"/>
              <w:left w:val="nil"/>
              <w:bottom w:val="nil"/>
              <w:right w:val="nil"/>
            </w:tcBorders>
            <w:shd w:val="clear" w:color="auto" w:fill="auto"/>
            <w:noWrap/>
            <w:vAlign w:val="bottom"/>
            <w:hideMark/>
          </w:tcPr>
          <w:p w:rsidR="00894D8A" w:rsidRPr="00894D8A" w:rsidRDefault="00894D8A" w:rsidP="0034318D">
            <w:pPr>
              <w:jc w:val="center"/>
              <w:rPr>
                <w:rFonts w:asciiTheme="minorHAnsi" w:hAnsiTheme="minorHAnsi" w:cstheme="minorHAnsi"/>
              </w:rPr>
            </w:pPr>
          </w:p>
        </w:tc>
        <w:tc>
          <w:tcPr>
            <w:tcW w:w="927" w:type="dxa"/>
            <w:tcBorders>
              <w:top w:val="nil"/>
              <w:left w:val="nil"/>
              <w:bottom w:val="nil"/>
              <w:right w:val="nil"/>
            </w:tcBorders>
            <w:shd w:val="clear" w:color="auto" w:fill="auto"/>
            <w:noWrap/>
            <w:vAlign w:val="bottom"/>
            <w:hideMark/>
          </w:tcPr>
          <w:p w:rsidR="00894D8A" w:rsidRPr="00894D8A" w:rsidRDefault="00894D8A" w:rsidP="0034318D">
            <w:pPr>
              <w:jc w:val="center"/>
              <w:rPr>
                <w:rFonts w:asciiTheme="minorHAnsi" w:hAnsiTheme="minorHAnsi" w:cstheme="minorHAnsi"/>
              </w:rPr>
            </w:pPr>
          </w:p>
        </w:tc>
        <w:tc>
          <w:tcPr>
            <w:tcW w:w="1353" w:type="dxa"/>
            <w:tcBorders>
              <w:top w:val="nil"/>
              <w:left w:val="nil"/>
              <w:bottom w:val="nil"/>
              <w:right w:val="nil"/>
            </w:tcBorders>
            <w:shd w:val="clear" w:color="auto" w:fill="auto"/>
            <w:noWrap/>
            <w:vAlign w:val="bottom"/>
            <w:hideMark/>
          </w:tcPr>
          <w:p w:rsidR="00894D8A" w:rsidRPr="00894D8A" w:rsidRDefault="00894D8A" w:rsidP="0034318D">
            <w:pPr>
              <w:jc w:val="center"/>
              <w:rPr>
                <w:rFonts w:asciiTheme="minorHAnsi" w:hAnsiTheme="minorHAnsi" w:cstheme="minorHAnsi"/>
              </w:rPr>
            </w:pPr>
          </w:p>
        </w:tc>
        <w:tc>
          <w:tcPr>
            <w:tcW w:w="1065" w:type="dxa"/>
            <w:tcBorders>
              <w:top w:val="nil"/>
              <w:left w:val="nil"/>
              <w:bottom w:val="nil"/>
              <w:right w:val="nil"/>
            </w:tcBorders>
            <w:shd w:val="clear" w:color="auto" w:fill="auto"/>
            <w:noWrap/>
            <w:vAlign w:val="bottom"/>
            <w:hideMark/>
          </w:tcPr>
          <w:p w:rsidR="00894D8A" w:rsidRPr="00894D8A" w:rsidRDefault="00894D8A" w:rsidP="0034318D">
            <w:pPr>
              <w:jc w:val="center"/>
              <w:rPr>
                <w:rFonts w:asciiTheme="minorHAnsi" w:hAnsiTheme="minorHAnsi" w:cstheme="minorHAnsi"/>
              </w:rPr>
            </w:pPr>
          </w:p>
        </w:tc>
        <w:tc>
          <w:tcPr>
            <w:tcW w:w="1562" w:type="dxa"/>
            <w:tcBorders>
              <w:top w:val="nil"/>
              <w:left w:val="nil"/>
              <w:bottom w:val="nil"/>
              <w:right w:val="nil"/>
            </w:tcBorders>
            <w:shd w:val="clear" w:color="auto" w:fill="auto"/>
            <w:noWrap/>
            <w:vAlign w:val="bottom"/>
            <w:hideMark/>
          </w:tcPr>
          <w:p w:rsidR="00894D8A" w:rsidRPr="00894D8A" w:rsidRDefault="00894D8A" w:rsidP="0034318D">
            <w:pPr>
              <w:jc w:val="center"/>
              <w:rPr>
                <w:rFonts w:asciiTheme="minorHAnsi" w:hAnsiTheme="minorHAnsi" w:cstheme="minorHAnsi"/>
              </w:rPr>
            </w:pPr>
          </w:p>
        </w:tc>
      </w:tr>
      <w:tr w:rsidR="00894D8A" w:rsidRPr="00894D8A" w:rsidTr="0034318D">
        <w:trPr>
          <w:trHeight w:val="45"/>
        </w:trPr>
        <w:tc>
          <w:tcPr>
            <w:tcW w:w="978" w:type="dxa"/>
            <w:tcBorders>
              <w:top w:val="nil"/>
              <w:left w:val="nil"/>
              <w:bottom w:val="nil"/>
              <w:right w:val="nil"/>
            </w:tcBorders>
            <w:shd w:val="clear" w:color="auto" w:fill="auto"/>
            <w:vAlign w:val="center"/>
          </w:tcPr>
          <w:p w:rsidR="00894D8A" w:rsidRPr="00894D8A" w:rsidRDefault="00894D8A" w:rsidP="0034318D">
            <w:pPr>
              <w:jc w:val="center"/>
              <w:rPr>
                <w:rFonts w:asciiTheme="minorHAnsi" w:hAnsiTheme="minorHAnsi" w:cstheme="minorHAnsi"/>
              </w:rPr>
            </w:pPr>
          </w:p>
        </w:tc>
        <w:tc>
          <w:tcPr>
            <w:tcW w:w="2786" w:type="dxa"/>
            <w:tcBorders>
              <w:top w:val="nil"/>
              <w:left w:val="nil"/>
              <w:bottom w:val="nil"/>
              <w:right w:val="nil"/>
            </w:tcBorders>
            <w:shd w:val="clear" w:color="auto" w:fill="auto"/>
            <w:noWrap/>
            <w:vAlign w:val="bottom"/>
          </w:tcPr>
          <w:p w:rsidR="00894D8A" w:rsidRPr="00894D8A" w:rsidRDefault="00894D8A" w:rsidP="0034318D">
            <w:pPr>
              <w:rPr>
                <w:rFonts w:asciiTheme="minorHAnsi" w:hAnsiTheme="minorHAnsi" w:cstheme="minorHAnsi"/>
                <w:sz w:val="18"/>
                <w:szCs w:val="18"/>
              </w:rPr>
            </w:pPr>
          </w:p>
        </w:tc>
        <w:tc>
          <w:tcPr>
            <w:tcW w:w="995" w:type="dxa"/>
            <w:tcBorders>
              <w:top w:val="nil"/>
              <w:left w:val="nil"/>
              <w:bottom w:val="nil"/>
              <w:right w:val="nil"/>
            </w:tcBorders>
            <w:shd w:val="clear" w:color="auto" w:fill="auto"/>
            <w:noWrap/>
            <w:vAlign w:val="bottom"/>
          </w:tcPr>
          <w:p w:rsidR="00894D8A" w:rsidRPr="00894D8A" w:rsidRDefault="00894D8A" w:rsidP="0034318D">
            <w:pPr>
              <w:rPr>
                <w:rFonts w:asciiTheme="minorHAnsi" w:hAnsiTheme="minorHAnsi" w:cstheme="minorHAnsi"/>
                <w:sz w:val="18"/>
                <w:szCs w:val="18"/>
              </w:rPr>
            </w:pPr>
          </w:p>
        </w:tc>
        <w:tc>
          <w:tcPr>
            <w:tcW w:w="927" w:type="dxa"/>
            <w:tcBorders>
              <w:top w:val="nil"/>
              <w:left w:val="nil"/>
              <w:bottom w:val="nil"/>
              <w:right w:val="nil"/>
            </w:tcBorders>
            <w:shd w:val="clear" w:color="auto" w:fill="auto"/>
            <w:noWrap/>
            <w:vAlign w:val="bottom"/>
          </w:tcPr>
          <w:p w:rsidR="00894D8A" w:rsidRPr="00894D8A" w:rsidRDefault="00894D8A" w:rsidP="0034318D">
            <w:pPr>
              <w:rPr>
                <w:rFonts w:asciiTheme="minorHAnsi" w:hAnsiTheme="minorHAnsi" w:cstheme="minorHAnsi"/>
                <w:sz w:val="18"/>
                <w:szCs w:val="18"/>
              </w:rPr>
            </w:pPr>
          </w:p>
        </w:tc>
        <w:tc>
          <w:tcPr>
            <w:tcW w:w="1353" w:type="dxa"/>
            <w:tcBorders>
              <w:top w:val="nil"/>
              <w:left w:val="nil"/>
              <w:bottom w:val="nil"/>
              <w:right w:val="nil"/>
            </w:tcBorders>
            <w:shd w:val="clear" w:color="auto" w:fill="auto"/>
            <w:noWrap/>
            <w:vAlign w:val="bottom"/>
          </w:tcPr>
          <w:p w:rsidR="00894D8A" w:rsidRPr="00894D8A" w:rsidRDefault="00894D8A" w:rsidP="0034318D">
            <w:pPr>
              <w:rPr>
                <w:rFonts w:asciiTheme="minorHAnsi" w:hAnsiTheme="minorHAnsi" w:cstheme="minorHAnsi"/>
                <w:sz w:val="18"/>
                <w:szCs w:val="18"/>
              </w:rPr>
            </w:pPr>
          </w:p>
        </w:tc>
        <w:tc>
          <w:tcPr>
            <w:tcW w:w="1065" w:type="dxa"/>
            <w:tcBorders>
              <w:top w:val="nil"/>
              <w:left w:val="nil"/>
              <w:bottom w:val="nil"/>
              <w:right w:val="nil"/>
            </w:tcBorders>
            <w:shd w:val="clear" w:color="auto" w:fill="auto"/>
            <w:noWrap/>
            <w:vAlign w:val="bottom"/>
          </w:tcPr>
          <w:p w:rsidR="00894D8A" w:rsidRPr="00894D8A" w:rsidRDefault="00894D8A" w:rsidP="0034318D">
            <w:pPr>
              <w:rPr>
                <w:rFonts w:asciiTheme="minorHAnsi" w:hAnsiTheme="minorHAnsi" w:cstheme="minorHAnsi"/>
                <w:sz w:val="18"/>
                <w:szCs w:val="18"/>
              </w:rPr>
            </w:pPr>
          </w:p>
        </w:tc>
        <w:tc>
          <w:tcPr>
            <w:tcW w:w="1562" w:type="dxa"/>
            <w:tcBorders>
              <w:top w:val="nil"/>
              <w:left w:val="nil"/>
              <w:bottom w:val="nil"/>
              <w:right w:val="nil"/>
            </w:tcBorders>
            <w:shd w:val="clear" w:color="auto" w:fill="auto"/>
            <w:noWrap/>
            <w:vAlign w:val="bottom"/>
          </w:tcPr>
          <w:p w:rsidR="00894D8A" w:rsidRPr="00894D8A" w:rsidRDefault="00894D8A" w:rsidP="0034318D">
            <w:pPr>
              <w:rPr>
                <w:rFonts w:asciiTheme="minorHAnsi" w:hAnsiTheme="minorHAnsi" w:cstheme="minorHAnsi"/>
                <w:sz w:val="18"/>
                <w:szCs w:val="18"/>
              </w:rPr>
            </w:pPr>
          </w:p>
        </w:tc>
      </w:tr>
      <w:tr w:rsidR="00894D8A" w:rsidRPr="00894D8A" w:rsidTr="0034318D">
        <w:trPr>
          <w:trHeight w:val="180"/>
        </w:trPr>
        <w:tc>
          <w:tcPr>
            <w:tcW w:w="978" w:type="dxa"/>
            <w:tcBorders>
              <w:top w:val="nil"/>
              <w:left w:val="nil"/>
              <w:bottom w:val="nil"/>
              <w:right w:val="nil"/>
            </w:tcBorders>
            <w:shd w:val="clear" w:color="auto" w:fill="auto"/>
            <w:noWrap/>
            <w:vAlign w:val="bottom"/>
            <w:hideMark/>
          </w:tcPr>
          <w:p w:rsidR="00894D8A" w:rsidRPr="00894D8A" w:rsidRDefault="00894D8A" w:rsidP="0034318D">
            <w:pPr>
              <w:rPr>
                <w:rFonts w:asciiTheme="minorHAnsi" w:hAnsiTheme="minorHAnsi" w:cstheme="minorHAnsi"/>
              </w:rPr>
            </w:pPr>
          </w:p>
        </w:tc>
        <w:tc>
          <w:tcPr>
            <w:tcW w:w="8688" w:type="dxa"/>
            <w:gridSpan w:val="6"/>
            <w:tcBorders>
              <w:top w:val="nil"/>
              <w:left w:val="nil"/>
              <w:bottom w:val="nil"/>
              <w:right w:val="nil"/>
            </w:tcBorders>
            <w:shd w:val="clear" w:color="auto" w:fill="auto"/>
            <w:noWrap/>
            <w:vAlign w:val="bottom"/>
            <w:hideMark/>
          </w:tcPr>
          <w:p w:rsidR="00894D8A" w:rsidRPr="00894D8A" w:rsidRDefault="00894D8A" w:rsidP="0034318D">
            <w:pPr>
              <w:bidi/>
              <w:rPr>
                <w:rFonts w:asciiTheme="minorHAnsi" w:hAnsiTheme="minorHAnsi" w:cstheme="minorHAnsi"/>
                <w:sz w:val="18"/>
                <w:szCs w:val="18"/>
                <w:rtl/>
              </w:rPr>
            </w:pPr>
            <w:r w:rsidRPr="00894D8A">
              <w:rPr>
                <w:rFonts w:asciiTheme="minorHAnsi" w:hAnsiTheme="minorHAnsi" w:cstheme="minorHAnsi"/>
                <w:sz w:val="18"/>
                <w:szCs w:val="18"/>
                <w:vertAlign w:val="superscript"/>
                <w:rtl/>
              </w:rPr>
              <w:t>1</w:t>
            </w:r>
            <w:r w:rsidRPr="00894D8A">
              <w:rPr>
                <w:rFonts w:asciiTheme="minorHAnsi" w:hAnsiTheme="minorHAnsi" w:cstheme="minorHAnsi"/>
                <w:sz w:val="18"/>
                <w:szCs w:val="18"/>
                <w:rtl/>
              </w:rPr>
              <w:t xml:space="preserve"> רגל אחת בלבד של עסקת החלף, כלומר הערך הנומינאלי של העסקה (בהתאם להגדרות ה- </w:t>
            </w:r>
            <w:r w:rsidRPr="00894D8A">
              <w:rPr>
                <w:rFonts w:asciiTheme="minorHAnsi" w:hAnsiTheme="minorHAnsi" w:cstheme="minorHAnsi"/>
                <w:sz w:val="18"/>
                <w:szCs w:val="18"/>
              </w:rPr>
              <w:t>BIS</w:t>
            </w:r>
            <w:r w:rsidRPr="00894D8A">
              <w:rPr>
                <w:rFonts w:asciiTheme="minorHAnsi" w:hAnsiTheme="minorHAnsi" w:cstheme="minorHAnsi"/>
                <w:sz w:val="18"/>
                <w:szCs w:val="18"/>
                <w:rtl/>
              </w:rPr>
              <w:t>).</w:t>
            </w:r>
          </w:p>
        </w:tc>
      </w:tr>
      <w:tr w:rsidR="00894D8A" w:rsidRPr="00894D8A" w:rsidTr="0034318D">
        <w:trPr>
          <w:trHeight w:val="180"/>
        </w:trPr>
        <w:tc>
          <w:tcPr>
            <w:tcW w:w="978" w:type="dxa"/>
            <w:tcBorders>
              <w:top w:val="nil"/>
              <w:left w:val="nil"/>
              <w:bottom w:val="nil"/>
              <w:right w:val="nil"/>
            </w:tcBorders>
            <w:shd w:val="clear" w:color="auto" w:fill="auto"/>
            <w:noWrap/>
            <w:vAlign w:val="bottom"/>
            <w:hideMark/>
          </w:tcPr>
          <w:p w:rsidR="00894D8A" w:rsidRPr="00894D8A" w:rsidRDefault="00894D8A" w:rsidP="0034318D">
            <w:pPr>
              <w:bidi/>
              <w:rPr>
                <w:rFonts w:asciiTheme="minorHAnsi" w:hAnsiTheme="minorHAnsi" w:cstheme="minorHAnsi"/>
                <w:rtl/>
              </w:rPr>
            </w:pPr>
          </w:p>
        </w:tc>
        <w:tc>
          <w:tcPr>
            <w:tcW w:w="8688" w:type="dxa"/>
            <w:gridSpan w:val="6"/>
            <w:tcBorders>
              <w:top w:val="nil"/>
              <w:left w:val="nil"/>
              <w:bottom w:val="nil"/>
              <w:right w:val="nil"/>
            </w:tcBorders>
            <w:shd w:val="clear" w:color="auto" w:fill="auto"/>
            <w:noWrap/>
            <w:vAlign w:val="bottom"/>
            <w:hideMark/>
          </w:tcPr>
          <w:p w:rsidR="00894D8A" w:rsidRPr="00894D8A" w:rsidRDefault="00894D8A" w:rsidP="0034318D">
            <w:pPr>
              <w:bidi/>
              <w:rPr>
                <w:rFonts w:asciiTheme="minorHAnsi" w:hAnsiTheme="minorHAnsi" w:cstheme="minorHAnsi"/>
                <w:sz w:val="18"/>
                <w:szCs w:val="18"/>
              </w:rPr>
            </w:pPr>
            <w:r w:rsidRPr="00894D8A">
              <w:rPr>
                <w:rFonts w:asciiTheme="minorHAnsi" w:hAnsiTheme="minorHAnsi" w:cstheme="minorHAnsi"/>
                <w:sz w:val="18"/>
                <w:szCs w:val="18"/>
                <w:vertAlign w:val="superscript"/>
                <w:rtl/>
              </w:rPr>
              <w:t>2</w:t>
            </w:r>
            <w:r w:rsidRPr="00894D8A">
              <w:rPr>
                <w:rFonts w:asciiTheme="minorHAnsi" w:hAnsiTheme="minorHAnsi" w:cstheme="minorHAnsi"/>
                <w:sz w:val="18"/>
                <w:szCs w:val="18"/>
                <w:rtl/>
              </w:rPr>
              <w:t xml:space="preserve">הקרנות המוחלפות בעסקות </w:t>
            </w:r>
            <w:r w:rsidRPr="00894D8A">
              <w:rPr>
                <w:rFonts w:asciiTheme="minorHAnsi" w:hAnsiTheme="minorHAnsi" w:cstheme="minorHAnsi"/>
                <w:sz w:val="18"/>
                <w:szCs w:val="18"/>
              </w:rPr>
              <w:t>Cross Currency Swap</w:t>
            </w:r>
            <w:r w:rsidRPr="00894D8A">
              <w:rPr>
                <w:rFonts w:asciiTheme="minorHAnsi" w:hAnsiTheme="minorHAnsi" w:cstheme="minorHAnsi"/>
                <w:sz w:val="18"/>
                <w:szCs w:val="18"/>
                <w:rtl/>
              </w:rPr>
              <w:t xml:space="preserve"> יחושבו לצורך הנפח כרגל אחת בלבד, במקרים בהם הרגליים מקזזות זו את זו.</w:t>
            </w:r>
          </w:p>
        </w:tc>
      </w:tr>
      <w:tr w:rsidR="00894D8A" w:rsidRPr="00894D8A" w:rsidTr="0034318D">
        <w:trPr>
          <w:trHeight w:val="180"/>
        </w:trPr>
        <w:tc>
          <w:tcPr>
            <w:tcW w:w="978" w:type="dxa"/>
            <w:tcBorders>
              <w:top w:val="nil"/>
              <w:left w:val="nil"/>
              <w:bottom w:val="nil"/>
              <w:right w:val="nil"/>
            </w:tcBorders>
            <w:shd w:val="clear" w:color="auto" w:fill="auto"/>
            <w:noWrap/>
            <w:vAlign w:val="bottom"/>
            <w:hideMark/>
          </w:tcPr>
          <w:p w:rsidR="00894D8A" w:rsidRPr="00894D8A" w:rsidRDefault="00894D8A" w:rsidP="0034318D">
            <w:pPr>
              <w:bidi/>
              <w:rPr>
                <w:rFonts w:asciiTheme="minorHAnsi" w:hAnsiTheme="minorHAnsi" w:cstheme="minorHAnsi"/>
                <w:rtl/>
              </w:rPr>
            </w:pPr>
          </w:p>
        </w:tc>
        <w:tc>
          <w:tcPr>
            <w:tcW w:w="8688" w:type="dxa"/>
            <w:gridSpan w:val="6"/>
            <w:tcBorders>
              <w:top w:val="nil"/>
              <w:left w:val="nil"/>
              <w:bottom w:val="nil"/>
              <w:right w:val="nil"/>
            </w:tcBorders>
            <w:shd w:val="clear" w:color="auto" w:fill="auto"/>
            <w:noWrap/>
            <w:vAlign w:val="bottom"/>
            <w:hideMark/>
          </w:tcPr>
          <w:p w:rsidR="00894D8A" w:rsidRPr="00894D8A" w:rsidRDefault="00894D8A" w:rsidP="0034318D">
            <w:pPr>
              <w:bidi/>
              <w:rPr>
                <w:rFonts w:asciiTheme="minorHAnsi" w:hAnsiTheme="minorHAnsi" w:cstheme="minorHAnsi"/>
                <w:sz w:val="18"/>
                <w:szCs w:val="18"/>
              </w:rPr>
            </w:pPr>
            <w:bookmarkStart w:id="1" w:name="RANGE!B31"/>
            <w:r w:rsidRPr="00894D8A">
              <w:rPr>
                <w:rFonts w:asciiTheme="minorHAnsi" w:hAnsiTheme="minorHAnsi" w:cstheme="minorHAnsi"/>
                <w:sz w:val="18"/>
                <w:szCs w:val="18"/>
                <w:vertAlign w:val="superscript"/>
                <w:rtl/>
              </w:rPr>
              <w:t>3</w:t>
            </w:r>
            <w:r w:rsidRPr="00894D8A">
              <w:rPr>
                <w:rFonts w:asciiTheme="minorHAnsi" w:hAnsiTheme="minorHAnsi" w:cstheme="minorHAnsi"/>
                <w:sz w:val="18"/>
                <w:szCs w:val="18"/>
                <w:rtl/>
              </w:rPr>
              <w:t xml:space="preserve"> ה- </w:t>
            </w:r>
            <w:r w:rsidRPr="00894D8A">
              <w:rPr>
                <w:rFonts w:asciiTheme="minorHAnsi" w:hAnsiTheme="minorHAnsi" w:cstheme="minorHAnsi"/>
                <w:sz w:val="18"/>
                <w:szCs w:val="18"/>
              </w:rPr>
              <w:t>National value</w:t>
            </w:r>
            <w:r w:rsidRPr="00894D8A">
              <w:rPr>
                <w:rFonts w:asciiTheme="minorHAnsi" w:hAnsiTheme="minorHAnsi" w:cstheme="minorHAnsi"/>
                <w:sz w:val="18"/>
                <w:szCs w:val="18"/>
                <w:rtl/>
              </w:rPr>
              <w:t xml:space="preserve"> הכולל של עסקות קנייה ומכירה של </w:t>
            </w:r>
            <w:r w:rsidRPr="00894D8A">
              <w:rPr>
                <w:rFonts w:asciiTheme="minorHAnsi" w:hAnsiTheme="minorHAnsi" w:cstheme="minorHAnsi"/>
                <w:sz w:val="18"/>
                <w:szCs w:val="18"/>
              </w:rPr>
              <w:t>Call</w:t>
            </w:r>
            <w:r w:rsidRPr="00894D8A">
              <w:rPr>
                <w:rFonts w:asciiTheme="minorHAnsi" w:hAnsiTheme="minorHAnsi" w:cstheme="minorHAnsi"/>
                <w:sz w:val="18"/>
                <w:szCs w:val="18"/>
                <w:rtl/>
              </w:rPr>
              <w:t xml:space="preserve"> ו- </w:t>
            </w:r>
            <w:r w:rsidRPr="00894D8A">
              <w:rPr>
                <w:rFonts w:asciiTheme="minorHAnsi" w:hAnsiTheme="minorHAnsi" w:cstheme="minorHAnsi"/>
                <w:sz w:val="18"/>
                <w:szCs w:val="18"/>
              </w:rPr>
              <w:t>Put</w:t>
            </w:r>
            <w:r w:rsidRPr="00894D8A">
              <w:rPr>
                <w:rFonts w:asciiTheme="minorHAnsi" w:hAnsiTheme="minorHAnsi" w:cstheme="minorHAnsi"/>
                <w:sz w:val="18"/>
                <w:szCs w:val="18"/>
                <w:rtl/>
              </w:rPr>
              <w:t>.</w:t>
            </w:r>
            <w:bookmarkEnd w:id="1"/>
          </w:p>
        </w:tc>
      </w:tr>
      <w:tr w:rsidR="00894D8A" w:rsidRPr="00894D8A" w:rsidTr="0034318D">
        <w:trPr>
          <w:trHeight w:val="180"/>
        </w:trPr>
        <w:tc>
          <w:tcPr>
            <w:tcW w:w="978" w:type="dxa"/>
            <w:tcBorders>
              <w:top w:val="nil"/>
              <w:left w:val="nil"/>
              <w:bottom w:val="nil"/>
              <w:right w:val="nil"/>
            </w:tcBorders>
            <w:shd w:val="clear" w:color="auto" w:fill="auto"/>
            <w:noWrap/>
            <w:vAlign w:val="bottom"/>
            <w:hideMark/>
          </w:tcPr>
          <w:p w:rsidR="00894D8A" w:rsidRPr="00894D8A" w:rsidRDefault="00894D8A" w:rsidP="0034318D">
            <w:pPr>
              <w:bidi/>
              <w:rPr>
                <w:rFonts w:asciiTheme="minorHAnsi" w:hAnsiTheme="minorHAnsi" w:cstheme="minorHAnsi"/>
                <w:rtl/>
              </w:rPr>
            </w:pPr>
          </w:p>
        </w:tc>
        <w:tc>
          <w:tcPr>
            <w:tcW w:w="8688" w:type="dxa"/>
            <w:gridSpan w:val="6"/>
            <w:tcBorders>
              <w:top w:val="nil"/>
              <w:left w:val="nil"/>
              <w:bottom w:val="nil"/>
              <w:right w:val="nil"/>
            </w:tcBorders>
            <w:shd w:val="clear" w:color="auto" w:fill="auto"/>
            <w:noWrap/>
            <w:vAlign w:val="bottom"/>
            <w:hideMark/>
          </w:tcPr>
          <w:p w:rsidR="00894D8A" w:rsidRPr="00894D8A" w:rsidRDefault="00894D8A" w:rsidP="0034318D">
            <w:pPr>
              <w:bidi/>
              <w:rPr>
                <w:rFonts w:asciiTheme="minorHAnsi" w:hAnsiTheme="minorHAnsi" w:cstheme="minorHAnsi"/>
                <w:sz w:val="18"/>
                <w:szCs w:val="18"/>
              </w:rPr>
            </w:pPr>
            <w:bookmarkStart w:id="2" w:name="RANGE!B32"/>
            <w:r w:rsidRPr="00894D8A">
              <w:rPr>
                <w:rFonts w:asciiTheme="minorHAnsi" w:hAnsiTheme="minorHAnsi" w:cstheme="minorHAnsi"/>
                <w:sz w:val="18"/>
                <w:szCs w:val="18"/>
                <w:vertAlign w:val="superscript"/>
                <w:rtl/>
              </w:rPr>
              <w:t xml:space="preserve">4 </w:t>
            </w:r>
            <w:r w:rsidRPr="00894D8A">
              <w:rPr>
                <w:rFonts w:asciiTheme="minorHAnsi" w:hAnsiTheme="minorHAnsi" w:cstheme="minorHAnsi"/>
                <w:sz w:val="18"/>
                <w:szCs w:val="18"/>
                <w:rtl/>
              </w:rPr>
              <w:t>כולל גופים כמו מנהלי תיקים, מלכ"רים, מוסדות לאומיים וכאלו שלא נכללים ביתר הסעיפים.</w:t>
            </w:r>
            <w:bookmarkEnd w:id="2"/>
          </w:p>
        </w:tc>
      </w:tr>
      <w:tr w:rsidR="00894D8A" w:rsidRPr="00894D8A" w:rsidTr="0034318D">
        <w:trPr>
          <w:trHeight w:val="180"/>
        </w:trPr>
        <w:tc>
          <w:tcPr>
            <w:tcW w:w="978" w:type="dxa"/>
            <w:tcBorders>
              <w:top w:val="nil"/>
              <w:left w:val="nil"/>
              <w:bottom w:val="nil"/>
              <w:right w:val="nil"/>
            </w:tcBorders>
            <w:shd w:val="clear" w:color="auto" w:fill="auto"/>
            <w:noWrap/>
            <w:vAlign w:val="bottom"/>
            <w:hideMark/>
          </w:tcPr>
          <w:p w:rsidR="00894D8A" w:rsidRPr="00894D8A" w:rsidRDefault="00894D8A" w:rsidP="0034318D">
            <w:pPr>
              <w:bidi/>
              <w:rPr>
                <w:rFonts w:asciiTheme="minorHAnsi" w:hAnsiTheme="minorHAnsi" w:cstheme="minorHAnsi"/>
                <w:rtl/>
              </w:rPr>
            </w:pPr>
          </w:p>
        </w:tc>
        <w:tc>
          <w:tcPr>
            <w:tcW w:w="8688" w:type="dxa"/>
            <w:gridSpan w:val="6"/>
            <w:tcBorders>
              <w:top w:val="nil"/>
              <w:left w:val="nil"/>
              <w:bottom w:val="nil"/>
              <w:right w:val="nil"/>
            </w:tcBorders>
            <w:shd w:val="clear" w:color="auto" w:fill="auto"/>
            <w:noWrap/>
            <w:vAlign w:val="bottom"/>
            <w:hideMark/>
          </w:tcPr>
          <w:p w:rsidR="00894D8A" w:rsidRPr="00894D8A" w:rsidRDefault="00894D8A" w:rsidP="0034318D">
            <w:pPr>
              <w:bidi/>
              <w:rPr>
                <w:rFonts w:asciiTheme="minorHAnsi" w:hAnsiTheme="minorHAnsi" w:cstheme="minorHAnsi"/>
                <w:sz w:val="18"/>
                <w:szCs w:val="18"/>
              </w:rPr>
            </w:pPr>
            <w:bookmarkStart w:id="3" w:name="RANGE!B33"/>
            <w:r w:rsidRPr="00894D8A">
              <w:rPr>
                <w:rFonts w:asciiTheme="minorHAnsi" w:hAnsiTheme="minorHAnsi" w:cstheme="minorHAnsi"/>
                <w:b/>
                <w:bCs/>
                <w:sz w:val="18"/>
                <w:szCs w:val="18"/>
                <w:vertAlign w:val="superscript"/>
                <w:rtl/>
              </w:rPr>
              <w:t>5</w:t>
            </w:r>
            <w:r w:rsidRPr="00894D8A">
              <w:rPr>
                <w:rFonts w:asciiTheme="minorHAnsi" w:hAnsiTheme="minorHAnsi" w:cstheme="minorHAnsi"/>
                <w:sz w:val="18"/>
                <w:szCs w:val="18"/>
                <w:rtl/>
              </w:rPr>
              <w:t xml:space="preserve"> סך המסחר הבין בנקאי מחולק בשניים.</w:t>
            </w:r>
            <w:bookmarkEnd w:id="3"/>
          </w:p>
        </w:tc>
      </w:tr>
    </w:tbl>
    <w:p w:rsidR="00894D8A" w:rsidRPr="00894D8A" w:rsidRDefault="00894D8A" w:rsidP="00894D8A">
      <w:pPr>
        <w:pStyle w:val="2"/>
        <w:bidi/>
        <w:rPr>
          <w:rFonts w:asciiTheme="minorHAnsi" w:hAnsiTheme="minorHAnsi" w:cstheme="minorHAnsi"/>
          <w:sz w:val="24"/>
          <w:szCs w:val="24"/>
          <w:rtl/>
        </w:rPr>
      </w:pPr>
    </w:p>
    <w:p w:rsidR="00894D8A" w:rsidRPr="00894D8A" w:rsidRDefault="00894D8A" w:rsidP="00894D8A">
      <w:pPr>
        <w:bidi/>
        <w:rPr>
          <w:rFonts w:asciiTheme="minorHAnsi" w:hAnsiTheme="minorHAnsi" w:cstheme="minorHAnsi"/>
          <w:rtl/>
        </w:rPr>
      </w:pPr>
    </w:p>
    <w:p w:rsidR="00894D8A" w:rsidRPr="00894D8A" w:rsidRDefault="00894D8A" w:rsidP="00894D8A">
      <w:pPr>
        <w:pStyle w:val="2"/>
        <w:bidi/>
        <w:rPr>
          <w:rFonts w:asciiTheme="minorHAnsi" w:hAnsiTheme="minorHAnsi" w:cstheme="minorHAnsi"/>
          <w:sz w:val="24"/>
          <w:szCs w:val="24"/>
          <w:rtl/>
        </w:rPr>
      </w:pPr>
      <w:r w:rsidRPr="00894D8A">
        <w:rPr>
          <w:rFonts w:asciiTheme="minorHAnsi" w:hAnsiTheme="minorHAnsi" w:cstheme="minorHAnsi"/>
          <w:sz w:val="24"/>
          <w:szCs w:val="24"/>
          <w:rtl/>
        </w:rPr>
        <w:t>אומדן של נפח המסחר הכולל</w:t>
      </w:r>
      <w:r w:rsidRPr="00894D8A">
        <w:rPr>
          <w:rStyle w:val="af2"/>
          <w:rFonts w:asciiTheme="minorHAnsi" w:hAnsiTheme="minorHAnsi" w:cstheme="minorHAnsi"/>
          <w:sz w:val="24"/>
          <w:szCs w:val="24"/>
          <w:rtl/>
        </w:rPr>
        <w:footnoteReference w:id="4"/>
      </w:r>
      <w:r w:rsidRPr="00894D8A">
        <w:rPr>
          <w:rFonts w:asciiTheme="minorHAnsi" w:hAnsiTheme="minorHAnsi" w:cstheme="minorHAnsi"/>
          <w:sz w:val="24"/>
          <w:szCs w:val="24"/>
          <w:rtl/>
        </w:rPr>
        <w:t xml:space="preserve"> - מערכת הבנקאות המקומית ומדווחים זרים</w:t>
      </w:r>
    </w:p>
    <w:p w:rsidR="00894D8A" w:rsidRPr="00894D8A" w:rsidRDefault="00894D8A" w:rsidP="00894D8A">
      <w:pPr>
        <w:bidi/>
        <w:spacing w:line="360" w:lineRule="auto"/>
        <w:jc w:val="both"/>
        <w:rPr>
          <w:rFonts w:asciiTheme="minorHAnsi" w:hAnsiTheme="minorHAnsi" w:cstheme="minorHAnsi"/>
          <w:rtl/>
        </w:rPr>
      </w:pPr>
    </w:p>
    <w:p w:rsidR="00894D8A" w:rsidRPr="00894D8A" w:rsidRDefault="00894D8A" w:rsidP="00894D8A">
      <w:pPr>
        <w:bidi/>
        <w:spacing w:line="360" w:lineRule="auto"/>
        <w:jc w:val="both"/>
        <w:rPr>
          <w:rFonts w:asciiTheme="minorHAnsi" w:hAnsiTheme="minorHAnsi" w:cstheme="minorHAnsi"/>
          <w:color w:val="000000" w:themeColor="text1"/>
          <w:rtl/>
        </w:rPr>
      </w:pPr>
      <w:r w:rsidRPr="00894D8A">
        <w:rPr>
          <w:rFonts w:asciiTheme="minorHAnsi" w:hAnsiTheme="minorHAnsi" w:cstheme="minorHAnsi"/>
          <w:color w:val="000000" w:themeColor="text1"/>
          <w:rtl/>
        </w:rPr>
        <w:lastRenderedPageBreak/>
        <w:t>מאמידת הפעילות הכוללת בעסקאות מול השקל המשתקפת בדיווחי מערכת הבנקאות המקומית ומדווחים זרים עולה כי חלקם היחסי של תושבי חוץ בנפח המסחר בעסקאות המרה  (ללא עסקאות החלף ואופציות) עמד ברבעון השלישי על כ-87%,</w:t>
      </w:r>
      <w:r w:rsidRPr="00894D8A">
        <w:rPr>
          <w:rFonts w:asciiTheme="minorHAnsi" w:hAnsiTheme="minorHAnsi" w:cstheme="minorHAnsi"/>
          <w:b/>
          <w:bCs/>
          <w:color w:val="000000" w:themeColor="text1"/>
          <w:rtl/>
        </w:rPr>
        <w:t xml:space="preserve"> </w:t>
      </w:r>
      <w:r w:rsidRPr="00894D8A">
        <w:rPr>
          <w:rFonts w:asciiTheme="minorHAnsi" w:hAnsiTheme="minorHAnsi" w:cstheme="minorHAnsi"/>
          <w:color w:val="000000" w:themeColor="text1"/>
          <w:rtl/>
        </w:rPr>
        <w:t xml:space="preserve">כאשר המסחר בין זרים מהווה כ-79% מהנפח, שעמד על ממוצע יומי של </w:t>
      </w:r>
      <w:r w:rsidRPr="00894D8A">
        <w:rPr>
          <w:rFonts w:asciiTheme="minorHAnsi" w:hAnsiTheme="minorHAnsi" w:cstheme="minorHAnsi"/>
          <w:color w:val="000000" w:themeColor="text1"/>
        </w:rPr>
        <w:t xml:space="preserve"> </w:t>
      </w:r>
      <w:r w:rsidRPr="00894D8A">
        <w:rPr>
          <w:rFonts w:asciiTheme="minorHAnsi" w:hAnsiTheme="minorHAnsi" w:cstheme="minorHAnsi"/>
          <w:color w:val="000000" w:themeColor="text1"/>
          <w:rtl/>
        </w:rPr>
        <w:t xml:space="preserve">כ-19.8 מיליארדי דולרים. </w:t>
      </w:r>
    </w:p>
    <w:p w:rsidR="00894D8A" w:rsidRPr="00894D8A" w:rsidRDefault="00894D8A" w:rsidP="00894D8A">
      <w:pPr>
        <w:bidi/>
        <w:spacing w:line="360" w:lineRule="auto"/>
        <w:jc w:val="both"/>
        <w:rPr>
          <w:rFonts w:asciiTheme="minorHAnsi" w:hAnsiTheme="minorHAnsi" w:cstheme="minorHAnsi"/>
          <w:rtl/>
        </w:rPr>
      </w:pPr>
    </w:p>
    <w:tbl>
      <w:tblPr>
        <w:bidiVisual/>
        <w:tblW w:w="10160" w:type="dxa"/>
        <w:tblLook w:val="04A0" w:firstRow="1" w:lastRow="0" w:firstColumn="1" w:lastColumn="0" w:noHBand="0" w:noVBand="1"/>
      </w:tblPr>
      <w:tblGrid>
        <w:gridCol w:w="3366"/>
        <w:gridCol w:w="1055"/>
        <w:gridCol w:w="991"/>
        <w:gridCol w:w="994"/>
        <w:gridCol w:w="1060"/>
        <w:gridCol w:w="1407"/>
        <w:gridCol w:w="1287"/>
      </w:tblGrid>
      <w:tr w:rsidR="00894D8A" w:rsidRPr="00894D8A" w:rsidTr="0034318D">
        <w:trPr>
          <w:trHeight w:val="315"/>
        </w:trPr>
        <w:tc>
          <w:tcPr>
            <w:tcW w:w="3428" w:type="dxa"/>
            <w:tcBorders>
              <w:top w:val="single" w:sz="8" w:space="0" w:color="4F81BD"/>
              <w:left w:val="single" w:sz="8" w:space="0" w:color="4F81BD"/>
              <w:bottom w:val="single" w:sz="8" w:space="0" w:color="4F81BD"/>
              <w:right w:val="single" w:sz="8" w:space="0" w:color="4F81BD"/>
            </w:tcBorders>
            <w:shd w:val="clear" w:color="000000" w:fill="5B9BD5"/>
            <w:vAlign w:val="center"/>
            <w:hideMark/>
          </w:tcPr>
          <w:p w:rsidR="00894D8A" w:rsidRPr="00894D8A" w:rsidRDefault="00894D8A" w:rsidP="0034318D">
            <w:pPr>
              <w:bidi/>
              <w:jc w:val="center"/>
              <w:rPr>
                <w:rFonts w:asciiTheme="minorHAnsi" w:hAnsiTheme="minorHAnsi" w:cstheme="minorHAnsi"/>
                <w:b/>
                <w:bCs/>
                <w:color w:val="FFFFFF"/>
              </w:rPr>
            </w:pPr>
            <w:r w:rsidRPr="00894D8A">
              <w:rPr>
                <w:rFonts w:asciiTheme="minorHAnsi" w:hAnsiTheme="minorHAnsi" w:cstheme="minorHAnsi"/>
                <w:b/>
                <w:bCs/>
                <w:color w:val="FFFFFF"/>
                <w:rtl/>
              </w:rPr>
              <w:t> </w:t>
            </w:r>
          </w:p>
        </w:tc>
        <w:tc>
          <w:tcPr>
            <w:tcW w:w="996" w:type="dxa"/>
            <w:tcBorders>
              <w:top w:val="single" w:sz="8" w:space="0" w:color="4F81BD"/>
              <w:left w:val="single" w:sz="8" w:space="0" w:color="4F81BD"/>
              <w:bottom w:val="single" w:sz="8" w:space="0" w:color="4F81BD"/>
              <w:right w:val="nil"/>
            </w:tcBorders>
            <w:shd w:val="clear" w:color="000000" w:fill="5B9BD5"/>
            <w:vAlign w:val="center"/>
            <w:hideMark/>
          </w:tcPr>
          <w:p w:rsidR="00894D8A" w:rsidRPr="00894D8A" w:rsidRDefault="00894D8A" w:rsidP="0034318D">
            <w:pPr>
              <w:bidi/>
              <w:jc w:val="center"/>
              <w:rPr>
                <w:rFonts w:asciiTheme="minorHAnsi" w:hAnsiTheme="minorHAnsi" w:cstheme="minorHAnsi"/>
                <w:b/>
                <w:bCs/>
                <w:color w:val="FFFFFF"/>
                <w:rtl/>
              </w:rPr>
            </w:pPr>
            <w:r w:rsidRPr="00894D8A">
              <w:rPr>
                <w:rFonts w:asciiTheme="minorHAnsi" w:hAnsiTheme="minorHAnsi" w:cstheme="minorHAnsi"/>
                <w:b/>
                <w:bCs/>
                <w:color w:val="FFFFFF"/>
                <w:rtl/>
              </w:rPr>
              <w:t> </w:t>
            </w:r>
          </w:p>
        </w:tc>
        <w:tc>
          <w:tcPr>
            <w:tcW w:w="3030" w:type="dxa"/>
            <w:gridSpan w:val="3"/>
            <w:tcBorders>
              <w:top w:val="single" w:sz="8" w:space="0" w:color="4F81BD"/>
              <w:left w:val="single" w:sz="8" w:space="0" w:color="4F81BD"/>
              <w:bottom w:val="single" w:sz="8" w:space="0" w:color="4F81BD"/>
              <w:right w:val="single" w:sz="8" w:space="0" w:color="4F81BD"/>
            </w:tcBorders>
            <w:shd w:val="clear" w:color="000000" w:fill="5B9BD5"/>
            <w:vAlign w:val="center"/>
            <w:hideMark/>
          </w:tcPr>
          <w:p w:rsidR="00894D8A" w:rsidRPr="00894D8A" w:rsidRDefault="00894D8A" w:rsidP="0034318D">
            <w:pPr>
              <w:bidi/>
              <w:jc w:val="center"/>
              <w:rPr>
                <w:rFonts w:asciiTheme="minorHAnsi" w:hAnsiTheme="minorHAnsi" w:cstheme="minorHAnsi"/>
                <w:b/>
                <w:bCs/>
                <w:color w:val="FFFFFF"/>
                <w:rtl/>
              </w:rPr>
            </w:pPr>
            <w:bookmarkStart w:id="4" w:name="RANGE!C1"/>
            <w:r w:rsidRPr="00894D8A">
              <w:rPr>
                <w:rFonts w:asciiTheme="minorHAnsi" w:hAnsiTheme="minorHAnsi" w:cstheme="minorHAnsi"/>
                <w:b/>
                <w:bCs/>
                <w:color w:val="FFFFFF"/>
                <w:rtl/>
              </w:rPr>
              <w:t>החלק היחסי בנפח המסחר הכולל</w:t>
            </w:r>
            <w:bookmarkEnd w:id="4"/>
          </w:p>
        </w:tc>
        <w:tc>
          <w:tcPr>
            <w:tcW w:w="1412" w:type="dxa"/>
            <w:vMerge w:val="restart"/>
            <w:tcBorders>
              <w:top w:val="single" w:sz="8" w:space="0" w:color="4F81BD"/>
              <w:left w:val="single" w:sz="8" w:space="0" w:color="4F81BD"/>
              <w:bottom w:val="single" w:sz="8" w:space="0" w:color="4F81BD"/>
              <w:right w:val="single" w:sz="8" w:space="0" w:color="4F81BD"/>
            </w:tcBorders>
            <w:shd w:val="clear" w:color="000000" w:fill="5B9BD5"/>
            <w:vAlign w:val="center"/>
            <w:hideMark/>
          </w:tcPr>
          <w:p w:rsidR="00894D8A" w:rsidRPr="00894D8A" w:rsidRDefault="00894D8A" w:rsidP="0034318D">
            <w:pPr>
              <w:bidi/>
              <w:jc w:val="center"/>
              <w:rPr>
                <w:rFonts w:asciiTheme="minorHAnsi" w:hAnsiTheme="minorHAnsi" w:cstheme="minorHAnsi"/>
                <w:b/>
                <w:bCs/>
                <w:color w:val="FFFFFF"/>
                <w:rtl/>
              </w:rPr>
            </w:pPr>
            <w:r w:rsidRPr="00894D8A">
              <w:rPr>
                <w:rFonts w:asciiTheme="minorHAnsi" w:hAnsiTheme="minorHAnsi" w:cstheme="minorHAnsi"/>
                <w:b/>
                <w:bCs/>
                <w:color w:val="FFFFFF"/>
                <w:rtl/>
              </w:rPr>
              <w:t>סך הנפח (במיליוני $)</w:t>
            </w:r>
          </w:p>
        </w:tc>
        <w:tc>
          <w:tcPr>
            <w:tcW w:w="1294" w:type="dxa"/>
            <w:vMerge w:val="restart"/>
            <w:tcBorders>
              <w:top w:val="single" w:sz="8" w:space="0" w:color="4F81BD"/>
              <w:left w:val="single" w:sz="8" w:space="0" w:color="4F81BD"/>
              <w:bottom w:val="single" w:sz="8" w:space="0" w:color="4F81BD"/>
              <w:right w:val="nil"/>
            </w:tcBorders>
            <w:shd w:val="clear" w:color="000000" w:fill="5B9BD5"/>
            <w:vAlign w:val="center"/>
            <w:hideMark/>
          </w:tcPr>
          <w:p w:rsidR="00894D8A" w:rsidRPr="00894D8A" w:rsidRDefault="00894D8A" w:rsidP="0034318D">
            <w:pPr>
              <w:bidi/>
              <w:jc w:val="center"/>
              <w:rPr>
                <w:rFonts w:asciiTheme="minorHAnsi" w:hAnsiTheme="minorHAnsi" w:cstheme="minorHAnsi"/>
                <w:b/>
                <w:bCs/>
                <w:color w:val="FFFFFF"/>
                <w:rtl/>
              </w:rPr>
            </w:pPr>
            <w:r w:rsidRPr="00894D8A">
              <w:rPr>
                <w:rFonts w:asciiTheme="minorHAnsi" w:hAnsiTheme="minorHAnsi" w:cstheme="minorHAnsi"/>
                <w:b/>
                <w:bCs/>
                <w:color w:val="FFFFFF"/>
                <w:rtl/>
              </w:rPr>
              <w:t>ממוצע יומי (במיליוני $)</w:t>
            </w:r>
          </w:p>
        </w:tc>
      </w:tr>
      <w:tr w:rsidR="00894D8A" w:rsidRPr="00894D8A" w:rsidTr="0034318D">
        <w:trPr>
          <w:trHeight w:val="1515"/>
        </w:trPr>
        <w:tc>
          <w:tcPr>
            <w:tcW w:w="3428" w:type="dxa"/>
            <w:tcBorders>
              <w:top w:val="nil"/>
              <w:left w:val="single" w:sz="8" w:space="0" w:color="4F81BD"/>
              <w:bottom w:val="single" w:sz="8" w:space="0" w:color="4F81BD"/>
              <w:right w:val="single" w:sz="8" w:space="0" w:color="4F81BD"/>
            </w:tcBorders>
            <w:shd w:val="clear" w:color="000000" w:fill="5B9BD5"/>
            <w:vAlign w:val="center"/>
            <w:hideMark/>
          </w:tcPr>
          <w:p w:rsidR="00894D8A" w:rsidRPr="00894D8A" w:rsidRDefault="00894D8A" w:rsidP="0034318D">
            <w:pPr>
              <w:bidi/>
              <w:jc w:val="center"/>
              <w:rPr>
                <w:rFonts w:asciiTheme="minorHAnsi" w:hAnsiTheme="minorHAnsi" w:cstheme="minorHAnsi"/>
                <w:b/>
                <w:bCs/>
                <w:color w:val="FFFFFF"/>
                <w:rtl/>
              </w:rPr>
            </w:pPr>
            <w:r w:rsidRPr="00894D8A">
              <w:rPr>
                <w:rFonts w:asciiTheme="minorHAnsi" w:hAnsiTheme="minorHAnsi" w:cstheme="minorHAnsi"/>
                <w:b/>
                <w:bCs/>
                <w:color w:val="FFFFFF"/>
                <w:rtl/>
              </w:rPr>
              <w:t> </w:t>
            </w:r>
          </w:p>
        </w:tc>
        <w:tc>
          <w:tcPr>
            <w:tcW w:w="996" w:type="dxa"/>
            <w:tcBorders>
              <w:top w:val="nil"/>
              <w:left w:val="single" w:sz="8" w:space="0" w:color="4F81BD"/>
              <w:bottom w:val="single" w:sz="8" w:space="0" w:color="4F81BD"/>
              <w:right w:val="nil"/>
            </w:tcBorders>
            <w:shd w:val="clear" w:color="000000" w:fill="5B9BD5"/>
            <w:vAlign w:val="center"/>
            <w:hideMark/>
          </w:tcPr>
          <w:p w:rsidR="00894D8A" w:rsidRPr="00894D8A" w:rsidRDefault="00894D8A" w:rsidP="0034318D">
            <w:pPr>
              <w:bidi/>
              <w:jc w:val="center"/>
              <w:rPr>
                <w:rFonts w:asciiTheme="minorHAnsi" w:hAnsiTheme="minorHAnsi" w:cstheme="minorHAnsi"/>
                <w:b/>
                <w:bCs/>
                <w:color w:val="FFFFFF"/>
                <w:rtl/>
              </w:rPr>
            </w:pPr>
            <w:r w:rsidRPr="00894D8A">
              <w:rPr>
                <w:rFonts w:asciiTheme="minorHAnsi" w:hAnsiTheme="minorHAnsi" w:cstheme="minorHAnsi"/>
                <w:b/>
                <w:bCs/>
                <w:color w:val="FFFFFF"/>
                <w:rtl/>
              </w:rPr>
              <w:t> </w:t>
            </w:r>
          </w:p>
        </w:tc>
        <w:tc>
          <w:tcPr>
            <w:tcW w:w="995" w:type="dxa"/>
            <w:tcBorders>
              <w:top w:val="nil"/>
              <w:left w:val="single" w:sz="8" w:space="0" w:color="4F81BD"/>
              <w:bottom w:val="single" w:sz="8" w:space="0" w:color="4F81BD"/>
              <w:right w:val="nil"/>
            </w:tcBorders>
            <w:shd w:val="clear" w:color="000000" w:fill="5B9BD5"/>
            <w:vAlign w:val="center"/>
            <w:hideMark/>
          </w:tcPr>
          <w:p w:rsidR="00894D8A" w:rsidRPr="00894D8A" w:rsidRDefault="00894D8A" w:rsidP="0034318D">
            <w:pPr>
              <w:bidi/>
              <w:jc w:val="center"/>
              <w:rPr>
                <w:rFonts w:asciiTheme="minorHAnsi" w:hAnsiTheme="minorHAnsi" w:cstheme="minorHAnsi"/>
                <w:b/>
                <w:bCs/>
                <w:color w:val="FFFFFF"/>
                <w:rtl/>
              </w:rPr>
            </w:pPr>
            <w:r w:rsidRPr="00894D8A">
              <w:rPr>
                <w:rFonts w:asciiTheme="minorHAnsi" w:hAnsiTheme="minorHAnsi" w:cstheme="minorHAnsi"/>
                <w:b/>
                <w:bCs/>
                <w:color w:val="FFFFFF"/>
                <w:rtl/>
              </w:rPr>
              <w:t>מסחר בין זרים</w:t>
            </w:r>
          </w:p>
        </w:tc>
        <w:tc>
          <w:tcPr>
            <w:tcW w:w="997" w:type="dxa"/>
            <w:tcBorders>
              <w:top w:val="nil"/>
              <w:left w:val="single" w:sz="8" w:space="0" w:color="4F81BD"/>
              <w:bottom w:val="single" w:sz="8" w:space="0" w:color="4F81BD"/>
              <w:right w:val="nil"/>
            </w:tcBorders>
            <w:shd w:val="clear" w:color="000000" w:fill="5B9BD5"/>
            <w:vAlign w:val="center"/>
            <w:hideMark/>
          </w:tcPr>
          <w:p w:rsidR="00894D8A" w:rsidRPr="00894D8A" w:rsidRDefault="00894D8A" w:rsidP="0034318D">
            <w:pPr>
              <w:bidi/>
              <w:jc w:val="center"/>
              <w:rPr>
                <w:rFonts w:asciiTheme="minorHAnsi" w:hAnsiTheme="minorHAnsi" w:cstheme="minorHAnsi"/>
                <w:color w:val="0000FF"/>
                <w:u w:val="single"/>
                <w:rtl/>
              </w:rPr>
            </w:pPr>
            <w:hyperlink r:id="rId16" w:anchor="RANGE!_ftn1" w:history="1">
              <w:r w:rsidRPr="00894D8A">
                <w:rPr>
                  <w:rFonts w:asciiTheme="minorHAnsi" w:hAnsiTheme="minorHAnsi" w:cstheme="minorHAnsi"/>
                  <w:b/>
                  <w:bCs/>
                  <w:color w:val="FFFFFF"/>
                  <w:rtl/>
                </w:rPr>
                <w:t>מסחר בין זר למקומי</w:t>
              </w:r>
            </w:hyperlink>
          </w:p>
        </w:tc>
        <w:tc>
          <w:tcPr>
            <w:tcW w:w="1038" w:type="dxa"/>
            <w:tcBorders>
              <w:top w:val="nil"/>
              <w:left w:val="single" w:sz="8" w:space="0" w:color="4F81BD"/>
              <w:bottom w:val="single" w:sz="8" w:space="0" w:color="4F81BD"/>
              <w:right w:val="nil"/>
            </w:tcBorders>
            <w:shd w:val="clear" w:color="000000" w:fill="5B9BD5"/>
            <w:vAlign w:val="center"/>
            <w:hideMark/>
          </w:tcPr>
          <w:p w:rsidR="00894D8A" w:rsidRPr="00894D8A" w:rsidRDefault="00894D8A" w:rsidP="0034318D">
            <w:pPr>
              <w:bidi/>
              <w:jc w:val="center"/>
              <w:rPr>
                <w:rFonts w:asciiTheme="minorHAnsi" w:hAnsiTheme="minorHAnsi" w:cstheme="minorHAnsi"/>
                <w:b/>
                <w:bCs/>
                <w:color w:val="FFFFFF"/>
                <w:rtl/>
              </w:rPr>
            </w:pPr>
            <w:r w:rsidRPr="00894D8A">
              <w:rPr>
                <w:rFonts w:asciiTheme="minorHAnsi" w:hAnsiTheme="minorHAnsi" w:cstheme="minorHAnsi"/>
                <w:b/>
                <w:bCs/>
                <w:color w:val="FFFFFF"/>
                <w:rtl/>
              </w:rPr>
              <w:t>מסחר בין מערכת הבנקאות המקומית למקומיים</w:t>
            </w:r>
          </w:p>
        </w:tc>
        <w:tc>
          <w:tcPr>
            <w:tcW w:w="1412" w:type="dxa"/>
            <w:vMerge/>
            <w:tcBorders>
              <w:top w:val="single" w:sz="8" w:space="0" w:color="4F81BD"/>
              <w:left w:val="single" w:sz="8" w:space="0" w:color="4F81BD"/>
              <w:bottom w:val="single" w:sz="8" w:space="0" w:color="4F81BD"/>
              <w:right w:val="single" w:sz="8" w:space="0" w:color="4F81BD"/>
            </w:tcBorders>
            <w:vAlign w:val="center"/>
            <w:hideMark/>
          </w:tcPr>
          <w:p w:rsidR="00894D8A" w:rsidRPr="00894D8A" w:rsidRDefault="00894D8A" w:rsidP="0034318D">
            <w:pPr>
              <w:bidi/>
              <w:rPr>
                <w:rFonts w:asciiTheme="minorHAnsi" w:hAnsiTheme="minorHAnsi" w:cstheme="minorHAnsi"/>
                <w:b/>
                <w:bCs/>
                <w:color w:val="FFFFFF"/>
              </w:rPr>
            </w:pPr>
          </w:p>
        </w:tc>
        <w:tc>
          <w:tcPr>
            <w:tcW w:w="1294" w:type="dxa"/>
            <w:vMerge/>
            <w:tcBorders>
              <w:top w:val="single" w:sz="8" w:space="0" w:color="4F81BD"/>
              <w:left w:val="single" w:sz="8" w:space="0" w:color="4F81BD"/>
              <w:bottom w:val="single" w:sz="8" w:space="0" w:color="4F81BD"/>
              <w:right w:val="nil"/>
            </w:tcBorders>
            <w:vAlign w:val="center"/>
            <w:hideMark/>
          </w:tcPr>
          <w:p w:rsidR="00894D8A" w:rsidRPr="00894D8A" w:rsidRDefault="00894D8A" w:rsidP="0034318D">
            <w:pPr>
              <w:bidi/>
              <w:rPr>
                <w:rFonts w:asciiTheme="minorHAnsi" w:hAnsiTheme="minorHAnsi" w:cstheme="minorHAnsi"/>
                <w:b/>
                <w:bCs/>
                <w:color w:val="FFFFFF"/>
              </w:rPr>
            </w:pPr>
          </w:p>
        </w:tc>
      </w:tr>
      <w:tr w:rsidR="00894D8A" w:rsidRPr="00894D8A" w:rsidTr="0034318D">
        <w:trPr>
          <w:trHeight w:val="1215"/>
        </w:trPr>
        <w:tc>
          <w:tcPr>
            <w:tcW w:w="3428" w:type="dxa"/>
            <w:vMerge w:val="restart"/>
            <w:tcBorders>
              <w:top w:val="nil"/>
              <w:left w:val="single" w:sz="8" w:space="0" w:color="9CC2E5"/>
              <w:bottom w:val="single" w:sz="12" w:space="0" w:color="000000"/>
              <w:right w:val="single" w:sz="8" w:space="0" w:color="9CC2E5"/>
            </w:tcBorders>
            <w:shd w:val="clear" w:color="000000" w:fill="DEEAF6"/>
            <w:vAlign w:val="center"/>
            <w:hideMark/>
          </w:tcPr>
          <w:p w:rsidR="00894D8A" w:rsidRPr="00894D8A" w:rsidRDefault="00894D8A" w:rsidP="0034318D">
            <w:pPr>
              <w:bidi/>
              <w:jc w:val="center"/>
              <w:rPr>
                <w:rFonts w:asciiTheme="minorHAnsi" w:hAnsiTheme="minorHAnsi" w:cstheme="minorHAnsi"/>
              </w:rPr>
            </w:pPr>
            <w:r w:rsidRPr="00894D8A">
              <w:rPr>
                <w:rFonts w:asciiTheme="minorHAnsi" w:hAnsiTheme="minorHAnsi" w:cstheme="minorHAnsi"/>
                <w:rtl/>
              </w:rPr>
              <w:t>רבעון שלישי 2026</w:t>
            </w:r>
          </w:p>
        </w:tc>
        <w:tc>
          <w:tcPr>
            <w:tcW w:w="996" w:type="dxa"/>
            <w:tcBorders>
              <w:top w:val="nil"/>
              <w:left w:val="single" w:sz="8" w:space="0" w:color="9CC2E5"/>
              <w:bottom w:val="single" w:sz="8" w:space="0" w:color="4F81BD"/>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נפח המסחר בעסקאות המרה</w:t>
            </w:r>
          </w:p>
        </w:tc>
        <w:tc>
          <w:tcPr>
            <w:tcW w:w="995" w:type="dxa"/>
            <w:tcBorders>
              <w:top w:val="nil"/>
              <w:left w:val="single" w:sz="8" w:space="0" w:color="9CC2E5"/>
              <w:bottom w:val="single" w:sz="8" w:space="0" w:color="4F81BD"/>
              <w:right w:val="nil"/>
            </w:tcBorders>
            <w:shd w:val="clear" w:color="000000" w:fill="DEEAF6"/>
            <w:vAlign w:val="center"/>
            <w:hideMark/>
          </w:tcPr>
          <w:p w:rsidR="00894D8A" w:rsidRPr="00894D8A" w:rsidRDefault="00894D8A" w:rsidP="0034318D">
            <w:pPr>
              <w:bidi/>
              <w:jc w:val="center"/>
              <w:rPr>
                <w:rFonts w:asciiTheme="minorHAnsi" w:hAnsiTheme="minorHAnsi" w:cstheme="minorHAnsi"/>
              </w:rPr>
            </w:pPr>
            <w:r w:rsidRPr="00894D8A">
              <w:rPr>
                <w:rFonts w:asciiTheme="minorHAnsi" w:hAnsiTheme="minorHAnsi" w:cstheme="minorHAnsi"/>
                <w:rtl/>
              </w:rPr>
              <w:t>79.4%</w:t>
            </w:r>
          </w:p>
        </w:tc>
        <w:tc>
          <w:tcPr>
            <w:tcW w:w="997" w:type="dxa"/>
            <w:tcBorders>
              <w:top w:val="nil"/>
              <w:left w:val="single" w:sz="8" w:space="0" w:color="9CC2E5"/>
              <w:bottom w:val="single" w:sz="8" w:space="0" w:color="4F81BD"/>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8.9%</w:t>
            </w:r>
          </w:p>
        </w:tc>
        <w:tc>
          <w:tcPr>
            <w:tcW w:w="1038" w:type="dxa"/>
            <w:tcBorders>
              <w:top w:val="nil"/>
              <w:left w:val="single" w:sz="8" w:space="0" w:color="9CC2E5"/>
              <w:bottom w:val="single" w:sz="8" w:space="0" w:color="4F81BD"/>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11.7%</w:t>
            </w:r>
          </w:p>
        </w:tc>
        <w:tc>
          <w:tcPr>
            <w:tcW w:w="1412" w:type="dxa"/>
            <w:tcBorders>
              <w:top w:val="nil"/>
              <w:left w:val="single" w:sz="8" w:space="0" w:color="9CC2E5"/>
              <w:bottom w:val="single" w:sz="8" w:space="0" w:color="4F81BD"/>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 xml:space="preserve">                 1,244,522 </w:t>
            </w:r>
          </w:p>
        </w:tc>
        <w:tc>
          <w:tcPr>
            <w:tcW w:w="1294" w:type="dxa"/>
            <w:tcBorders>
              <w:top w:val="nil"/>
              <w:left w:val="single" w:sz="8" w:space="0" w:color="9CC2E5"/>
              <w:bottom w:val="single" w:sz="8" w:space="0" w:color="4F81BD"/>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 xml:space="preserve">             19,754 </w:t>
            </w:r>
          </w:p>
        </w:tc>
      </w:tr>
      <w:tr w:rsidR="00894D8A" w:rsidRPr="00894D8A" w:rsidTr="0034318D">
        <w:trPr>
          <w:trHeight w:val="1515"/>
        </w:trPr>
        <w:tc>
          <w:tcPr>
            <w:tcW w:w="3428" w:type="dxa"/>
            <w:vMerge/>
            <w:tcBorders>
              <w:top w:val="nil"/>
              <w:left w:val="single" w:sz="8" w:space="0" w:color="9CC2E5"/>
              <w:bottom w:val="single" w:sz="12" w:space="0" w:color="000000"/>
              <w:right w:val="single" w:sz="8" w:space="0" w:color="9CC2E5"/>
            </w:tcBorders>
            <w:vAlign w:val="center"/>
            <w:hideMark/>
          </w:tcPr>
          <w:p w:rsidR="00894D8A" w:rsidRPr="00894D8A" w:rsidRDefault="00894D8A" w:rsidP="0034318D">
            <w:pPr>
              <w:bidi/>
              <w:rPr>
                <w:rFonts w:asciiTheme="minorHAnsi" w:hAnsiTheme="minorHAnsi" w:cstheme="minorHAnsi"/>
              </w:rPr>
            </w:pPr>
          </w:p>
        </w:tc>
        <w:tc>
          <w:tcPr>
            <w:tcW w:w="996" w:type="dxa"/>
            <w:tcBorders>
              <w:top w:val="nil"/>
              <w:left w:val="single" w:sz="8" w:space="0" w:color="9CC2E5"/>
              <w:bottom w:val="single" w:sz="12" w:space="0" w:color="auto"/>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נפח המסחר בעסקאות החלף ואופציות</w:t>
            </w:r>
          </w:p>
        </w:tc>
        <w:tc>
          <w:tcPr>
            <w:tcW w:w="995" w:type="dxa"/>
            <w:tcBorders>
              <w:top w:val="nil"/>
              <w:left w:val="single" w:sz="8" w:space="0" w:color="9CC2E5"/>
              <w:bottom w:val="single" w:sz="12" w:space="0" w:color="auto"/>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54.3%</w:t>
            </w:r>
          </w:p>
        </w:tc>
        <w:tc>
          <w:tcPr>
            <w:tcW w:w="997" w:type="dxa"/>
            <w:tcBorders>
              <w:top w:val="nil"/>
              <w:left w:val="single" w:sz="8" w:space="0" w:color="9CC2E5"/>
              <w:bottom w:val="single" w:sz="12" w:space="0" w:color="auto"/>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21.3%</w:t>
            </w:r>
          </w:p>
        </w:tc>
        <w:tc>
          <w:tcPr>
            <w:tcW w:w="1038" w:type="dxa"/>
            <w:tcBorders>
              <w:top w:val="nil"/>
              <w:left w:val="single" w:sz="8" w:space="0" w:color="9CC2E5"/>
              <w:bottom w:val="single" w:sz="12" w:space="0" w:color="auto"/>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24.4%</w:t>
            </w:r>
          </w:p>
        </w:tc>
        <w:tc>
          <w:tcPr>
            <w:tcW w:w="1412" w:type="dxa"/>
            <w:tcBorders>
              <w:top w:val="nil"/>
              <w:left w:val="single" w:sz="8" w:space="0" w:color="9CC2E5"/>
              <w:bottom w:val="single" w:sz="12" w:space="0" w:color="auto"/>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 xml:space="preserve">                 1,808,980 </w:t>
            </w:r>
          </w:p>
        </w:tc>
        <w:tc>
          <w:tcPr>
            <w:tcW w:w="1294" w:type="dxa"/>
            <w:tcBorders>
              <w:top w:val="nil"/>
              <w:left w:val="single" w:sz="8" w:space="0" w:color="9CC2E5"/>
              <w:bottom w:val="single" w:sz="12" w:space="0" w:color="auto"/>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 xml:space="preserve">             28,714 </w:t>
            </w:r>
          </w:p>
        </w:tc>
      </w:tr>
      <w:tr w:rsidR="00894D8A" w:rsidRPr="00894D8A" w:rsidTr="0034318D">
        <w:trPr>
          <w:trHeight w:val="1230"/>
        </w:trPr>
        <w:tc>
          <w:tcPr>
            <w:tcW w:w="3428" w:type="dxa"/>
            <w:vMerge w:val="restart"/>
            <w:tcBorders>
              <w:top w:val="nil"/>
              <w:left w:val="single" w:sz="8" w:space="0" w:color="9CC2E5"/>
              <w:bottom w:val="nil"/>
              <w:right w:val="single" w:sz="8" w:space="0" w:color="9CC2E5"/>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רבעון שני  2026</w:t>
            </w:r>
          </w:p>
        </w:tc>
        <w:tc>
          <w:tcPr>
            <w:tcW w:w="996" w:type="dxa"/>
            <w:tcBorders>
              <w:top w:val="nil"/>
              <w:left w:val="single" w:sz="8" w:space="0" w:color="9CC2E5"/>
              <w:bottom w:val="single" w:sz="8" w:space="0" w:color="4F81BD"/>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נפח המסחר בעסקאות המרה</w:t>
            </w:r>
          </w:p>
        </w:tc>
        <w:tc>
          <w:tcPr>
            <w:tcW w:w="995" w:type="dxa"/>
            <w:tcBorders>
              <w:top w:val="nil"/>
              <w:left w:val="single" w:sz="8" w:space="0" w:color="9CC2E5"/>
              <w:bottom w:val="single" w:sz="8" w:space="0" w:color="4F81BD"/>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77.4%</w:t>
            </w:r>
          </w:p>
        </w:tc>
        <w:tc>
          <w:tcPr>
            <w:tcW w:w="997" w:type="dxa"/>
            <w:tcBorders>
              <w:top w:val="nil"/>
              <w:left w:val="single" w:sz="8" w:space="0" w:color="9CC2E5"/>
              <w:bottom w:val="single" w:sz="8" w:space="0" w:color="4F81BD"/>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9.7%</w:t>
            </w:r>
          </w:p>
        </w:tc>
        <w:tc>
          <w:tcPr>
            <w:tcW w:w="1038" w:type="dxa"/>
            <w:tcBorders>
              <w:top w:val="nil"/>
              <w:left w:val="single" w:sz="8" w:space="0" w:color="9CC2E5"/>
              <w:bottom w:val="single" w:sz="8" w:space="0" w:color="4F81BD"/>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12.9%</w:t>
            </w:r>
          </w:p>
        </w:tc>
        <w:tc>
          <w:tcPr>
            <w:tcW w:w="1412" w:type="dxa"/>
            <w:tcBorders>
              <w:top w:val="nil"/>
              <w:left w:val="single" w:sz="8" w:space="0" w:color="9CC2E5"/>
              <w:bottom w:val="single" w:sz="8" w:space="0" w:color="4F81BD"/>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 xml:space="preserve">                 1,336,110 </w:t>
            </w:r>
          </w:p>
        </w:tc>
        <w:tc>
          <w:tcPr>
            <w:tcW w:w="1294" w:type="dxa"/>
            <w:tcBorders>
              <w:top w:val="nil"/>
              <w:left w:val="single" w:sz="8" w:space="0" w:color="9CC2E5"/>
              <w:bottom w:val="single" w:sz="8" w:space="0" w:color="4F81BD"/>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 xml:space="preserve">             23,441 </w:t>
            </w:r>
          </w:p>
        </w:tc>
      </w:tr>
      <w:tr w:rsidR="00894D8A" w:rsidRPr="00894D8A" w:rsidTr="0034318D">
        <w:trPr>
          <w:trHeight w:val="1500"/>
        </w:trPr>
        <w:tc>
          <w:tcPr>
            <w:tcW w:w="3428" w:type="dxa"/>
            <w:vMerge/>
            <w:tcBorders>
              <w:top w:val="nil"/>
              <w:left w:val="single" w:sz="8" w:space="0" w:color="9CC2E5"/>
              <w:bottom w:val="nil"/>
              <w:right w:val="single" w:sz="8" w:space="0" w:color="9CC2E5"/>
            </w:tcBorders>
            <w:vAlign w:val="center"/>
            <w:hideMark/>
          </w:tcPr>
          <w:p w:rsidR="00894D8A" w:rsidRPr="00894D8A" w:rsidRDefault="00894D8A" w:rsidP="0034318D">
            <w:pPr>
              <w:bidi/>
              <w:rPr>
                <w:rFonts w:asciiTheme="minorHAnsi" w:hAnsiTheme="minorHAnsi" w:cstheme="minorHAnsi"/>
              </w:rPr>
            </w:pPr>
          </w:p>
        </w:tc>
        <w:tc>
          <w:tcPr>
            <w:tcW w:w="996" w:type="dxa"/>
            <w:tcBorders>
              <w:top w:val="nil"/>
              <w:left w:val="single" w:sz="8" w:space="0" w:color="9CC2E5"/>
              <w:bottom w:val="nil"/>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נפח המסחר בעסקאות החלף ואופציות</w:t>
            </w:r>
          </w:p>
        </w:tc>
        <w:tc>
          <w:tcPr>
            <w:tcW w:w="995" w:type="dxa"/>
            <w:tcBorders>
              <w:top w:val="nil"/>
              <w:left w:val="single" w:sz="8" w:space="0" w:color="9CC2E5"/>
              <w:bottom w:val="nil"/>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54.6%</w:t>
            </w:r>
          </w:p>
        </w:tc>
        <w:tc>
          <w:tcPr>
            <w:tcW w:w="997" w:type="dxa"/>
            <w:tcBorders>
              <w:top w:val="nil"/>
              <w:left w:val="single" w:sz="8" w:space="0" w:color="9CC2E5"/>
              <w:bottom w:val="nil"/>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18.2%</w:t>
            </w:r>
          </w:p>
        </w:tc>
        <w:tc>
          <w:tcPr>
            <w:tcW w:w="1038" w:type="dxa"/>
            <w:tcBorders>
              <w:top w:val="nil"/>
              <w:left w:val="single" w:sz="8" w:space="0" w:color="9CC2E5"/>
              <w:bottom w:val="nil"/>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27.1%</w:t>
            </w:r>
          </w:p>
        </w:tc>
        <w:tc>
          <w:tcPr>
            <w:tcW w:w="1412" w:type="dxa"/>
            <w:tcBorders>
              <w:top w:val="nil"/>
              <w:left w:val="single" w:sz="8" w:space="0" w:color="9CC2E5"/>
              <w:bottom w:val="nil"/>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 xml:space="preserve">                 1,701,854 </w:t>
            </w:r>
          </w:p>
        </w:tc>
        <w:tc>
          <w:tcPr>
            <w:tcW w:w="1294" w:type="dxa"/>
            <w:tcBorders>
              <w:top w:val="nil"/>
              <w:left w:val="single" w:sz="8" w:space="0" w:color="9CC2E5"/>
              <w:bottom w:val="nil"/>
              <w:right w:val="nil"/>
            </w:tcBorders>
            <w:shd w:val="clear" w:color="000000" w:fill="DEEAF6"/>
            <w:vAlign w:val="center"/>
            <w:hideMark/>
          </w:tcPr>
          <w:p w:rsidR="00894D8A" w:rsidRPr="00894D8A" w:rsidRDefault="00894D8A" w:rsidP="0034318D">
            <w:pPr>
              <w:bidi/>
              <w:jc w:val="center"/>
              <w:rPr>
                <w:rFonts w:asciiTheme="minorHAnsi" w:hAnsiTheme="minorHAnsi" w:cstheme="minorHAnsi"/>
                <w:rtl/>
              </w:rPr>
            </w:pPr>
            <w:r w:rsidRPr="00894D8A">
              <w:rPr>
                <w:rFonts w:asciiTheme="minorHAnsi" w:hAnsiTheme="minorHAnsi" w:cstheme="minorHAnsi"/>
                <w:rtl/>
              </w:rPr>
              <w:t xml:space="preserve">             29,857 </w:t>
            </w:r>
          </w:p>
        </w:tc>
      </w:tr>
    </w:tbl>
    <w:p w:rsidR="00894D8A" w:rsidRPr="00894D8A" w:rsidRDefault="00894D8A" w:rsidP="00894D8A">
      <w:pPr>
        <w:spacing w:after="200" w:line="276" w:lineRule="auto"/>
        <w:rPr>
          <w:rFonts w:asciiTheme="minorHAnsi" w:hAnsiTheme="minorHAnsi" w:cstheme="minorHAnsi"/>
          <w:b/>
          <w:bCs/>
        </w:rPr>
      </w:pPr>
    </w:p>
    <w:p w:rsidR="00894D8A" w:rsidRPr="00894D8A" w:rsidRDefault="00894D8A" w:rsidP="00894D8A">
      <w:pPr>
        <w:bidi/>
        <w:spacing w:line="360" w:lineRule="auto"/>
        <w:rPr>
          <w:rFonts w:asciiTheme="minorHAnsi" w:hAnsiTheme="minorHAnsi" w:cstheme="minorHAnsi" w:hint="cs"/>
          <w:rtl/>
        </w:rPr>
      </w:pPr>
    </w:p>
    <w:p w:rsidR="000B589E" w:rsidRPr="00894D8A" w:rsidRDefault="000B589E" w:rsidP="000B589E">
      <w:pPr>
        <w:bidi/>
        <w:spacing w:line="360" w:lineRule="auto"/>
        <w:rPr>
          <w:rFonts w:asciiTheme="minorHAnsi" w:hAnsiTheme="minorHAnsi" w:cstheme="minorHAnsi"/>
        </w:rPr>
      </w:pPr>
    </w:p>
    <w:sectPr w:rsidR="000B589E" w:rsidRPr="00894D8A" w:rsidSect="00CC2499">
      <w:footerReference w:type="default" r:id="rId17"/>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BB6" w:rsidRDefault="00431BB6" w:rsidP="00E04682">
      <w:pPr>
        <w:spacing w:after="0" w:line="240" w:lineRule="auto"/>
      </w:pPr>
      <w:r>
        <w:separator/>
      </w:r>
    </w:p>
  </w:endnote>
  <w:endnote w:type="continuationSeparator" w:id="0">
    <w:p w:rsidR="00431BB6" w:rsidRDefault="00431BB6" w:rsidP="00E04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ssistant">
    <w:panose1 w:val="00000500000000000000"/>
    <w:charset w:val="00"/>
    <w:family w:val="auto"/>
    <w:pitch w:val="variable"/>
    <w:sig w:usb0="00000807" w:usb1="40000000" w:usb2="00000000" w:usb3="00000000" w:csb0="0000002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lang w:val="he-IL"/>
      </w:rPr>
      <w:id w:val="-916242249"/>
      <w:docPartObj>
        <w:docPartGallery w:val="Page Numbers (Bottom of Page)"/>
        <w:docPartUnique/>
      </w:docPartObj>
    </w:sdtPr>
    <w:sdtEndPr>
      <w:rPr>
        <w:cs/>
        <w:lang w:val="en-US"/>
      </w:rPr>
    </w:sdtEndPr>
    <w:sdtContent>
      <w:sdt>
        <w:sdtPr>
          <w:rPr>
            <w:rtl/>
            <w:lang w:val="he-IL"/>
          </w:rPr>
          <w:id w:val="2712275"/>
          <w:docPartObj>
            <w:docPartGallery w:val="Page Numbers (Top of Page)"/>
            <w:docPartUnique/>
          </w:docPartObj>
        </w:sdtPr>
        <w:sdtEndPr>
          <w:rPr>
            <w:lang w:val="en-US"/>
          </w:rPr>
        </w:sdtEndPr>
        <w:sdtContent>
          <w:p w:rsidR="00894D8A" w:rsidRPr="002168C6" w:rsidRDefault="00894D8A" w:rsidP="004F7549">
            <w:pPr>
              <w:pStyle w:val="a7"/>
              <w:bidi/>
              <w:rPr>
                <w:rtl/>
              </w:rPr>
            </w:pPr>
            <w:r w:rsidRPr="002168C6">
              <w:rPr>
                <w:rFonts w:hint="cs"/>
                <w:rtl/>
                <w:lang w:val="he-IL"/>
              </w:rPr>
              <w:t>בנק ישראל - המסחר בשוק מטבע החוץ ב</w:t>
            </w:r>
            <w:r>
              <w:rPr>
                <w:rFonts w:hint="cs"/>
                <w:rtl/>
                <w:lang w:val="he-IL"/>
              </w:rPr>
              <w:t>רבעון</w:t>
            </w:r>
            <w:r w:rsidRPr="002168C6">
              <w:rPr>
                <w:rFonts w:hint="cs"/>
                <w:rtl/>
                <w:lang w:val="he-IL"/>
              </w:rPr>
              <w:t xml:space="preserve"> </w:t>
            </w:r>
            <w:r>
              <w:rPr>
                <w:rFonts w:hint="cs"/>
                <w:rtl/>
                <w:lang w:val="he-IL"/>
              </w:rPr>
              <w:t>הרביעי של שנת</w:t>
            </w:r>
            <w:r w:rsidRPr="002168C6">
              <w:rPr>
                <w:rFonts w:hint="cs"/>
                <w:rtl/>
                <w:lang w:val="he-IL"/>
              </w:rPr>
              <w:t xml:space="preserve"> </w:t>
            </w:r>
            <w:r>
              <w:rPr>
                <w:rFonts w:hint="cs"/>
                <w:rtl/>
                <w:lang w:val="he-IL"/>
              </w:rPr>
              <w:t>2024</w:t>
            </w:r>
            <w:r w:rsidRPr="002168C6">
              <w:rPr>
                <w:rFonts w:hint="cs"/>
                <w:rtl/>
                <w:cs/>
                <w:lang w:val="he-IL"/>
              </w:rPr>
              <w:tab/>
            </w:r>
            <w:r w:rsidRPr="002168C6">
              <w:rPr>
                <w:rtl/>
                <w:cs/>
                <w:lang w:val="he-IL"/>
              </w:rPr>
              <w:t xml:space="preserve">עמוד </w:t>
            </w:r>
            <w:r w:rsidRPr="002168C6">
              <w:rPr>
                <w:b/>
                <w:bCs/>
              </w:rPr>
              <w:fldChar w:fldCharType="begin"/>
            </w:r>
            <w:r w:rsidRPr="002168C6">
              <w:rPr>
                <w:b/>
                <w:bCs/>
                <w:rtl/>
                <w:cs/>
              </w:rPr>
              <w:instrText>PAGE</w:instrText>
            </w:r>
            <w:r w:rsidRPr="002168C6">
              <w:rPr>
                <w:b/>
                <w:bCs/>
              </w:rPr>
              <w:fldChar w:fldCharType="separate"/>
            </w:r>
            <w:r>
              <w:rPr>
                <w:b/>
                <w:bCs/>
                <w:noProof/>
                <w:rtl/>
              </w:rPr>
              <w:t>5</w:t>
            </w:r>
            <w:r w:rsidRPr="002168C6">
              <w:rPr>
                <w:b/>
                <w:bCs/>
              </w:rPr>
              <w:fldChar w:fldCharType="end"/>
            </w:r>
            <w:r w:rsidRPr="002168C6">
              <w:rPr>
                <w:rtl/>
                <w:cs/>
                <w:lang w:val="he-IL"/>
              </w:rPr>
              <w:t xml:space="preserve"> מתוך </w:t>
            </w:r>
            <w:r w:rsidRPr="002168C6">
              <w:rPr>
                <w:b/>
                <w:bCs/>
              </w:rPr>
              <w:fldChar w:fldCharType="begin"/>
            </w:r>
            <w:r w:rsidRPr="002168C6">
              <w:rPr>
                <w:b/>
                <w:bCs/>
                <w:rtl/>
                <w:cs/>
              </w:rPr>
              <w:instrText>NUMPAGES</w:instrText>
            </w:r>
            <w:r w:rsidRPr="002168C6">
              <w:rPr>
                <w:b/>
                <w:bCs/>
              </w:rPr>
              <w:fldChar w:fldCharType="separate"/>
            </w:r>
            <w:r>
              <w:rPr>
                <w:b/>
                <w:bCs/>
                <w:noProof/>
                <w:rtl/>
              </w:rPr>
              <w:t>6</w:t>
            </w:r>
            <w:r w:rsidRPr="002168C6">
              <w:rPr>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4682" w:rsidRDefault="00F25BB5" w:rsidP="00F20046">
    <w:pPr>
      <w:pStyle w:val="a7"/>
      <w:rPr>
        <w:rtl/>
      </w:rPr>
    </w:pPr>
    <w:r>
      <w:rPr>
        <w:noProof/>
      </w:rPr>
      <mc:AlternateContent>
        <mc:Choice Requires="wps">
          <w:drawing>
            <wp:anchor distT="0" distB="0" distL="114300" distR="114300" simplePos="0" relativeHeight="251665408" behindDoc="0" locked="0" layoutInCell="1" allowOverlap="1" wp14:anchorId="6F2FA1B7" wp14:editId="115BEBC9">
              <wp:simplePos x="0" y="0"/>
              <wp:positionH relativeFrom="margin">
                <wp:posOffset>1590675</wp:posOffset>
              </wp:positionH>
              <wp:positionV relativeFrom="paragraph">
                <wp:posOffset>111760</wp:posOffset>
              </wp:positionV>
              <wp:extent cx="2009775" cy="361950"/>
              <wp:effectExtent l="0" t="0" r="0" b="0"/>
              <wp:wrapNone/>
              <wp:docPr id="13" name="תיבת טקסט 13"/>
              <wp:cNvGraphicFramePr/>
              <a:graphic xmlns:a="http://schemas.openxmlformats.org/drawingml/2006/main">
                <a:graphicData uri="http://schemas.microsoft.com/office/word/2010/wordprocessingShape">
                  <wps:wsp>
                    <wps:cNvSpPr txBox="1"/>
                    <wps:spPr>
                      <a:xfrm>
                        <a:off x="0" y="0"/>
                        <a:ext cx="2009775" cy="361950"/>
                      </a:xfrm>
                      <a:prstGeom prst="rect">
                        <a:avLst/>
                      </a:prstGeom>
                      <a:noFill/>
                      <a:ln w="6350">
                        <a:noFill/>
                      </a:ln>
                    </wps:spPr>
                    <wps:txbx>
                      <w:txbxContent>
                        <w:p w:rsidR="00972198" w:rsidRPr="00031A9D" w:rsidRDefault="00031A9D" w:rsidP="00F25BB5">
                          <w:pPr>
                            <w:jc w:val="center"/>
                            <w:rPr>
                              <w:rFonts w:ascii="Calibri" w:hAnsi="Calibri" w:cs="Calibri"/>
                              <w:sz w:val="16"/>
                              <w:szCs w:val="16"/>
                              <w:rtl/>
                            </w:rPr>
                          </w:pPr>
                          <w:r w:rsidRPr="00031A9D">
                            <w:rPr>
                              <w:rFonts w:ascii="Calibri" w:hAnsi="Calibri" w:cs="Calibri"/>
                              <w:noProof/>
                              <w:sz w:val="16"/>
                              <w:szCs w:val="16"/>
                              <w:rtl/>
                            </w:rPr>
                            <w:t xml:space="preserve">פודקאסט </w:t>
                          </w:r>
                          <w:r w:rsidR="00972198" w:rsidRPr="00031A9D">
                            <w:rPr>
                              <w:rFonts w:ascii="Calibri" w:hAnsi="Calibri" w:cs="Calibri"/>
                              <w:noProof/>
                              <w:sz w:val="16"/>
                              <w:szCs w:val="16"/>
                              <w:rtl/>
                            </w:rPr>
                            <w:t xml:space="preserve"> בנק ישראל</w:t>
                          </w:r>
                          <w:r w:rsidR="00972198" w:rsidRPr="00031A9D">
                            <w:rPr>
                              <w:rFonts w:ascii="Calibri" w:hAnsi="Calibri" w:cs="Calibri"/>
                              <w:noProof/>
                              <w:sz w:val="16"/>
                              <w:szCs w:val="16"/>
                              <w:rtl/>
                            </w:rPr>
                            <w:br/>
                          </w:r>
                          <w:hyperlink r:id="rId1"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2FA1B7" id="_x0000_t202" coordsize="21600,21600" o:spt="202" path="m,l,21600r21600,l21600,xe">
              <v:stroke joinstyle="miter"/>
              <v:path gradientshapeok="t" o:connecttype="rect"/>
            </v:shapetype>
            <v:shape id="תיבת טקסט 13" o:spid="_x0000_s1026" type="#_x0000_t202" style="position:absolute;margin-left:125.25pt;margin-top:8.8pt;width:158.25pt;height:2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" filled="f" stroked="f" strokeweight=".5pt">
              <v:textbox>
                <w:txbxContent>
                  <w:p w:rsidR="00972198" w:rsidRPr="00031A9D" w:rsidRDefault="00031A9D" w:rsidP="00F25BB5">
                    <w:pPr>
                      <w:jc w:val="center"/>
                      <w:rPr>
                        <w:rFonts w:ascii="Calibri" w:hAnsi="Calibri" w:cs="Calibri"/>
                        <w:sz w:val="16"/>
                        <w:szCs w:val="16"/>
                        <w:rtl/>
                      </w:rPr>
                    </w:pPr>
                    <w:r w:rsidRPr="00031A9D">
                      <w:rPr>
                        <w:rFonts w:ascii="Calibri" w:hAnsi="Calibri" w:cs="Calibri"/>
                        <w:noProof/>
                        <w:sz w:val="16"/>
                        <w:szCs w:val="16"/>
                        <w:rtl/>
                      </w:rPr>
                      <w:t xml:space="preserve">פודקאסט </w:t>
                    </w:r>
                    <w:r w:rsidR="00972198" w:rsidRPr="00031A9D">
                      <w:rPr>
                        <w:rFonts w:ascii="Calibri" w:hAnsi="Calibri" w:cs="Calibri"/>
                        <w:noProof/>
                        <w:sz w:val="16"/>
                        <w:szCs w:val="16"/>
                        <w:rtl/>
                      </w:rPr>
                      <w:t xml:space="preserve"> בנק ישראל</w:t>
                    </w:r>
                    <w:r w:rsidR="00972198" w:rsidRPr="00031A9D">
                      <w:rPr>
                        <w:rFonts w:ascii="Calibri" w:hAnsi="Calibri" w:cs="Calibri"/>
                        <w:noProof/>
                        <w:sz w:val="16"/>
                        <w:szCs w:val="16"/>
                        <w:rtl/>
                      </w:rPr>
                      <w:br/>
                    </w:r>
                    <w:hyperlink r:id="rId2"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v:textbox>
              <w10:wrap anchorx="margin"/>
            </v:shape>
          </w:pict>
        </mc:Fallback>
      </mc:AlternateContent>
    </w:r>
    <w:r w:rsidR="00C10172" w:rsidRPr="00571971">
      <w:rPr>
        <w:rFonts w:cs="Calibri"/>
        <w:noProof/>
        <w:rtl/>
      </w:rPr>
      <w:drawing>
        <wp:anchor distT="0" distB="0" distL="114300" distR="114300" simplePos="0" relativeHeight="251667456" behindDoc="0" locked="0" layoutInCell="1" allowOverlap="1">
          <wp:simplePos x="0" y="0"/>
          <wp:positionH relativeFrom="margin">
            <wp:posOffset>5628736</wp:posOffset>
          </wp:positionH>
          <wp:positionV relativeFrom="paragraph">
            <wp:posOffset>-161769</wp:posOffset>
          </wp:positionV>
          <wp:extent cx="310551" cy="310551"/>
          <wp:effectExtent l="0" t="0" r="0" b="0"/>
          <wp:wrapNone/>
          <wp:docPr id="8" name="תמונה 8" descr="\\ntfs-jr-01\sys\מחלקת תקשורת\דוברות\תפעול לשכת הדובר\כלים\לוגו\לוגו חדש 3 שפות 2018\לוגו בלי רק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fs-jr-01\sys\מחלקת תקשורת\דוברות\תפעול לשכת הדובר\כלים\לוגו\לוגו חדש 3 שפות 2018\לוגו בלי רקע.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10739" cy="310739"/>
                  </a:xfrm>
                  <a:prstGeom prst="rect">
                    <a:avLst/>
                  </a:prstGeom>
                  <a:noFill/>
                  <a:ln>
                    <a:noFill/>
                  </a:ln>
                </pic:spPr>
              </pic:pic>
            </a:graphicData>
          </a:graphic>
          <wp14:sizeRelH relativeFrom="page">
            <wp14:pctWidth>0</wp14:pctWidth>
          </wp14:sizeRelH>
          <wp14:sizeRelV relativeFrom="page">
            <wp14:pctHeight>0</wp14:pctHeight>
          </wp14:sizeRelV>
        </wp:anchor>
      </w:drawing>
    </w:r>
    <w:r w:rsidR="00F20046">
      <w:rPr>
        <w:noProof/>
      </w:rPr>
      <w:drawing>
        <wp:anchor distT="0" distB="0" distL="114300" distR="114300" simplePos="0" relativeHeight="251662336" behindDoc="0" locked="0" layoutInCell="1" allowOverlap="1">
          <wp:simplePos x="0" y="0"/>
          <wp:positionH relativeFrom="column">
            <wp:posOffset>4231257</wp:posOffset>
          </wp:positionH>
          <wp:positionV relativeFrom="paragraph">
            <wp:posOffset>-127468</wp:posOffset>
          </wp:positionV>
          <wp:extent cx="241539" cy="241539"/>
          <wp:effectExtent l="0" t="0" r="6350" b="635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duotone>
                      <a:schemeClr val="accent5">
                        <a:shade val="45000"/>
                        <a:satMod val="135000"/>
                      </a:schemeClr>
                      <a:prstClr val="white"/>
                    </a:duotone>
                    <a:extLst>
                      <a:ext uri="{BEBA8EAE-BF5A-486C-A8C5-ECC9F3942E4B}">
                        <a14:imgProps xmlns:a14="http://schemas.microsoft.com/office/drawing/2010/main">
                          <a14:imgLayer r:embed="rId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3290" cy="243290"/>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8480" behindDoc="0" locked="0" layoutInCell="1" allowOverlap="1">
          <wp:simplePos x="0" y="0"/>
          <wp:positionH relativeFrom="column">
            <wp:posOffset>2411084</wp:posOffset>
          </wp:positionH>
          <wp:positionV relativeFrom="paragraph">
            <wp:posOffset>-135638</wp:posOffset>
          </wp:positionV>
          <wp:extent cx="266528" cy="262039"/>
          <wp:effectExtent l="0" t="0" r="635" b="5080"/>
          <wp:wrapNone/>
          <wp:docPr id="19"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pic:cNvPicPr>
                    <a:picLocks noChangeAspect="1"/>
                  </pic:cNvPicPr>
                </pic:nvPicPr>
                <pic:blipFill>
                  <a:blip r:embed="rId6" cstate="print">
                    <a:duotone>
                      <a:schemeClr val="accent5">
                        <a:shade val="45000"/>
                        <a:satMod val="135000"/>
                      </a:schemeClr>
                      <a:prstClr val="white"/>
                    </a:duotone>
                    <a:extLst>
                      <a:ext uri="{BEBA8EAE-BF5A-486C-A8C5-ECC9F3942E4B}">
                        <a14:imgProps xmlns:a14="http://schemas.microsoft.com/office/drawing/2010/main">
                          <a14:imgLayer r:embed="rId7">
                            <a14:imgEffect>
                              <a14:backgroundRemoval t="889" b="99556" l="1747" r="98035"/>
                            </a14:imgEffect>
                          </a14:imgLayer>
                        </a14:imgProps>
                      </a:ext>
                      <a:ext uri="{28A0092B-C50C-407E-A947-70E740481C1C}">
                        <a14:useLocalDpi xmlns:a14="http://schemas.microsoft.com/office/drawing/2010/main" val="0"/>
                      </a:ext>
                    </a:extLst>
                  </a:blip>
                  <a:stretch>
                    <a:fillRect/>
                  </a:stretch>
                </pic:blipFill>
                <pic:spPr>
                  <a:xfrm>
                    <a:off x="0" y="0"/>
                    <a:ext cx="272039" cy="267457"/>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9504" behindDoc="0" locked="0" layoutInCell="1" allowOverlap="1">
          <wp:simplePos x="0" y="0"/>
          <wp:positionH relativeFrom="column">
            <wp:posOffset>565030</wp:posOffset>
          </wp:positionH>
          <wp:positionV relativeFrom="paragraph">
            <wp:posOffset>-118386</wp:posOffset>
          </wp:positionV>
          <wp:extent cx="329206" cy="241456"/>
          <wp:effectExtent l="0" t="0" r="0" b="6350"/>
          <wp:wrapNone/>
          <wp:docPr id="21"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מונה 8"/>
                  <pic:cNvPicPr>
                    <a:picLocks noChangeAspect="1"/>
                  </pic:cNvPicPr>
                </pic:nvPicPr>
                <pic:blipFill>
                  <a:blip r:embed="rId8" cstate="print">
                    <a:duotone>
                      <a:schemeClr val="accent5">
                        <a:shade val="45000"/>
                        <a:satMod val="135000"/>
                      </a:schemeClr>
                      <a:prstClr val="white"/>
                    </a:duotone>
                    <a:extLst>
                      <a:ext uri="{BEBA8EAE-BF5A-486C-A8C5-ECC9F3942E4B}">
                        <a14:imgProps xmlns:a14="http://schemas.microsoft.com/office/drawing/2010/main">
                          <a14:imgLayer r:embed="rId9">
                            <a14:imgEffect>
                              <a14:backgroundRemoval t="0" b="100000" l="2765" r="98157"/>
                            </a14:imgEffect>
                          </a14:imgLayer>
                        </a14:imgProps>
                      </a:ext>
                      <a:ext uri="{28A0092B-C50C-407E-A947-70E740481C1C}">
                        <a14:useLocalDpi xmlns:a14="http://schemas.microsoft.com/office/drawing/2010/main" val="0"/>
                      </a:ext>
                    </a:extLst>
                  </a:blip>
                  <a:stretch>
                    <a:fillRect/>
                  </a:stretch>
                </pic:blipFill>
                <pic:spPr>
                  <a:xfrm>
                    <a:off x="0" y="0"/>
                    <a:ext cx="329206" cy="241456"/>
                  </a:xfrm>
                  <a:prstGeom prst="rect">
                    <a:avLst/>
                  </a:prstGeom>
                </pic:spPr>
              </pic:pic>
            </a:graphicData>
          </a:graphic>
          <wp14:sizeRelH relativeFrom="page">
            <wp14:pctWidth>0</wp14:pctWidth>
          </wp14:sizeRelH>
          <wp14:sizeRelV relativeFrom="page">
            <wp14:pctHeight>0</wp14:pctHeight>
          </wp14:sizeRelV>
        </wp:anchor>
      </w:drawing>
    </w:r>
    <w:r w:rsidR="00F20046">
      <w:rPr>
        <w:noProof/>
      </w:rPr>
      <mc:AlternateContent>
        <mc:Choice Requires="wps">
          <w:drawing>
            <wp:anchor distT="0" distB="0" distL="114300" distR="114300" simplePos="0" relativeHeight="251671552" behindDoc="0" locked="0" layoutInCell="1" allowOverlap="1" wp14:anchorId="2A58D63D" wp14:editId="2D1F9C15">
              <wp:simplePos x="0" y="0"/>
              <wp:positionH relativeFrom="margin">
                <wp:posOffset>-292471</wp:posOffset>
              </wp:positionH>
              <wp:positionV relativeFrom="paragraph">
                <wp:posOffset>76200</wp:posOffset>
              </wp:positionV>
              <wp:extent cx="2130281" cy="621030"/>
              <wp:effectExtent l="0" t="0" r="0" b="7620"/>
              <wp:wrapNone/>
              <wp:docPr id="22" name="תיבת טקסט 22"/>
              <wp:cNvGraphicFramePr/>
              <a:graphic xmlns:a="http://schemas.openxmlformats.org/drawingml/2006/main">
                <a:graphicData uri="http://schemas.microsoft.com/office/word/2010/wordprocessingShape">
                  <wps:wsp>
                    <wps:cNvSpPr txBox="1"/>
                    <wps:spPr>
                      <a:xfrm>
                        <a:off x="0" y="0"/>
                        <a:ext cx="2130281" cy="621030"/>
                      </a:xfrm>
                      <a:prstGeom prst="rect">
                        <a:avLst/>
                      </a:prstGeom>
                      <a:noFill/>
                      <a:ln w="6350">
                        <a:noFill/>
                      </a:ln>
                    </wps:spPr>
                    <wps:txbx>
                      <w:txbxContent>
                        <w:p w:rsidR="00F20046" w:rsidRPr="00031A9D" w:rsidRDefault="00031A9D" w:rsidP="00031A9D">
                          <w:pPr>
                            <w:jc w:val="center"/>
                            <w:rPr>
                              <w:rFonts w:ascii="Calibri" w:hAnsi="Calibri" w:cs="Calibri"/>
                              <w:noProof/>
                              <w:sz w:val="16"/>
                              <w:szCs w:val="16"/>
                              <w:rtl/>
                            </w:rPr>
                          </w:pPr>
                          <w:r w:rsidRPr="00031A9D">
                            <w:rPr>
                              <w:rFonts w:ascii="Calibri" w:hAnsi="Calibri" w:cs="Calibri"/>
                              <w:noProof/>
                              <w:sz w:val="16"/>
                              <w:szCs w:val="16"/>
                              <w:rtl/>
                            </w:rPr>
                            <w:t>יוטיוב -</w:t>
                          </w:r>
                          <w:r w:rsidR="00F20046" w:rsidRPr="00031A9D">
                            <w:rPr>
                              <w:rFonts w:ascii="Calibri" w:hAnsi="Calibri" w:cs="Calibri"/>
                              <w:noProof/>
                              <w:sz w:val="16"/>
                              <w:szCs w:val="16"/>
                              <w:rtl/>
                            </w:rPr>
                            <w:t xml:space="preserve"> בנק י</w:t>
                          </w:r>
                          <w:r w:rsidRPr="00031A9D">
                            <w:rPr>
                              <w:rFonts w:ascii="Calibri" w:hAnsi="Calibri" w:cs="Calibri"/>
                              <w:noProof/>
                              <w:sz w:val="16"/>
                              <w:szCs w:val="16"/>
                              <w:rtl/>
                            </w:rPr>
                            <w:t>שראל</w:t>
                          </w:r>
                          <w:r w:rsidR="00F20046" w:rsidRPr="00031A9D">
                            <w:rPr>
                              <w:rFonts w:ascii="Calibri" w:hAnsi="Calibri" w:cs="Calibri"/>
                              <w:noProof/>
                              <w:sz w:val="16"/>
                              <w:szCs w:val="16"/>
                              <w:rtl/>
                            </w:rPr>
                            <w:br/>
                          </w:r>
                          <w:hyperlink r:id="rId10"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8D63D" id="תיבת טקסט 22" o:spid="_x0000_s1027" type="#_x0000_t202" style="position:absolute;margin-left:-23.05pt;margin-top:6pt;width:167.75pt;height:48.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" filled="f" stroked="f" strokeweight=".5pt">
              <v:textbox>
                <w:txbxContent>
                  <w:p w:rsidR="00F20046" w:rsidRPr="00031A9D" w:rsidRDefault="00031A9D" w:rsidP="00031A9D">
                    <w:pPr>
                      <w:jc w:val="center"/>
                      <w:rPr>
                        <w:rFonts w:ascii="Calibri" w:hAnsi="Calibri" w:cs="Calibri"/>
                        <w:noProof/>
                        <w:sz w:val="16"/>
                        <w:szCs w:val="16"/>
                        <w:rtl/>
                      </w:rPr>
                    </w:pPr>
                    <w:r w:rsidRPr="00031A9D">
                      <w:rPr>
                        <w:rFonts w:ascii="Calibri" w:hAnsi="Calibri" w:cs="Calibri"/>
                        <w:noProof/>
                        <w:sz w:val="16"/>
                        <w:szCs w:val="16"/>
                        <w:rtl/>
                      </w:rPr>
                      <w:t>יוטיוב -</w:t>
                    </w:r>
                    <w:r w:rsidR="00F20046" w:rsidRPr="00031A9D">
                      <w:rPr>
                        <w:rFonts w:ascii="Calibri" w:hAnsi="Calibri" w:cs="Calibri"/>
                        <w:noProof/>
                        <w:sz w:val="16"/>
                        <w:szCs w:val="16"/>
                        <w:rtl/>
                      </w:rPr>
                      <w:t xml:space="preserve"> בנק י</w:t>
                    </w:r>
                    <w:r w:rsidRPr="00031A9D">
                      <w:rPr>
                        <w:rFonts w:ascii="Calibri" w:hAnsi="Calibri" w:cs="Calibri"/>
                        <w:noProof/>
                        <w:sz w:val="16"/>
                        <w:szCs w:val="16"/>
                        <w:rtl/>
                      </w:rPr>
                      <w:t>שראל</w:t>
                    </w:r>
                    <w:r w:rsidR="00F20046" w:rsidRPr="00031A9D">
                      <w:rPr>
                        <w:rFonts w:ascii="Calibri" w:hAnsi="Calibri" w:cs="Calibri"/>
                        <w:noProof/>
                        <w:sz w:val="16"/>
                        <w:szCs w:val="16"/>
                        <w:rtl/>
                      </w:rPr>
                      <w:br/>
                    </w:r>
                    <w:hyperlink r:id="rId11"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v:textbox>
              <w10:wrap anchorx="margin"/>
            </v:shape>
          </w:pict>
        </mc:Fallback>
      </mc:AlternateContent>
    </w:r>
    <w:r w:rsidR="00F20046">
      <w:rPr>
        <w:noProof/>
      </w:rPr>
      <mc:AlternateContent>
        <mc:Choice Requires="wps">
          <w:drawing>
            <wp:anchor distT="0" distB="0" distL="114300" distR="114300" simplePos="0" relativeHeight="251661312" behindDoc="0" locked="0" layoutInCell="1" allowOverlap="1" wp14:anchorId="71AF4990" wp14:editId="6CA604D5">
              <wp:simplePos x="0" y="0"/>
              <wp:positionH relativeFrom="column">
                <wp:posOffset>3257861</wp:posOffset>
              </wp:positionH>
              <wp:positionV relativeFrom="paragraph">
                <wp:posOffset>89750</wp:posOffset>
              </wp:positionV>
              <wp:extent cx="2181860" cy="457200"/>
              <wp:effectExtent l="0" t="0" r="0" b="0"/>
              <wp:wrapNone/>
              <wp:docPr id="9" name="תיבת טקסט 9"/>
              <wp:cNvGraphicFramePr/>
              <a:graphic xmlns:a="http://schemas.openxmlformats.org/drawingml/2006/main">
                <a:graphicData uri="http://schemas.microsoft.com/office/word/2010/wordprocessingShape">
                  <wps:wsp>
                    <wps:cNvSpPr txBox="1"/>
                    <wps:spPr>
                      <a:xfrm>
                        <a:off x="0" y="0"/>
                        <a:ext cx="2181860" cy="457200"/>
                      </a:xfrm>
                      <a:prstGeom prst="rect">
                        <a:avLst/>
                      </a:prstGeom>
                      <a:noFill/>
                      <a:ln w="6350">
                        <a:noFill/>
                      </a:ln>
                    </wps:spPr>
                    <wps:txbx>
                      <w:txbxContent>
                        <w:p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heme="minorHAnsi"/>
                              <w:noProof/>
                              <w:sz w:val="16"/>
                              <w:szCs w:val="16"/>
                              <w:rtl/>
                            </w:rPr>
                            <w:t xml:space="preserve">פייסבוק - </w:t>
                          </w:r>
                          <w:r w:rsidR="00571971" w:rsidRPr="00031A9D">
                            <w:rPr>
                              <w:rFonts w:asciiTheme="minorHAnsi" w:hAnsiTheme="minorHAnsi" w:cstheme="minorHAnsi"/>
                              <w:noProof/>
                              <w:sz w:val="16"/>
                              <w:szCs w:val="16"/>
                              <w:rtl/>
                            </w:rPr>
                            <w:t>בנק ישראל</w:t>
                          </w:r>
                          <w:r w:rsidR="00571971" w:rsidRPr="00031A9D">
                            <w:rPr>
                              <w:rFonts w:asciiTheme="minorHAnsi" w:hAnsiTheme="minorHAnsi" w:cstheme="minorHAnsi"/>
                              <w:sz w:val="16"/>
                              <w:szCs w:val="16"/>
                              <w:rtl/>
                            </w:rPr>
                            <w:br/>
                          </w:r>
                          <w:hyperlink r:id="rId12" w:history="1">
                            <w:r w:rsidR="00571971" w:rsidRPr="00031A9D">
                              <w:rPr>
                                <w:rStyle w:val="Hyperlink"/>
                                <w:rFonts w:asciiTheme="minorHAnsi" w:hAnsiTheme="minorHAnsi" w:cstheme="minorHAnsi"/>
                                <w:sz w:val="14"/>
                                <w:szCs w:val="14"/>
                              </w:rPr>
                              <w:t>https://www.facebook.com/bankisraelvc</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1AF4990" id="תיבת טקסט 9" o:spid="_x0000_s1028" type="#_x0000_t202" style="position:absolute;margin-left:256.5pt;margin-top:7.05pt;width:171.8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" filled="f" stroked="f" strokeweight=".5pt">
              <v:textbox>
                <w:txbxContent>
                  <w:p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heme="minorHAnsi"/>
                        <w:noProof/>
                        <w:sz w:val="16"/>
                        <w:szCs w:val="16"/>
                        <w:rtl/>
                      </w:rPr>
                      <w:t xml:space="preserve">פייסבוק - </w:t>
                    </w:r>
                    <w:r w:rsidR="00571971" w:rsidRPr="00031A9D">
                      <w:rPr>
                        <w:rFonts w:asciiTheme="minorHAnsi" w:hAnsiTheme="minorHAnsi" w:cstheme="minorHAnsi"/>
                        <w:noProof/>
                        <w:sz w:val="16"/>
                        <w:szCs w:val="16"/>
                        <w:rtl/>
                      </w:rPr>
                      <w:t>בנק ישראל</w:t>
                    </w:r>
                    <w:r w:rsidR="00571971" w:rsidRPr="00031A9D">
                      <w:rPr>
                        <w:rFonts w:asciiTheme="minorHAnsi" w:hAnsiTheme="minorHAnsi" w:cstheme="minorHAnsi"/>
                        <w:sz w:val="16"/>
                        <w:szCs w:val="16"/>
                        <w:rtl/>
                      </w:rPr>
                      <w:br/>
                    </w:r>
                    <w:hyperlink r:id="rId13" w:history="1">
                      <w:r w:rsidR="00571971" w:rsidRPr="00031A9D">
                        <w:rPr>
                          <w:rStyle w:val="Hyperlink"/>
                          <w:rFonts w:asciiTheme="minorHAnsi" w:hAnsiTheme="minorHAnsi" w:cstheme="minorHAnsi"/>
                          <w:sz w:val="14"/>
                          <w:szCs w:val="14"/>
                        </w:rPr>
                        <w:t>https://www.facebook.com/bankisraelvc</w:t>
                      </w:r>
                    </w:hyperlink>
                  </w:p>
                </w:txbxContent>
              </v:textbox>
            </v:shape>
          </w:pict>
        </mc:Fallback>
      </mc:AlternateContent>
    </w:r>
    <w:r w:rsidR="00F20046">
      <w:rPr>
        <w:noProof/>
      </w:rPr>
      <mc:AlternateContent>
        <mc:Choice Requires="wps">
          <w:drawing>
            <wp:anchor distT="0" distB="0" distL="114300" distR="114300" simplePos="0" relativeHeight="251659264" behindDoc="0" locked="0" layoutInCell="1" allowOverlap="1">
              <wp:simplePos x="0" y="0"/>
              <wp:positionH relativeFrom="column">
                <wp:posOffset>5014583</wp:posOffset>
              </wp:positionH>
              <wp:positionV relativeFrom="paragraph">
                <wp:posOffset>89164</wp:posOffset>
              </wp:positionV>
              <wp:extent cx="1535430" cy="457200"/>
              <wp:effectExtent l="0" t="0" r="0" b="0"/>
              <wp:wrapNone/>
              <wp:docPr id="7" name="תיבת טקסט 7"/>
              <wp:cNvGraphicFramePr/>
              <a:graphic xmlns:a="http://schemas.openxmlformats.org/drawingml/2006/main">
                <a:graphicData uri="http://schemas.microsoft.com/office/word/2010/wordprocessingShape">
                  <wps:wsp>
                    <wps:cNvSpPr txBox="1"/>
                    <wps:spPr>
                      <a:xfrm>
                        <a:off x="0" y="0"/>
                        <a:ext cx="1535430" cy="457200"/>
                      </a:xfrm>
                      <a:prstGeom prst="rect">
                        <a:avLst/>
                      </a:prstGeom>
                      <a:noFill/>
                      <a:ln w="6350">
                        <a:noFill/>
                      </a:ln>
                    </wps:spPr>
                    <wps:txbx>
                      <w:txbxContent>
                        <w:p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4"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 id="תיבת טקסט 7" o:spid="_x0000_s1029" type="#_x0000_t202" style="position:absolute;margin-left:394.85pt;margin-top:7pt;width:120.9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" filled="f" stroked="f" strokeweight=".5pt">
              <v:textbox>
                <w:txbxContent>
                  <w:p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5"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v:textbox>
            </v:shape>
          </w:pict>
        </mc:Fallback>
      </mc:AlternateContent>
    </w:r>
    <w:r w:rsidR="00B677DC">
      <w:rPr>
        <w:noProof/>
      </w:rPr>
      <mc:AlternateContent>
        <mc:Choice Requires="wps">
          <w:drawing>
            <wp:anchor distT="0" distB="0" distL="114300" distR="114300" simplePos="0" relativeHeight="251666432" behindDoc="0" locked="0" layoutInCell="1" allowOverlap="1">
              <wp:simplePos x="0" y="0"/>
              <wp:positionH relativeFrom="column">
                <wp:posOffset>-81915</wp:posOffset>
              </wp:positionH>
              <wp:positionV relativeFrom="paragraph">
                <wp:posOffset>-223149</wp:posOffset>
              </wp:positionV>
              <wp:extent cx="6228080" cy="0"/>
              <wp:effectExtent l="0" t="0" r="20320" b="19050"/>
              <wp:wrapNone/>
              <wp:docPr id="15" name="מחבר ישר 15"/>
              <wp:cNvGraphicFramePr/>
              <a:graphic xmlns:a="http://schemas.openxmlformats.org/drawingml/2006/main">
                <a:graphicData uri="http://schemas.microsoft.com/office/word/2010/wordprocessingShape">
                  <wps:wsp>
                    <wps:cNvCnPr/>
                    <wps:spPr>
                      <a:xfrm flipH="1">
                        <a:off x="0" y="0"/>
                        <a:ext cx="6228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FAD1803" id="מחבר ישר 15" o:spid="_x0000_s1026" style="position:absolute;left:0;text-align:left;flip:x;z-index:251666432;visibility:visible;mso-wrap-style:square;mso-wrap-distance-left:9pt;mso-wrap-distance-top:0;mso-wrap-distance-right:9pt;mso-wrap-distance-bottom:0;mso-position-horizontal:absolute;mso-position-horizontal-relative:text;mso-position-vertical:absolute;mso-position-vertical-relative:text" from="-6.45pt,-17.55pt" to="483.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" strokecolor="black [3040]"/>
          </w:pict>
        </mc:Fallback>
      </mc:AlternateContent>
    </w:r>
    <w:r w:rsidR="00972198" w:rsidRPr="00571971">
      <w:rPr>
        <w:rFonts w:cs="Calibri"/>
        <w:noProof/>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BB6" w:rsidRDefault="00431BB6" w:rsidP="00E04682">
      <w:pPr>
        <w:spacing w:after="0" w:line="240" w:lineRule="auto"/>
      </w:pPr>
      <w:r>
        <w:separator/>
      </w:r>
    </w:p>
  </w:footnote>
  <w:footnote w:type="continuationSeparator" w:id="0">
    <w:p w:rsidR="00431BB6" w:rsidRDefault="00431BB6" w:rsidP="00E04682">
      <w:pPr>
        <w:spacing w:after="0" w:line="240" w:lineRule="auto"/>
      </w:pPr>
      <w:r>
        <w:continuationSeparator/>
      </w:r>
    </w:p>
  </w:footnote>
  <w:footnote w:id="1">
    <w:p w:rsidR="00894D8A" w:rsidRPr="00855677" w:rsidRDefault="00894D8A" w:rsidP="00894D8A">
      <w:pPr>
        <w:pStyle w:val="af0"/>
        <w:bidi/>
        <w:rPr>
          <w:rFonts w:cstheme="minorBidi"/>
          <w:rtl/>
        </w:rPr>
      </w:pPr>
      <w:r w:rsidRPr="00855677">
        <w:rPr>
          <w:rStyle w:val="af2"/>
        </w:rPr>
        <w:footnoteRef/>
      </w:r>
      <w:r w:rsidRPr="00855677">
        <w:t xml:space="preserve"> </w:t>
      </w:r>
      <w:r w:rsidRPr="00855677">
        <w:rPr>
          <w:rFonts w:ascii="David" w:hAnsi="David" w:cs="David" w:hint="eastAsia"/>
          <w:rtl/>
        </w:rPr>
        <w:t>למידע</w:t>
      </w:r>
      <w:r w:rsidRPr="00855677">
        <w:rPr>
          <w:rFonts w:ascii="David" w:hAnsi="David" w:cs="David"/>
          <w:rtl/>
        </w:rPr>
        <w:t xml:space="preserve"> נוסף על פעילות המגזרים בשוק מטבע חוץ ראה את "מבט סטטיסטי 2024 – פרק ד" : </w:t>
      </w:r>
      <w:hyperlink r:id="rId1" w:tgtFrame="_blank" w:tooltip="https://www.boi.org.il/publications/regularpublications/statistic_bulletin/bulletin2024/" w:history="1">
        <w:r w:rsidRPr="00855677">
          <w:rPr>
            <w:rStyle w:val="Hyperlink"/>
            <w:rFonts w:ascii="David" w:hAnsi="David" w:cs="David"/>
          </w:rPr>
          <w:t>https://www.boi.org.il/publications/regularpublications/statistic_bulletin/bulletin2024/</w:t>
        </w:r>
      </w:hyperlink>
    </w:p>
  </w:footnote>
  <w:footnote w:id="2">
    <w:p w:rsidR="00894D8A" w:rsidRPr="00855677" w:rsidRDefault="00894D8A" w:rsidP="00894D8A">
      <w:pPr>
        <w:pStyle w:val="af0"/>
        <w:bidi/>
        <w:rPr>
          <w:rFonts w:ascii="David" w:hAnsi="David" w:cs="David"/>
          <w:rtl/>
        </w:rPr>
      </w:pPr>
      <w:r w:rsidRPr="00855677">
        <w:rPr>
          <w:rStyle w:val="af2"/>
        </w:rPr>
        <w:footnoteRef/>
      </w:r>
      <w:r w:rsidRPr="00855677">
        <w:t xml:space="preserve"> </w:t>
      </w:r>
      <w:r w:rsidRPr="00855677">
        <w:rPr>
          <w:rFonts w:ascii="David" w:hAnsi="David" w:cs="David"/>
          <w:rtl/>
        </w:rPr>
        <w:t xml:space="preserve">המגזרים העיקריים המוצגים אינם מהווים את כל השוק - למידע נוסף ראה את" מערכת הנתונים על פעילות השוק שקל/מטבע חוץ" בפרסום מבט סטטיסטי </w:t>
      </w:r>
      <w:r w:rsidRPr="00855677">
        <w:rPr>
          <w:rFonts w:ascii="David" w:hAnsi="David" w:cs="David"/>
        </w:rPr>
        <w:t>2024</w:t>
      </w:r>
    </w:p>
    <w:p w:rsidR="00894D8A" w:rsidRPr="00FC3FED" w:rsidRDefault="00894D8A" w:rsidP="00894D8A">
      <w:pPr>
        <w:pStyle w:val="af0"/>
        <w:bidi/>
        <w:rPr>
          <w:rFonts w:ascii="David" w:hAnsi="David" w:cs="David"/>
          <w:rtl/>
        </w:rPr>
      </w:pPr>
      <w:hyperlink r:id="rId2" w:history="1">
        <w:r w:rsidRPr="00855677">
          <w:rPr>
            <w:rStyle w:val="Hyperlink"/>
            <w:rFonts w:ascii="David" w:hAnsi="David" w:cs="David"/>
          </w:rPr>
          <w:t>https://www.boi.org.il/publications/regularpublications/statistic_bulletin/bulletin2024</w:t>
        </w:r>
        <w:r w:rsidRPr="00855677">
          <w:rPr>
            <w:rStyle w:val="Hyperlink"/>
            <w:rFonts w:ascii="David" w:hAnsi="David" w:cs="David"/>
            <w:rtl/>
          </w:rPr>
          <w:t>/</w:t>
        </w:r>
      </w:hyperlink>
    </w:p>
  </w:footnote>
  <w:footnote w:id="3">
    <w:p w:rsidR="00894D8A" w:rsidRPr="004372A2" w:rsidRDefault="00894D8A" w:rsidP="00894D8A">
      <w:pPr>
        <w:pStyle w:val="af0"/>
        <w:bidi/>
        <w:rPr>
          <w:rFonts w:ascii="David" w:hAnsi="David" w:cs="David"/>
          <w:rtl/>
        </w:rPr>
      </w:pPr>
      <w:r w:rsidRPr="00256361">
        <w:rPr>
          <w:rStyle w:val="af2"/>
          <w:rFonts w:ascii="David" w:hAnsi="David" w:cs="David"/>
        </w:rPr>
        <w:footnoteRef/>
      </w:r>
      <w:r w:rsidRPr="00256361">
        <w:rPr>
          <w:rFonts w:ascii="David" w:hAnsi="David" w:cs="David"/>
        </w:rPr>
        <w:t xml:space="preserve"> </w:t>
      </w:r>
      <w:r>
        <w:rPr>
          <w:rFonts w:ascii="David" w:hAnsi="David" w:cs="David" w:hint="cs"/>
          <w:rtl/>
        </w:rPr>
        <w:t xml:space="preserve">החל משנת 2020, הנתונים לא כוללים סניפים של בנקים זרים בישראל. </w:t>
      </w:r>
    </w:p>
  </w:footnote>
  <w:footnote w:id="4">
    <w:p w:rsidR="00894D8A" w:rsidRPr="00894D8A" w:rsidRDefault="00894D8A" w:rsidP="00894D8A">
      <w:pPr>
        <w:bidi/>
        <w:rPr>
          <w:rFonts w:asciiTheme="minorHAnsi" w:hAnsiTheme="minorHAnsi" w:cstheme="minorHAnsi"/>
          <w:sz w:val="20"/>
          <w:szCs w:val="20"/>
          <w:rtl/>
        </w:rPr>
      </w:pPr>
      <w:r w:rsidRPr="00894D8A">
        <w:rPr>
          <w:rStyle w:val="af2"/>
          <w:rFonts w:asciiTheme="minorHAnsi" w:hAnsiTheme="minorHAnsi" w:cstheme="minorHAnsi"/>
          <w:sz w:val="20"/>
          <w:szCs w:val="20"/>
        </w:rPr>
        <w:footnoteRef/>
      </w:r>
      <w:r w:rsidRPr="00894D8A">
        <w:rPr>
          <w:rFonts w:asciiTheme="minorHAnsi" w:hAnsiTheme="minorHAnsi" w:cstheme="minorHAnsi"/>
          <w:sz w:val="20"/>
          <w:szCs w:val="20"/>
        </w:rPr>
        <w:t xml:space="preserve"> </w:t>
      </w:r>
      <w:r w:rsidRPr="00894D8A">
        <w:rPr>
          <w:rFonts w:asciiTheme="minorHAnsi" w:eastAsiaTheme="minorHAnsi" w:hAnsiTheme="minorHAnsi" w:cstheme="minorHAnsi"/>
          <w:sz w:val="20"/>
          <w:szCs w:val="20"/>
          <w:rtl/>
        </w:rPr>
        <w:t>נפח המסחר הכולל הוא אומדן לפעילות הכוללת בעסקאות מול השקל, מבוסס על דיווחים של מערכת הבנקאות המקומית ושל מדווחים זרים.</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C6049"/>
    <w:multiLevelType w:val="hybridMultilevel"/>
    <w:tmpl w:val="3A4AADEA"/>
    <w:lvl w:ilvl="0" w:tplc="BCEC41EA">
      <w:numFmt w:val="bullet"/>
      <w:lvlText w:val=""/>
      <w:lvlJc w:val="left"/>
      <w:pPr>
        <w:ind w:left="720" w:hanging="360"/>
      </w:pPr>
      <w:rPr>
        <w:rFonts w:ascii="Symbol" w:eastAsia="David"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1D014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654D7F"/>
    <w:multiLevelType w:val="hybridMultilevel"/>
    <w:tmpl w:val="7ECE0DC4"/>
    <w:lvl w:ilvl="0" w:tplc="311A03AC">
      <w:start w:val="1"/>
      <w:numFmt w:val="bullet"/>
      <w:lvlText w:val=""/>
      <w:lvlJc w:val="left"/>
      <w:pPr>
        <w:ind w:left="1513" w:hanging="360"/>
      </w:pPr>
      <w:rPr>
        <w:rFonts w:ascii="Symbol" w:hAnsi="Symbol" w:hint="default"/>
      </w:rPr>
    </w:lvl>
    <w:lvl w:ilvl="1" w:tplc="2CB8D966" w:tentative="1">
      <w:start w:val="1"/>
      <w:numFmt w:val="bullet"/>
      <w:lvlText w:val="o"/>
      <w:lvlJc w:val="left"/>
      <w:pPr>
        <w:ind w:left="2233" w:hanging="360"/>
      </w:pPr>
      <w:rPr>
        <w:rFonts w:ascii="Courier New" w:hAnsi="Courier New" w:cs="Courier New" w:hint="default"/>
      </w:rPr>
    </w:lvl>
    <w:lvl w:ilvl="2" w:tplc="D0E099F0" w:tentative="1">
      <w:start w:val="1"/>
      <w:numFmt w:val="bullet"/>
      <w:lvlText w:val=""/>
      <w:lvlJc w:val="left"/>
      <w:pPr>
        <w:ind w:left="2953" w:hanging="360"/>
      </w:pPr>
      <w:rPr>
        <w:rFonts w:ascii="Wingdings" w:hAnsi="Wingdings" w:hint="default"/>
      </w:rPr>
    </w:lvl>
    <w:lvl w:ilvl="3" w:tplc="F84073CA" w:tentative="1">
      <w:start w:val="1"/>
      <w:numFmt w:val="bullet"/>
      <w:lvlText w:val=""/>
      <w:lvlJc w:val="left"/>
      <w:pPr>
        <w:ind w:left="3673" w:hanging="360"/>
      </w:pPr>
      <w:rPr>
        <w:rFonts w:ascii="Symbol" w:hAnsi="Symbol" w:hint="default"/>
      </w:rPr>
    </w:lvl>
    <w:lvl w:ilvl="4" w:tplc="95A41C3A" w:tentative="1">
      <w:start w:val="1"/>
      <w:numFmt w:val="bullet"/>
      <w:lvlText w:val="o"/>
      <w:lvlJc w:val="left"/>
      <w:pPr>
        <w:ind w:left="4393" w:hanging="360"/>
      </w:pPr>
      <w:rPr>
        <w:rFonts w:ascii="Courier New" w:hAnsi="Courier New" w:cs="Courier New" w:hint="default"/>
      </w:rPr>
    </w:lvl>
    <w:lvl w:ilvl="5" w:tplc="4D0635D2" w:tentative="1">
      <w:start w:val="1"/>
      <w:numFmt w:val="bullet"/>
      <w:lvlText w:val=""/>
      <w:lvlJc w:val="left"/>
      <w:pPr>
        <w:ind w:left="5113" w:hanging="360"/>
      </w:pPr>
      <w:rPr>
        <w:rFonts w:ascii="Wingdings" w:hAnsi="Wingdings" w:hint="default"/>
      </w:rPr>
    </w:lvl>
    <w:lvl w:ilvl="6" w:tplc="0CF8D35A" w:tentative="1">
      <w:start w:val="1"/>
      <w:numFmt w:val="bullet"/>
      <w:lvlText w:val=""/>
      <w:lvlJc w:val="left"/>
      <w:pPr>
        <w:ind w:left="5833" w:hanging="360"/>
      </w:pPr>
      <w:rPr>
        <w:rFonts w:ascii="Symbol" w:hAnsi="Symbol" w:hint="default"/>
      </w:rPr>
    </w:lvl>
    <w:lvl w:ilvl="7" w:tplc="DE04F528" w:tentative="1">
      <w:start w:val="1"/>
      <w:numFmt w:val="bullet"/>
      <w:lvlText w:val="o"/>
      <w:lvlJc w:val="left"/>
      <w:pPr>
        <w:ind w:left="6553" w:hanging="360"/>
      </w:pPr>
      <w:rPr>
        <w:rFonts w:ascii="Courier New" w:hAnsi="Courier New" w:cs="Courier New" w:hint="default"/>
      </w:rPr>
    </w:lvl>
    <w:lvl w:ilvl="8" w:tplc="822AFB6E" w:tentative="1">
      <w:start w:val="1"/>
      <w:numFmt w:val="bullet"/>
      <w:lvlText w:val=""/>
      <w:lvlJc w:val="left"/>
      <w:pPr>
        <w:ind w:left="7273" w:hanging="360"/>
      </w:pPr>
      <w:rPr>
        <w:rFonts w:ascii="Wingdings" w:hAnsi="Wingdings" w:hint="default"/>
      </w:rPr>
    </w:lvl>
  </w:abstractNum>
  <w:abstractNum w:abstractNumId="3" w15:restartNumberingAfterBreak="0">
    <w:nsid w:val="3A951D18"/>
    <w:multiLevelType w:val="hybridMultilevel"/>
    <w:tmpl w:val="8D94D286"/>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210C5A"/>
    <w:multiLevelType w:val="hybridMultilevel"/>
    <w:tmpl w:val="1F0214CA"/>
    <w:lvl w:ilvl="0" w:tplc="D41CDC90">
      <w:numFmt w:val="bullet"/>
      <w:lvlText w:val=""/>
      <w:lvlJc w:val="left"/>
      <w:pPr>
        <w:ind w:left="668" w:hanging="360"/>
      </w:pPr>
      <w:rPr>
        <w:rFonts w:ascii="Symbol" w:eastAsiaTheme="minorHAnsi" w:hAnsi="Symbol" w:cs="Assistant" w:hint="default"/>
      </w:rPr>
    </w:lvl>
    <w:lvl w:ilvl="1" w:tplc="04090003">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5" w15:restartNumberingAfterBreak="0">
    <w:nsid w:val="577F64B2"/>
    <w:multiLevelType w:val="hybridMultilevel"/>
    <w:tmpl w:val="A3EC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014A7D"/>
    <w:multiLevelType w:val="hybridMultilevel"/>
    <w:tmpl w:val="CC7060DA"/>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F8B7446"/>
    <w:multiLevelType w:val="hybridMultilevel"/>
    <w:tmpl w:val="EC7A8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0642CF"/>
    <w:multiLevelType w:val="hybridMultilevel"/>
    <w:tmpl w:val="917A7A3C"/>
    <w:lvl w:ilvl="0" w:tplc="69484BF8">
      <w:numFmt w:val="bullet"/>
      <w:lvlText w:val="•"/>
      <w:lvlJc w:val="left"/>
      <w:pPr>
        <w:ind w:left="720" w:hanging="720"/>
      </w:pPr>
      <w:rPr>
        <w:rFonts w:ascii="Calibri" w:eastAsia="David"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0941A4"/>
    <w:multiLevelType w:val="hybridMultilevel"/>
    <w:tmpl w:val="D5825F84"/>
    <w:lvl w:ilvl="0" w:tplc="2C8673AE">
      <w:start w:val="1"/>
      <w:numFmt w:val="bullet"/>
      <w:lvlText w:val=""/>
      <w:lvlJc w:val="left"/>
      <w:pPr>
        <w:ind w:left="720" w:hanging="360"/>
      </w:pPr>
      <w:rPr>
        <w:rFonts w:ascii="Symbol" w:hAnsi="Symbol" w:hint="default"/>
      </w:rPr>
    </w:lvl>
    <w:lvl w:ilvl="1" w:tplc="416E8F56" w:tentative="1">
      <w:start w:val="1"/>
      <w:numFmt w:val="bullet"/>
      <w:lvlText w:val="o"/>
      <w:lvlJc w:val="left"/>
      <w:pPr>
        <w:ind w:left="1440" w:hanging="360"/>
      </w:pPr>
      <w:rPr>
        <w:rFonts w:ascii="Courier New" w:hAnsi="Courier New" w:cs="Courier New" w:hint="default"/>
      </w:rPr>
    </w:lvl>
    <w:lvl w:ilvl="2" w:tplc="392CE05C" w:tentative="1">
      <w:start w:val="1"/>
      <w:numFmt w:val="bullet"/>
      <w:lvlText w:val=""/>
      <w:lvlJc w:val="left"/>
      <w:pPr>
        <w:ind w:left="2160" w:hanging="360"/>
      </w:pPr>
      <w:rPr>
        <w:rFonts w:ascii="Wingdings" w:hAnsi="Wingdings" w:hint="default"/>
      </w:rPr>
    </w:lvl>
    <w:lvl w:ilvl="3" w:tplc="BFAEF2A0" w:tentative="1">
      <w:start w:val="1"/>
      <w:numFmt w:val="bullet"/>
      <w:lvlText w:val=""/>
      <w:lvlJc w:val="left"/>
      <w:pPr>
        <w:ind w:left="2880" w:hanging="360"/>
      </w:pPr>
      <w:rPr>
        <w:rFonts w:ascii="Symbol" w:hAnsi="Symbol" w:hint="default"/>
      </w:rPr>
    </w:lvl>
    <w:lvl w:ilvl="4" w:tplc="9F04FF50" w:tentative="1">
      <w:start w:val="1"/>
      <w:numFmt w:val="bullet"/>
      <w:lvlText w:val="o"/>
      <w:lvlJc w:val="left"/>
      <w:pPr>
        <w:ind w:left="3600" w:hanging="360"/>
      </w:pPr>
      <w:rPr>
        <w:rFonts w:ascii="Courier New" w:hAnsi="Courier New" w:cs="Courier New" w:hint="default"/>
      </w:rPr>
    </w:lvl>
    <w:lvl w:ilvl="5" w:tplc="602A822A" w:tentative="1">
      <w:start w:val="1"/>
      <w:numFmt w:val="bullet"/>
      <w:lvlText w:val=""/>
      <w:lvlJc w:val="left"/>
      <w:pPr>
        <w:ind w:left="4320" w:hanging="360"/>
      </w:pPr>
      <w:rPr>
        <w:rFonts w:ascii="Wingdings" w:hAnsi="Wingdings" w:hint="default"/>
      </w:rPr>
    </w:lvl>
    <w:lvl w:ilvl="6" w:tplc="098C949E" w:tentative="1">
      <w:start w:val="1"/>
      <w:numFmt w:val="bullet"/>
      <w:lvlText w:val=""/>
      <w:lvlJc w:val="left"/>
      <w:pPr>
        <w:ind w:left="5040" w:hanging="360"/>
      </w:pPr>
      <w:rPr>
        <w:rFonts w:ascii="Symbol" w:hAnsi="Symbol" w:hint="default"/>
      </w:rPr>
    </w:lvl>
    <w:lvl w:ilvl="7" w:tplc="E3E09A74" w:tentative="1">
      <w:start w:val="1"/>
      <w:numFmt w:val="bullet"/>
      <w:lvlText w:val="o"/>
      <w:lvlJc w:val="left"/>
      <w:pPr>
        <w:ind w:left="5760" w:hanging="360"/>
      </w:pPr>
      <w:rPr>
        <w:rFonts w:ascii="Courier New" w:hAnsi="Courier New" w:cs="Courier New" w:hint="default"/>
      </w:rPr>
    </w:lvl>
    <w:lvl w:ilvl="8" w:tplc="F7B45E2A"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0"/>
  </w:num>
  <w:num w:numId="5">
    <w:abstractNumId w:val="1"/>
  </w:num>
  <w:num w:numId="6">
    <w:abstractNumId w:val="9"/>
  </w:num>
  <w:num w:numId="7">
    <w:abstractNumId w:val="7"/>
  </w:num>
  <w:num w:numId="8">
    <w:abstractNumId w:val="6"/>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0A"/>
    <w:rsid w:val="0000680E"/>
    <w:rsid w:val="00012503"/>
    <w:rsid w:val="00031A9D"/>
    <w:rsid w:val="00040A7F"/>
    <w:rsid w:val="00045C65"/>
    <w:rsid w:val="00055CC5"/>
    <w:rsid w:val="00065B9B"/>
    <w:rsid w:val="000727FD"/>
    <w:rsid w:val="00084B5A"/>
    <w:rsid w:val="000857B7"/>
    <w:rsid w:val="00087BB3"/>
    <w:rsid w:val="00095555"/>
    <w:rsid w:val="00096238"/>
    <w:rsid w:val="000A5329"/>
    <w:rsid w:val="000B589E"/>
    <w:rsid w:val="000C1E4D"/>
    <w:rsid w:val="000D2157"/>
    <w:rsid w:val="000D5445"/>
    <w:rsid w:val="000E7ED2"/>
    <w:rsid w:val="00100012"/>
    <w:rsid w:val="00113BC9"/>
    <w:rsid w:val="00115277"/>
    <w:rsid w:val="00115FEF"/>
    <w:rsid w:val="00127DAC"/>
    <w:rsid w:val="00151A07"/>
    <w:rsid w:val="00156135"/>
    <w:rsid w:val="00162DCC"/>
    <w:rsid w:val="00166DBC"/>
    <w:rsid w:val="001705B9"/>
    <w:rsid w:val="00170DDB"/>
    <w:rsid w:val="00184E4C"/>
    <w:rsid w:val="0019079B"/>
    <w:rsid w:val="00196785"/>
    <w:rsid w:val="001A2670"/>
    <w:rsid w:val="001A53CE"/>
    <w:rsid w:val="001B05C6"/>
    <w:rsid w:val="001B28C8"/>
    <w:rsid w:val="001B5E43"/>
    <w:rsid w:val="001C194B"/>
    <w:rsid w:val="001C7D79"/>
    <w:rsid w:val="001D5E62"/>
    <w:rsid w:val="001E0275"/>
    <w:rsid w:val="001E2886"/>
    <w:rsid w:val="001E46DB"/>
    <w:rsid w:val="001F2BE7"/>
    <w:rsid w:val="00223D37"/>
    <w:rsid w:val="00225BDF"/>
    <w:rsid w:val="00245BA3"/>
    <w:rsid w:val="00256095"/>
    <w:rsid w:val="00256D97"/>
    <w:rsid w:val="00265657"/>
    <w:rsid w:val="00274912"/>
    <w:rsid w:val="00275FE8"/>
    <w:rsid w:val="002834B6"/>
    <w:rsid w:val="00290B54"/>
    <w:rsid w:val="00297F94"/>
    <w:rsid w:val="002A2E4C"/>
    <w:rsid w:val="002A3CC4"/>
    <w:rsid w:val="002B564E"/>
    <w:rsid w:val="002B7877"/>
    <w:rsid w:val="002C05A5"/>
    <w:rsid w:val="002C754F"/>
    <w:rsid w:val="002D7AA8"/>
    <w:rsid w:val="002E12E5"/>
    <w:rsid w:val="002E330F"/>
    <w:rsid w:val="002E5F96"/>
    <w:rsid w:val="002F62A1"/>
    <w:rsid w:val="00301F96"/>
    <w:rsid w:val="003144E6"/>
    <w:rsid w:val="00315D7C"/>
    <w:rsid w:val="00316C9F"/>
    <w:rsid w:val="0031701E"/>
    <w:rsid w:val="0032792A"/>
    <w:rsid w:val="003353C9"/>
    <w:rsid w:val="00341083"/>
    <w:rsid w:val="00352E3C"/>
    <w:rsid w:val="003552BD"/>
    <w:rsid w:val="0036030B"/>
    <w:rsid w:val="003641E2"/>
    <w:rsid w:val="00370E6F"/>
    <w:rsid w:val="0037101B"/>
    <w:rsid w:val="003730B8"/>
    <w:rsid w:val="00375149"/>
    <w:rsid w:val="003A1561"/>
    <w:rsid w:val="003C2931"/>
    <w:rsid w:val="003E7478"/>
    <w:rsid w:val="003F01E4"/>
    <w:rsid w:val="003F57B2"/>
    <w:rsid w:val="00407D90"/>
    <w:rsid w:val="00431BB6"/>
    <w:rsid w:val="00440E7F"/>
    <w:rsid w:val="004537A7"/>
    <w:rsid w:val="004561A3"/>
    <w:rsid w:val="00460DDF"/>
    <w:rsid w:val="00461C90"/>
    <w:rsid w:val="00471092"/>
    <w:rsid w:val="004A120F"/>
    <w:rsid w:val="004A32D7"/>
    <w:rsid w:val="004A6295"/>
    <w:rsid w:val="004C6182"/>
    <w:rsid w:val="004C7925"/>
    <w:rsid w:val="004F26A1"/>
    <w:rsid w:val="004F5E3C"/>
    <w:rsid w:val="00567B1A"/>
    <w:rsid w:val="00571971"/>
    <w:rsid w:val="0057422C"/>
    <w:rsid w:val="00575141"/>
    <w:rsid w:val="0059782C"/>
    <w:rsid w:val="005A52A2"/>
    <w:rsid w:val="005C5BF9"/>
    <w:rsid w:val="005D5F2B"/>
    <w:rsid w:val="005E28F6"/>
    <w:rsid w:val="00614024"/>
    <w:rsid w:val="00632CD2"/>
    <w:rsid w:val="006344CC"/>
    <w:rsid w:val="0063559D"/>
    <w:rsid w:val="0063690B"/>
    <w:rsid w:val="00640309"/>
    <w:rsid w:val="00660075"/>
    <w:rsid w:val="00660F46"/>
    <w:rsid w:val="006811C3"/>
    <w:rsid w:val="006907D5"/>
    <w:rsid w:val="0069557C"/>
    <w:rsid w:val="006C3C36"/>
    <w:rsid w:val="006C5099"/>
    <w:rsid w:val="006F0964"/>
    <w:rsid w:val="00701240"/>
    <w:rsid w:val="00715D7F"/>
    <w:rsid w:val="00716C90"/>
    <w:rsid w:val="007172E4"/>
    <w:rsid w:val="00737090"/>
    <w:rsid w:val="00780795"/>
    <w:rsid w:val="00783F55"/>
    <w:rsid w:val="007916D5"/>
    <w:rsid w:val="0079406F"/>
    <w:rsid w:val="00797111"/>
    <w:rsid w:val="007A0330"/>
    <w:rsid w:val="007A25C0"/>
    <w:rsid w:val="007A2A08"/>
    <w:rsid w:val="007B2299"/>
    <w:rsid w:val="007B2E35"/>
    <w:rsid w:val="007B64D4"/>
    <w:rsid w:val="007C40B7"/>
    <w:rsid w:val="007C41CE"/>
    <w:rsid w:val="007D028E"/>
    <w:rsid w:val="007E3CCC"/>
    <w:rsid w:val="00803D2A"/>
    <w:rsid w:val="008058DF"/>
    <w:rsid w:val="00810049"/>
    <w:rsid w:val="008137A5"/>
    <w:rsid w:val="00832597"/>
    <w:rsid w:val="008371BA"/>
    <w:rsid w:val="00844664"/>
    <w:rsid w:val="008466F0"/>
    <w:rsid w:val="008473FB"/>
    <w:rsid w:val="00850CC4"/>
    <w:rsid w:val="00886388"/>
    <w:rsid w:val="00894D8A"/>
    <w:rsid w:val="008B3199"/>
    <w:rsid w:val="008C47FB"/>
    <w:rsid w:val="008C4A46"/>
    <w:rsid w:val="008C706D"/>
    <w:rsid w:val="008D5488"/>
    <w:rsid w:val="008E2484"/>
    <w:rsid w:val="008F0B52"/>
    <w:rsid w:val="008F617A"/>
    <w:rsid w:val="00914AC1"/>
    <w:rsid w:val="00921F03"/>
    <w:rsid w:val="0095375C"/>
    <w:rsid w:val="00965C79"/>
    <w:rsid w:val="00972198"/>
    <w:rsid w:val="00984B1A"/>
    <w:rsid w:val="009851B0"/>
    <w:rsid w:val="00996DA6"/>
    <w:rsid w:val="009A089E"/>
    <w:rsid w:val="009A50FF"/>
    <w:rsid w:val="009B0FA7"/>
    <w:rsid w:val="009B2E19"/>
    <w:rsid w:val="009C6D0D"/>
    <w:rsid w:val="009E2FD2"/>
    <w:rsid w:val="00A076E6"/>
    <w:rsid w:val="00A13844"/>
    <w:rsid w:val="00A27085"/>
    <w:rsid w:val="00A344EF"/>
    <w:rsid w:val="00A41BD0"/>
    <w:rsid w:val="00A47944"/>
    <w:rsid w:val="00A61A41"/>
    <w:rsid w:val="00A6309F"/>
    <w:rsid w:val="00A678C6"/>
    <w:rsid w:val="00A71B93"/>
    <w:rsid w:val="00A730E0"/>
    <w:rsid w:val="00A8460D"/>
    <w:rsid w:val="00A92A3D"/>
    <w:rsid w:val="00AA00A5"/>
    <w:rsid w:val="00AB01E0"/>
    <w:rsid w:val="00AB1761"/>
    <w:rsid w:val="00AB37A4"/>
    <w:rsid w:val="00AC35CD"/>
    <w:rsid w:val="00AE7479"/>
    <w:rsid w:val="00AF1FA7"/>
    <w:rsid w:val="00AF2EEC"/>
    <w:rsid w:val="00B02A8E"/>
    <w:rsid w:val="00B071B6"/>
    <w:rsid w:val="00B13490"/>
    <w:rsid w:val="00B161CC"/>
    <w:rsid w:val="00B35876"/>
    <w:rsid w:val="00B569FD"/>
    <w:rsid w:val="00B63A33"/>
    <w:rsid w:val="00B677DC"/>
    <w:rsid w:val="00B70E6F"/>
    <w:rsid w:val="00B91BF0"/>
    <w:rsid w:val="00B955C2"/>
    <w:rsid w:val="00BA0282"/>
    <w:rsid w:val="00BB6985"/>
    <w:rsid w:val="00BD0783"/>
    <w:rsid w:val="00BD17EF"/>
    <w:rsid w:val="00BD7743"/>
    <w:rsid w:val="00BE729B"/>
    <w:rsid w:val="00BF4F97"/>
    <w:rsid w:val="00BF5589"/>
    <w:rsid w:val="00C0095C"/>
    <w:rsid w:val="00C02512"/>
    <w:rsid w:val="00C10172"/>
    <w:rsid w:val="00C25C86"/>
    <w:rsid w:val="00C36D00"/>
    <w:rsid w:val="00C42A4B"/>
    <w:rsid w:val="00C463C1"/>
    <w:rsid w:val="00C46931"/>
    <w:rsid w:val="00C47A89"/>
    <w:rsid w:val="00C73E6B"/>
    <w:rsid w:val="00C85D4E"/>
    <w:rsid w:val="00C86CFC"/>
    <w:rsid w:val="00C9088B"/>
    <w:rsid w:val="00C91BA8"/>
    <w:rsid w:val="00C94FDB"/>
    <w:rsid w:val="00CA2ACF"/>
    <w:rsid w:val="00CB5C9F"/>
    <w:rsid w:val="00CB5CD9"/>
    <w:rsid w:val="00CB74C6"/>
    <w:rsid w:val="00CC2499"/>
    <w:rsid w:val="00CC57F4"/>
    <w:rsid w:val="00CC73CB"/>
    <w:rsid w:val="00CD11DB"/>
    <w:rsid w:val="00CD2037"/>
    <w:rsid w:val="00CD2A65"/>
    <w:rsid w:val="00CE2F8B"/>
    <w:rsid w:val="00D004D1"/>
    <w:rsid w:val="00D02324"/>
    <w:rsid w:val="00D06884"/>
    <w:rsid w:val="00D15579"/>
    <w:rsid w:val="00D45541"/>
    <w:rsid w:val="00D53BFE"/>
    <w:rsid w:val="00D73D49"/>
    <w:rsid w:val="00D747A1"/>
    <w:rsid w:val="00D85F94"/>
    <w:rsid w:val="00D878DF"/>
    <w:rsid w:val="00DB09F3"/>
    <w:rsid w:val="00DC23E1"/>
    <w:rsid w:val="00DC727C"/>
    <w:rsid w:val="00DD2E1F"/>
    <w:rsid w:val="00DD6497"/>
    <w:rsid w:val="00DE140A"/>
    <w:rsid w:val="00DF4B57"/>
    <w:rsid w:val="00E04682"/>
    <w:rsid w:val="00E20D4C"/>
    <w:rsid w:val="00E22BAA"/>
    <w:rsid w:val="00E44A34"/>
    <w:rsid w:val="00E52D98"/>
    <w:rsid w:val="00E52DAA"/>
    <w:rsid w:val="00E566ED"/>
    <w:rsid w:val="00E728E5"/>
    <w:rsid w:val="00E731F0"/>
    <w:rsid w:val="00E80E0F"/>
    <w:rsid w:val="00E84228"/>
    <w:rsid w:val="00EC51AC"/>
    <w:rsid w:val="00ED67BE"/>
    <w:rsid w:val="00EE07B1"/>
    <w:rsid w:val="00EF41BE"/>
    <w:rsid w:val="00F11065"/>
    <w:rsid w:val="00F20046"/>
    <w:rsid w:val="00F2528F"/>
    <w:rsid w:val="00F25BB5"/>
    <w:rsid w:val="00F40307"/>
    <w:rsid w:val="00F571F9"/>
    <w:rsid w:val="00F655AC"/>
    <w:rsid w:val="00F8256F"/>
    <w:rsid w:val="00F95970"/>
    <w:rsid w:val="00FB1B10"/>
    <w:rsid w:val="00FB278F"/>
    <w:rsid w:val="00FB3D7B"/>
    <w:rsid w:val="00FB6F6A"/>
    <w:rsid w:val="00FC67CB"/>
    <w:rsid w:val="00FD61EB"/>
    <w:rsid w:val="00FE245D"/>
    <w:rsid w:val="00FE3344"/>
    <w:rsid w:val="00FE77A7"/>
    <w:rsid w:val="00FF51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D6EF7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1A9D"/>
    <w:pPr>
      <w:spacing w:after="160" w:line="259" w:lineRule="auto"/>
    </w:pPr>
    <w:rPr>
      <w:rFonts w:ascii="David" w:eastAsia="David" w:hAnsi="David" w:cs="David"/>
      <w:sz w:val="24"/>
      <w:szCs w:val="24"/>
    </w:rPr>
  </w:style>
  <w:style w:type="paragraph" w:styleId="1">
    <w:name w:val="heading 1"/>
    <w:basedOn w:val="a"/>
    <w:next w:val="a"/>
    <w:link w:val="10"/>
    <w:uiPriority w:val="9"/>
    <w:qFormat/>
    <w:rsid w:val="00894D8A"/>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he-IL"/>
    </w:rPr>
  </w:style>
  <w:style w:type="paragraph" w:styleId="2">
    <w:name w:val="heading 2"/>
    <w:basedOn w:val="a"/>
    <w:next w:val="a"/>
    <w:link w:val="20"/>
    <w:uiPriority w:val="9"/>
    <w:unhideWhenUsed/>
    <w:qFormat/>
    <w:rsid w:val="00894D8A"/>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575141"/>
    <w:rPr>
      <w:color w:val="0000FF"/>
      <w:u w:val="single"/>
    </w:rPr>
  </w:style>
  <w:style w:type="paragraph" w:styleId="a3">
    <w:name w:val="Balloon Text"/>
    <w:basedOn w:val="a"/>
    <w:link w:val="a4"/>
    <w:uiPriority w:val="99"/>
    <w:semiHidden/>
    <w:unhideWhenUsed/>
    <w:rsid w:val="007B64D4"/>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7B64D4"/>
    <w:rPr>
      <w:rFonts w:ascii="Tahoma" w:hAnsi="Tahoma" w:cs="Tahoma"/>
      <w:sz w:val="18"/>
      <w:szCs w:val="18"/>
    </w:rPr>
  </w:style>
  <w:style w:type="paragraph" w:styleId="a5">
    <w:name w:val="header"/>
    <w:basedOn w:val="a"/>
    <w:link w:val="a6"/>
    <w:uiPriority w:val="99"/>
    <w:unhideWhenUsed/>
    <w:rsid w:val="00E04682"/>
    <w:pPr>
      <w:tabs>
        <w:tab w:val="center" w:pos="4153"/>
        <w:tab w:val="right" w:pos="8306"/>
      </w:tabs>
      <w:spacing w:after="0" w:line="240" w:lineRule="auto"/>
    </w:pPr>
  </w:style>
  <w:style w:type="character" w:customStyle="1" w:styleId="a6">
    <w:name w:val="כותרת עליונה תו"/>
    <w:basedOn w:val="a0"/>
    <w:link w:val="a5"/>
    <w:uiPriority w:val="99"/>
    <w:rsid w:val="00E04682"/>
  </w:style>
  <w:style w:type="paragraph" w:styleId="a7">
    <w:name w:val="footer"/>
    <w:basedOn w:val="a"/>
    <w:link w:val="a8"/>
    <w:uiPriority w:val="99"/>
    <w:unhideWhenUsed/>
    <w:rsid w:val="00E04682"/>
    <w:pPr>
      <w:tabs>
        <w:tab w:val="center" w:pos="4153"/>
        <w:tab w:val="right" w:pos="8306"/>
      </w:tabs>
      <w:spacing w:after="0" w:line="240" w:lineRule="auto"/>
    </w:pPr>
  </w:style>
  <w:style w:type="character" w:customStyle="1" w:styleId="a8">
    <w:name w:val="כותרת תחתונה תו"/>
    <w:basedOn w:val="a0"/>
    <w:link w:val="a7"/>
    <w:uiPriority w:val="99"/>
    <w:rsid w:val="00E04682"/>
  </w:style>
  <w:style w:type="paragraph" w:styleId="a9">
    <w:name w:val="List Paragraph"/>
    <w:aliases w:val="פיסקת רשימה12,פיסקת רשימה121,פיסקת רשימה2,פיסקת רשימה11"/>
    <w:basedOn w:val="a"/>
    <w:link w:val="aa"/>
    <w:uiPriority w:val="34"/>
    <w:qFormat/>
    <w:rsid w:val="00CD2A65"/>
    <w:pPr>
      <w:ind w:left="720"/>
      <w:contextualSpacing/>
    </w:pPr>
  </w:style>
  <w:style w:type="character" w:styleId="ab">
    <w:name w:val="annotation reference"/>
    <w:basedOn w:val="a0"/>
    <w:uiPriority w:val="99"/>
    <w:semiHidden/>
    <w:unhideWhenUsed/>
    <w:rsid w:val="004F26A1"/>
    <w:rPr>
      <w:sz w:val="16"/>
      <w:szCs w:val="16"/>
    </w:rPr>
  </w:style>
  <w:style w:type="paragraph" w:styleId="ac">
    <w:name w:val="annotation text"/>
    <w:basedOn w:val="a"/>
    <w:link w:val="ad"/>
    <w:uiPriority w:val="99"/>
    <w:semiHidden/>
    <w:unhideWhenUsed/>
    <w:rsid w:val="004F26A1"/>
    <w:pPr>
      <w:spacing w:line="240" w:lineRule="auto"/>
    </w:pPr>
    <w:rPr>
      <w:sz w:val="20"/>
      <w:szCs w:val="20"/>
    </w:rPr>
  </w:style>
  <w:style w:type="character" w:customStyle="1" w:styleId="ad">
    <w:name w:val="טקסט הערה תו"/>
    <w:basedOn w:val="a0"/>
    <w:link w:val="ac"/>
    <w:uiPriority w:val="99"/>
    <w:semiHidden/>
    <w:rsid w:val="004F26A1"/>
    <w:rPr>
      <w:sz w:val="20"/>
      <w:szCs w:val="20"/>
    </w:rPr>
  </w:style>
  <w:style w:type="paragraph" w:styleId="ae">
    <w:name w:val="annotation subject"/>
    <w:basedOn w:val="ac"/>
    <w:next w:val="ac"/>
    <w:link w:val="af"/>
    <w:uiPriority w:val="99"/>
    <w:semiHidden/>
    <w:unhideWhenUsed/>
    <w:rsid w:val="004F26A1"/>
    <w:rPr>
      <w:b/>
      <w:bCs/>
    </w:rPr>
  </w:style>
  <w:style w:type="character" w:customStyle="1" w:styleId="af">
    <w:name w:val="נושא הערה תו"/>
    <w:basedOn w:val="ad"/>
    <w:link w:val="ae"/>
    <w:uiPriority w:val="99"/>
    <w:semiHidden/>
    <w:rsid w:val="004F26A1"/>
    <w:rPr>
      <w:b/>
      <w:bCs/>
      <w:sz w:val="20"/>
      <w:szCs w:val="20"/>
    </w:rPr>
  </w:style>
  <w:style w:type="character" w:styleId="FollowedHyperlink">
    <w:name w:val="FollowedHyperlink"/>
    <w:basedOn w:val="a0"/>
    <w:uiPriority w:val="99"/>
    <w:semiHidden/>
    <w:unhideWhenUsed/>
    <w:rsid w:val="00B569FD"/>
    <w:rPr>
      <w:color w:val="800080" w:themeColor="followedHyperlink"/>
      <w:u w:val="single"/>
    </w:rPr>
  </w:style>
  <w:style w:type="character" w:customStyle="1" w:styleId="aa">
    <w:name w:val="פיסקת רשימה תו"/>
    <w:aliases w:val="פיסקת רשימה12 תו,פיסקת רשימה121 תו,פיסקת רשימה2 תו,פיסקת רשימה11 תו"/>
    <w:basedOn w:val="a0"/>
    <w:link w:val="a9"/>
    <w:uiPriority w:val="34"/>
    <w:rsid w:val="00031A9D"/>
  </w:style>
  <w:style w:type="character" w:customStyle="1" w:styleId="10">
    <w:name w:val="כותרת 1 תו"/>
    <w:basedOn w:val="a0"/>
    <w:link w:val="1"/>
    <w:uiPriority w:val="9"/>
    <w:rsid w:val="00894D8A"/>
    <w:rPr>
      <w:rFonts w:asciiTheme="majorHAnsi" w:eastAsiaTheme="majorEastAsia" w:hAnsiTheme="majorHAnsi" w:cstheme="majorBidi"/>
      <w:b/>
      <w:bCs/>
      <w:color w:val="365F91" w:themeColor="accent1" w:themeShade="BF"/>
      <w:sz w:val="28"/>
      <w:szCs w:val="28"/>
      <w:lang w:eastAsia="he-IL"/>
    </w:rPr>
  </w:style>
  <w:style w:type="character" w:customStyle="1" w:styleId="20">
    <w:name w:val="כותרת 2 תו"/>
    <w:basedOn w:val="a0"/>
    <w:link w:val="2"/>
    <w:uiPriority w:val="9"/>
    <w:rsid w:val="00894D8A"/>
    <w:rPr>
      <w:rFonts w:asciiTheme="majorHAnsi" w:eastAsiaTheme="majorEastAsia" w:hAnsiTheme="majorHAnsi" w:cstheme="majorBidi"/>
      <w:b/>
      <w:bCs/>
      <w:color w:val="4F81BD" w:themeColor="accent1"/>
      <w:sz w:val="26"/>
      <w:szCs w:val="26"/>
      <w:lang w:eastAsia="he-IL"/>
    </w:rPr>
  </w:style>
  <w:style w:type="paragraph" w:styleId="af0">
    <w:name w:val="footnote text"/>
    <w:basedOn w:val="a"/>
    <w:link w:val="af1"/>
    <w:uiPriority w:val="99"/>
    <w:unhideWhenUsed/>
    <w:rsid w:val="00894D8A"/>
    <w:pPr>
      <w:spacing w:after="0" w:line="240" w:lineRule="auto"/>
    </w:pPr>
    <w:rPr>
      <w:rFonts w:ascii="Times New Roman" w:eastAsia="Times New Roman" w:hAnsi="Times New Roman" w:cs="Miriam"/>
      <w:sz w:val="20"/>
      <w:szCs w:val="20"/>
      <w:lang w:eastAsia="he-IL"/>
    </w:rPr>
  </w:style>
  <w:style w:type="character" w:customStyle="1" w:styleId="af1">
    <w:name w:val="טקסט הערת שוליים תו"/>
    <w:basedOn w:val="a0"/>
    <w:link w:val="af0"/>
    <w:uiPriority w:val="99"/>
    <w:rsid w:val="00894D8A"/>
    <w:rPr>
      <w:rFonts w:ascii="Times New Roman" w:eastAsia="Times New Roman" w:hAnsi="Times New Roman" w:cs="Miriam"/>
      <w:sz w:val="20"/>
      <w:szCs w:val="20"/>
      <w:lang w:eastAsia="he-IL"/>
    </w:rPr>
  </w:style>
  <w:style w:type="character" w:styleId="af2">
    <w:name w:val="footnote reference"/>
    <w:basedOn w:val="a0"/>
    <w:uiPriority w:val="99"/>
    <w:semiHidden/>
    <w:unhideWhenUsed/>
    <w:rsid w:val="00894D8A"/>
    <w:rPr>
      <w:vertAlign w:val="superscript"/>
    </w:rPr>
  </w:style>
  <w:style w:type="paragraph" w:styleId="af3">
    <w:name w:val="Title"/>
    <w:basedOn w:val="a"/>
    <w:next w:val="a"/>
    <w:link w:val="af4"/>
    <w:uiPriority w:val="10"/>
    <w:qFormat/>
    <w:rsid w:val="00894D8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he-IL"/>
    </w:rPr>
  </w:style>
  <w:style w:type="character" w:customStyle="1" w:styleId="af4">
    <w:name w:val="כותרת טקסט תו"/>
    <w:basedOn w:val="a0"/>
    <w:link w:val="af3"/>
    <w:uiPriority w:val="10"/>
    <w:rsid w:val="00894D8A"/>
    <w:rPr>
      <w:rFonts w:asciiTheme="majorHAnsi" w:eastAsiaTheme="majorEastAsia" w:hAnsiTheme="majorHAnsi" w:cstheme="majorBidi"/>
      <w:color w:val="17365D" w:themeColor="text2" w:themeShade="BF"/>
      <w:spacing w:val="5"/>
      <w:kern w:val="28"/>
      <w:sz w:val="52"/>
      <w:szCs w:val="52"/>
      <w:lang w:eastAsia="he-IL"/>
    </w:rPr>
  </w:style>
  <w:style w:type="paragraph" w:styleId="NormalWeb">
    <w:name w:val="Normal (Web)"/>
    <w:basedOn w:val="a"/>
    <w:uiPriority w:val="99"/>
    <w:unhideWhenUsed/>
    <w:rsid w:val="00894D8A"/>
    <w:pPr>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3134256">
      <w:bodyDiv w:val="1"/>
      <w:marLeft w:val="0"/>
      <w:marRight w:val="0"/>
      <w:marTop w:val="0"/>
      <w:marBottom w:val="0"/>
      <w:divBdr>
        <w:top w:val="none" w:sz="0" w:space="0" w:color="auto"/>
        <w:left w:val="none" w:sz="0" w:space="0" w:color="auto"/>
        <w:bottom w:val="none" w:sz="0" w:space="0" w:color="auto"/>
        <w:right w:val="none" w:sz="0" w:space="0" w:color="auto"/>
      </w:divBdr>
    </w:div>
    <w:div w:id="872764382">
      <w:bodyDiv w:val="1"/>
      <w:marLeft w:val="0"/>
      <w:marRight w:val="0"/>
      <w:marTop w:val="0"/>
      <w:marBottom w:val="0"/>
      <w:divBdr>
        <w:top w:val="none" w:sz="0" w:space="0" w:color="auto"/>
        <w:left w:val="none" w:sz="0" w:space="0" w:color="auto"/>
        <w:bottom w:val="none" w:sz="0" w:space="0" w:color="auto"/>
        <w:right w:val="none" w:sz="0" w:space="0" w:color="auto"/>
      </w:divBdr>
    </w:div>
    <w:div w:id="1112937149">
      <w:bodyDiv w:val="1"/>
      <w:marLeft w:val="0"/>
      <w:marRight w:val="0"/>
      <w:marTop w:val="0"/>
      <w:marBottom w:val="0"/>
      <w:divBdr>
        <w:top w:val="none" w:sz="0" w:space="0" w:color="auto"/>
        <w:left w:val="none" w:sz="0" w:space="0" w:color="auto"/>
        <w:bottom w:val="none" w:sz="0" w:space="0" w:color="auto"/>
        <w:right w:val="none" w:sz="0" w:space="0" w:color="auto"/>
      </w:divBdr>
    </w:div>
    <w:div w:id="1557356728">
      <w:bodyDiv w:val="1"/>
      <w:marLeft w:val="0"/>
      <w:marRight w:val="0"/>
      <w:marTop w:val="0"/>
      <w:marBottom w:val="0"/>
      <w:divBdr>
        <w:top w:val="none" w:sz="0" w:space="0" w:color="auto"/>
        <w:left w:val="none" w:sz="0" w:space="0" w:color="auto"/>
        <w:bottom w:val="none" w:sz="0" w:space="0" w:color="auto"/>
        <w:right w:val="none" w:sz="0" w:space="0" w:color="auto"/>
      </w:divBdr>
    </w:div>
    <w:div w:id="1963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file:///C:\Users\u987\AppData\Local\Microsoft\Windows\INetCache\Content.MSO\4867AE6D.xls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_rels/footer2.xml.rels><?xml version="1.0" encoding="UTF-8" standalone="yes"?>
<Relationships xmlns="http://schemas.openxmlformats.org/package/2006/relationships"><Relationship Id="rId8" Type="http://schemas.openxmlformats.org/officeDocument/2006/relationships/image" Target="media/image12.png"/><Relationship Id="rId13" Type="http://schemas.openxmlformats.org/officeDocument/2006/relationships/hyperlink" Target="https://www.facebook.com/bankisraelvc" TargetMode="External"/><Relationship Id="rId3" Type="http://schemas.openxmlformats.org/officeDocument/2006/relationships/image" Target="media/image9.png"/><Relationship Id="rId7" Type="http://schemas.microsoft.com/office/2007/relationships/hdphoto" Target="media/hdphoto2.wdp"/><Relationship Id="rId12" Type="http://schemas.openxmlformats.org/officeDocument/2006/relationships/hyperlink" Target="https://www.facebook.com/bankisraelvc" TargetMode="External"/><Relationship Id="rId2" Type="http://schemas.openxmlformats.org/officeDocument/2006/relationships/hyperlink" Target="https://www.boi.org.il/bank-of-israel/boi-podcast/" TargetMode="External"/><Relationship Id="rId1" Type="http://schemas.openxmlformats.org/officeDocument/2006/relationships/hyperlink" Target="https://www.boi.org.il/bank-of-israel/boi-podcast/" TargetMode="External"/><Relationship Id="rId6" Type="http://schemas.openxmlformats.org/officeDocument/2006/relationships/image" Target="media/image11.png"/><Relationship Id="rId11" Type="http://schemas.openxmlformats.org/officeDocument/2006/relationships/hyperlink" Target="https://www.youtube.com/user/thebankofisrael" TargetMode="External"/><Relationship Id="rId5" Type="http://schemas.microsoft.com/office/2007/relationships/hdphoto" Target="media/hdphoto1.wdp"/><Relationship Id="rId15" Type="http://schemas.openxmlformats.org/officeDocument/2006/relationships/hyperlink" Target="https://www.boi.org.il/" TargetMode="External"/><Relationship Id="rId10" Type="http://schemas.openxmlformats.org/officeDocument/2006/relationships/hyperlink" Target="https://www.youtube.com/user/thebankofisrael" TargetMode="External"/><Relationship Id="rId4" Type="http://schemas.openxmlformats.org/officeDocument/2006/relationships/image" Target="media/image10.png"/><Relationship Id="rId9" Type="http://schemas.microsoft.com/office/2007/relationships/hdphoto" Target="media/hdphoto3.wdp"/><Relationship Id="rId14" Type="http://schemas.openxmlformats.org/officeDocument/2006/relationships/hyperlink" Target="https://www.boi.org.i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boi.org.il/publications/regularpublications/statistic_bulletin/bulletin2024/" TargetMode="External"/><Relationship Id="rId1" Type="http://schemas.openxmlformats.org/officeDocument/2006/relationships/hyperlink" Target="https://www.boi.org.il/publications/regularpublications/statistic_bulletin/bulletin2024/"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932</Words>
  <Characters>4660</Characters>
  <Application>Microsoft Office Word</Application>
  <DocSecurity>0</DocSecurity>
  <Lines>38</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2026-11-03T09:42:00Z</dcterms:created>
  <dcterms:modified xsi:type="dcterms:W3CDTF">2026-11-03T09:42:00Z</dcterms:modified>
</cp:coreProperties>
</file>