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682272" w:rsidTr="00031A9D">
        <w:tc>
          <w:tcPr>
            <w:tcW w:w="3343" w:type="dxa"/>
            <w:tcBorders>
              <w:top w:val="nil"/>
              <w:left w:val="nil"/>
              <w:bottom w:val="nil"/>
              <w:right w:val="nil"/>
            </w:tcBorders>
            <w:vAlign w:val="center"/>
          </w:tcPr>
          <w:p w:rsidR="00031A9D" w:rsidRPr="004D2B60" w:rsidRDefault="00272968" w:rsidP="005E28F6">
            <w:pPr>
              <w:bidi/>
              <w:spacing w:line="276" w:lineRule="auto"/>
              <w:jc w:val="center"/>
              <w:rPr>
                <w:rFonts w:ascii="Calibri" w:hAnsi="Calibri" w:cs="Calibri"/>
                <w:b/>
                <w:bCs/>
                <w:rtl/>
              </w:rPr>
            </w:pPr>
            <w:r w:rsidRPr="004D2B60">
              <w:rPr>
                <w:rFonts w:ascii="Calibri" w:hAnsi="Calibri" w:cs="Calibri"/>
                <w:b/>
                <w:bCs/>
                <w:rtl/>
              </w:rPr>
              <w:t>בנק ישראל</w:t>
            </w:r>
          </w:p>
          <w:p w:rsidR="00031A9D" w:rsidRPr="004D2B60" w:rsidRDefault="00272968" w:rsidP="005E28F6">
            <w:pPr>
              <w:bidi/>
              <w:spacing w:line="276" w:lineRule="auto"/>
              <w:jc w:val="center"/>
              <w:rPr>
                <w:rFonts w:ascii="Calibri" w:hAnsi="Calibri" w:cs="Calibri"/>
                <w:b/>
                <w:bCs/>
              </w:rPr>
            </w:pPr>
            <w:r w:rsidRPr="004D2B60">
              <w:rPr>
                <w:rFonts w:ascii="Calibri" w:hAnsi="Calibri" w:cs="Calibri"/>
                <w:rtl/>
              </w:rPr>
              <w:t>דוברות והסברה כלכלית</w:t>
            </w:r>
          </w:p>
        </w:tc>
        <w:tc>
          <w:tcPr>
            <w:tcW w:w="2596" w:type="dxa"/>
            <w:tcBorders>
              <w:top w:val="nil"/>
              <w:left w:val="nil"/>
              <w:bottom w:val="nil"/>
              <w:right w:val="nil"/>
            </w:tcBorders>
            <w:shd w:val="clear" w:color="auto" w:fill="FFFFFF"/>
          </w:tcPr>
          <w:p w:rsidR="00031A9D" w:rsidRPr="004D2B60" w:rsidRDefault="00272968" w:rsidP="005E28F6">
            <w:pPr>
              <w:bidi/>
              <w:jc w:val="center"/>
              <w:rPr>
                <w:rFonts w:ascii="Calibri" w:hAnsi="Calibri" w:cs="Calibri"/>
              </w:rPr>
            </w:pPr>
            <w:r w:rsidRPr="004D2B60">
              <w:rPr>
                <w:rFonts w:ascii="Calibri" w:hAnsi="Calibri" w:cs="Calibr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4D2B60" w:rsidRDefault="00272968" w:rsidP="005E28F6">
            <w:pPr>
              <w:bidi/>
              <w:spacing w:line="276" w:lineRule="auto"/>
              <w:jc w:val="center"/>
              <w:rPr>
                <w:rFonts w:ascii="Calibri" w:hAnsi="Calibri" w:cs="Calibri"/>
                <w:rtl/>
              </w:rPr>
            </w:pPr>
            <w:r w:rsidRPr="004D2B60">
              <w:rPr>
                <w:rFonts w:ascii="Calibri" w:hAnsi="Calibri" w:cs="Calibri"/>
                <w:highlight w:val="green"/>
                <w:rtl/>
              </w:rPr>
              <w:t>‏</w:t>
            </w:r>
            <w:r w:rsidRPr="004D2B60">
              <w:rPr>
                <w:rFonts w:ascii="Calibri" w:hAnsi="Calibri" w:cs="Calibri"/>
                <w:rtl/>
              </w:rPr>
              <w:t xml:space="preserve">ירושלים, </w:t>
            </w:r>
            <w:r w:rsidRPr="004D2B60">
              <w:rPr>
                <w:rFonts w:ascii="Calibri" w:hAnsi="Calibri" w:cs="Calibri"/>
                <w:rtl/>
              </w:rPr>
              <w:fldChar w:fldCharType="begin"/>
            </w:r>
            <w:r w:rsidRPr="004D2B60">
              <w:rPr>
                <w:rFonts w:ascii="Calibri" w:hAnsi="Calibri" w:cs="Calibri"/>
                <w:rtl/>
              </w:rPr>
              <w:instrText xml:space="preserve"> </w:instrText>
            </w:r>
            <w:r w:rsidRPr="004D2B60">
              <w:rPr>
                <w:rFonts w:ascii="Calibri" w:hAnsi="Calibri" w:cs="Calibri"/>
              </w:rPr>
              <w:instrText>DATE</w:instrText>
            </w:r>
            <w:r w:rsidRPr="004D2B60">
              <w:rPr>
                <w:rFonts w:ascii="Calibri" w:hAnsi="Calibri" w:cs="Calibri"/>
                <w:rtl/>
              </w:rPr>
              <w:instrText xml:space="preserve"> \@ "</w:instrText>
            </w:r>
            <w:r w:rsidRPr="004D2B60">
              <w:rPr>
                <w:rFonts w:ascii="Calibri" w:hAnsi="Calibri" w:cs="Calibri"/>
              </w:rPr>
              <w:instrText>d MMMM, yyyy" \h</w:instrText>
            </w:r>
            <w:r w:rsidRPr="004D2B60">
              <w:rPr>
                <w:rFonts w:ascii="Calibri" w:hAnsi="Calibri" w:cs="Calibri"/>
                <w:rtl/>
              </w:rPr>
              <w:instrText xml:space="preserve"> </w:instrText>
            </w:r>
            <w:r w:rsidRPr="004D2B60">
              <w:rPr>
                <w:rFonts w:ascii="Calibri" w:hAnsi="Calibri" w:cs="Calibri"/>
                <w:rtl/>
              </w:rPr>
              <w:fldChar w:fldCharType="separate"/>
            </w:r>
            <w:r w:rsidR="00A27032">
              <w:rPr>
                <w:rFonts w:ascii="Calibri" w:hAnsi="Calibri" w:cs="Calibri"/>
                <w:noProof/>
                <w:rtl/>
              </w:rPr>
              <w:t>‏ו' כסלו, תשפ"ו</w:t>
            </w:r>
            <w:r w:rsidRPr="004D2B60">
              <w:rPr>
                <w:rFonts w:ascii="Calibri" w:hAnsi="Calibri" w:cs="Calibri"/>
                <w:rtl/>
              </w:rPr>
              <w:fldChar w:fldCharType="end"/>
            </w:r>
          </w:p>
          <w:p w:rsidR="00031A9D" w:rsidRPr="004D2B60" w:rsidRDefault="00272968" w:rsidP="005E28F6">
            <w:pPr>
              <w:bidi/>
              <w:spacing w:line="276" w:lineRule="auto"/>
              <w:jc w:val="center"/>
              <w:rPr>
                <w:rFonts w:ascii="Calibri" w:hAnsi="Calibri" w:cs="Calibri"/>
                <w:highlight w:val="green"/>
              </w:rPr>
            </w:pPr>
            <w:r w:rsidRPr="004D2B60">
              <w:rPr>
                <w:rFonts w:ascii="Calibri" w:hAnsi="Calibri" w:cs="Calibri"/>
                <w:rtl/>
              </w:rPr>
              <w:fldChar w:fldCharType="begin"/>
            </w:r>
            <w:r w:rsidRPr="004D2B60">
              <w:rPr>
                <w:rFonts w:ascii="Calibri" w:hAnsi="Calibri" w:cs="Calibri"/>
                <w:rtl/>
              </w:rPr>
              <w:instrText xml:space="preserve"> </w:instrText>
            </w:r>
            <w:r w:rsidRPr="004D2B60">
              <w:rPr>
                <w:rFonts w:ascii="Calibri" w:hAnsi="Calibri" w:cs="Calibri"/>
              </w:rPr>
              <w:instrText>DATE</w:instrText>
            </w:r>
            <w:r w:rsidRPr="004D2B60">
              <w:rPr>
                <w:rFonts w:ascii="Calibri" w:hAnsi="Calibri" w:cs="Calibri"/>
                <w:rtl/>
              </w:rPr>
              <w:instrText xml:space="preserve"> \@ "</w:instrText>
            </w:r>
            <w:r w:rsidRPr="004D2B60">
              <w:rPr>
                <w:rFonts w:ascii="Calibri" w:hAnsi="Calibri" w:cs="Calibri"/>
              </w:rPr>
              <w:instrText>d MMMM, yyyy</w:instrText>
            </w:r>
            <w:r w:rsidRPr="004D2B60">
              <w:rPr>
                <w:rFonts w:ascii="Calibri" w:hAnsi="Calibri" w:cs="Calibri"/>
                <w:rtl/>
              </w:rPr>
              <w:instrText xml:space="preserve">" </w:instrText>
            </w:r>
            <w:r w:rsidRPr="004D2B60">
              <w:rPr>
                <w:rFonts w:ascii="Calibri" w:hAnsi="Calibri" w:cs="Calibri"/>
                <w:rtl/>
              </w:rPr>
              <w:fldChar w:fldCharType="separate"/>
            </w:r>
            <w:r w:rsidR="00A27032">
              <w:rPr>
                <w:rFonts w:ascii="Calibri" w:hAnsi="Calibri" w:cs="Calibri"/>
                <w:noProof/>
                <w:rtl/>
              </w:rPr>
              <w:t>‏26 נובמבר, 2025</w:t>
            </w:r>
            <w:r w:rsidRPr="004D2B60">
              <w:rPr>
                <w:rFonts w:ascii="Calibri" w:hAnsi="Calibri" w:cs="Calibri"/>
                <w:rtl/>
              </w:rPr>
              <w:fldChar w:fldCharType="end"/>
            </w:r>
          </w:p>
        </w:tc>
      </w:tr>
    </w:tbl>
    <w:p w:rsidR="00031A9D" w:rsidRPr="004D2B60" w:rsidRDefault="00031A9D" w:rsidP="005E28F6">
      <w:pPr>
        <w:bidi/>
        <w:rPr>
          <w:rFonts w:ascii="Calibri" w:hAnsi="Calibri" w:cs="Calibri"/>
          <w:rtl/>
        </w:rPr>
      </w:pPr>
    </w:p>
    <w:p w:rsidR="005E28F6" w:rsidRPr="004D2B60" w:rsidRDefault="00272968" w:rsidP="005E28F6">
      <w:pPr>
        <w:bidi/>
        <w:spacing w:line="360" w:lineRule="auto"/>
        <w:rPr>
          <w:rFonts w:ascii="Calibri" w:hAnsi="Calibri" w:cs="Calibri"/>
          <w:rtl/>
          <w:lang w:bidi="ar-SA"/>
        </w:rPr>
      </w:pPr>
      <w:r w:rsidRPr="004D2B60">
        <w:rPr>
          <w:rFonts w:ascii="Calibri" w:hAnsi="Calibri" w:cs="Calibri"/>
          <w:rtl/>
          <w:lang w:bidi="ar-SA"/>
        </w:rPr>
        <w:t>بيان صحفي:</w:t>
      </w:r>
    </w:p>
    <w:p w:rsidR="00597066" w:rsidRPr="004D2B60" w:rsidRDefault="00272968" w:rsidP="00597066">
      <w:pPr>
        <w:pStyle w:val="p1"/>
        <w:bidi/>
        <w:jc w:val="center"/>
        <w:rPr>
          <w:rFonts w:ascii="Calibri" w:hAnsi="Calibri" w:cs="Calibri"/>
          <w:b/>
          <w:bCs/>
          <w:sz w:val="28"/>
          <w:szCs w:val="28"/>
          <w:rtl/>
        </w:rPr>
      </w:pPr>
      <w:r w:rsidRPr="004D2B60">
        <w:rPr>
          <w:rFonts w:ascii="Calibri" w:hAnsi="Calibri" w:cs="Calibri"/>
          <w:b/>
          <w:bCs/>
          <w:sz w:val="28"/>
          <w:szCs w:val="28"/>
          <w:rtl/>
        </w:rPr>
        <w:t xml:space="preserve">قررت اللجنة النقدية في </w:t>
      </w:r>
      <w:r w:rsidR="003648C2">
        <w:rPr>
          <w:rFonts w:ascii="Calibri" w:hAnsi="Calibri" w:cs="Calibri"/>
          <w:b/>
          <w:bCs/>
          <w:sz w:val="32"/>
          <w:szCs w:val="32"/>
          <w:lang w:val="en-US"/>
        </w:rPr>
        <w:t>24/11/2025</w:t>
      </w:r>
      <w:r w:rsidRPr="004D2B60">
        <w:rPr>
          <w:rFonts w:ascii="Calibri" w:hAnsi="Calibri" w:cs="Calibri"/>
          <w:b/>
          <w:bCs/>
          <w:sz w:val="32"/>
          <w:szCs w:val="32"/>
          <w:rtl/>
        </w:rPr>
        <w:t xml:space="preserve"> </w:t>
      </w:r>
      <w:r w:rsidRPr="004D2B60">
        <w:rPr>
          <w:rFonts w:ascii="Calibri" w:hAnsi="Calibri" w:cs="Calibri"/>
          <w:b/>
          <w:bCs/>
          <w:sz w:val="28"/>
          <w:szCs w:val="28"/>
          <w:rtl/>
        </w:rPr>
        <w:t>خفض سعر الفائدة بنسبة 0.25% إلى مستوى 4.25%</w:t>
      </w:r>
    </w:p>
    <w:p w:rsidR="00EF50BD" w:rsidRPr="004D2B60" w:rsidRDefault="00EF50BD" w:rsidP="00EF50BD">
      <w:pPr>
        <w:pStyle w:val="ListParagraph"/>
        <w:bidi/>
        <w:spacing w:line="360" w:lineRule="auto"/>
        <w:ind w:left="360"/>
        <w:jc w:val="both"/>
        <w:rPr>
          <w:rFonts w:ascii="Calibri" w:hAnsi="Calibri" w:cs="Calibri"/>
          <w:b/>
          <w:bCs/>
        </w:rPr>
      </w:pPr>
    </w:p>
    <w:p w:rsidR="00597066" w:rsidRPr="004D2B60" w:rsidRDefault="00272968" w:rsidP="004D2B60">
      <w:pPr>
        <w:pStyle w:val="p1"/>
        <w:numPr>
          <w:ilvl w:val="0"/>
          <w:numId w:val="8"/>
        </w:numPr>
        <w:bidi/>
        <w:spacing w:before="0" w:beforeAutospacing="0" w:after="0" w:afterAutospacing="0"/>
        <w:rPr>
          <w:rFonts w:ascii="Calibri" w:hAnsi="Calibri" w:cs="Calibri"/>
          <w:b/>
          <w:bCs/>
        </w:rPr>
      </w:pPr>
      <w:r w:rsidRPr="004D2B60">
        <w:rPr>
          <w:rFonts w:ascii="Calibri" w:hAnsi="Calibri" w:cs="Calibri"/>
          <w:b/>
          <w:bCs/>
          <w:rtl/>
        </w:rPr>
        <w:t xml:space="preserve">تباطأت وتيرة التضخم السنوي، </w:t>
      </w:r>
      <w:r w:rsidRPr="004D2B60">
        <w:rPr>
          <w:rFonts w:ascii="Calibri" w:hAnsi="Calibri" w:cs="Calibri"/>
          <w:b/>
          <w:bCs/>
          <w:rtl/>
        </w:rPr>
        <w:t>وبلغت في المؤشرين الأخيرين 2.5%. ويتوقع المحللون ارتفاعًا طفيفًا في التضخم مع نهاية العام، يعقبه انخفاض واستقرار في محيط منتصف نطاق الهدف.</w:t>
      </w:r>
    </w:p>
    <w:p w:rsidR="00597066" w:rsidRPr="004D2B60" w:rsidRDefault="00597066" w:rsidP="004D2B60">
      <w:pPr>
        <w:pStyle w:val="p1"/>
        <w:bidi/>
        <w:spacing w:before="0" w:beforeAutospacing="0" w:after="0" w:afterAutospacing="0"/>
        <w:ind w:left="360"/>
        <w:rPr>
          <w:rFonts w:ascii="Calibri" w:hAnsi="Calibri" w:cs="Calibri"/>
          <w:b/>
          <w:bCs/>
          <w:rtl/>
        </w:rPr>
      </w:pPr>
    </w:p>
    <w:p w:rsidR="00597066" w:rsidRPr="004D2B60" w:rsidRDefault="00272968" w:rsidP="004D2B60">
      <w:pPr>
        <w:pStyle w:val="p1"/>
        <w:numPr>
          <w:ilvl w:val="0"/>
          <w:numId w:val="8"/>
        </w:numPr>
        <w:bidi/>
        <w:spacing w:before="0" w:beforeAutospacing="0" w:after="0" w:afterAutospacing="0"/>
        <w:rPr>
          <w:rFonts w:ascii="Calibri" w:hAnsi="Calibri" w:cs="Calibri"/>
          <w:b/>
          <w:bCs/>
        </w:rPr>
      </w:pPr>
      <w:r w:rsidRPr="004D2B60">
        <w:rPr>
          <w:rFonts w:ascii="Calibri" w:hAnsi="Calibri" w:cs="Calibri"/>
          <w:b/>
          <w:bCs/>
          <w:rtl/>
        </w:rPr>
        <w:t>تعافت النشاطات الاقتصادية في الاقتصاد المحلي بشكل حاد خلال الربع الثالث. فقد توسع الناتج المحلي بمعدل سنوي قدره 12.4</w:t>
      </w:r>
      <w:r w:rsidRPr="004D2B60">
        <w:rPr>
          <w:rFonts w:ascii="Calibri" w:hAnsi="Calibri" w:cs="Calibri"/>
          <w:b/>
          <w:bCs/>
          <w:rtl/>
        </w:rPr>
        <w:t>%، إلا أن مستواه لا يزال أدنى من مساره طويل الأمد.</w:t>
      </w:r>
    </w:p>
    <w:p w:rsidR="00597066" w:rsidRPr="004D2B60" w:rsidRDefault="00597066" w:rsidP="004D2B60">
      <w:pPr>
        <w:pStyle w:val="p1"/>
        <w:bidi/>
        <w:spacing w:before="0" w:beforeAutospacing="0" w:after="0" w:afterAutospacing="0"/>
        <w:ind w:left="360"/>
        <w:rPr>
          <w:rFonts w:ascii="Calibri" w:hAnsi="Calibri" w:cs="Calibri"/>
          <w:b/>
          <w:bCs/>
          <w:rtl/>
        </w:rPr>
      </w:pPr>
    </w:p>
    <w:p w:rsidR="00597066" w:rsidRPr="004D2B60" w:rsidRDefault="00272968" w:rsidP="00272968">
      <w:pPr>
        <w:pStyle w:val="p1"/>
        <w:numPr>
          <w:ilvl w:val="0"/>
          <w:numId w:val="8"/>
        </w:numPr>
        <w:bidi/>
        <w:spacing w:before="0" w:beforeAutospacing="0" w:after="0" w:afterAutospacing="0"/>
        <w:rPr>
          <w:rFonts w:ascii="Calibri" w:hAnsi="Calibri" w:cs="Calibri"/>
          <w:b/>
          <w:bCs/>
        </w:rPr>
      </w:pPr>
      <w:r w:rsidRPr="004D2B60">
        <w:rPr>
          <w:rFonts w:ascii="Calibri" w:hAnsi="Calibri" w:cs="Calibri"/>
          <w:b/>
          <w:bCs/>
          <w:rtl/>
        </w:rPr>
        <w:t>بقي سوق العمل</w:t>
      </w:r>
      <w:r>
        <w:rPr>
          <w:rFonts w:ascii="Calibri" w:hAnsi="Calibri" w:cs="Calibri" w:hint="cs"/>
          <w:b/>
          <w:bCs/>
          <w:rtl/>
          <w:lang w:bidi="he-IL"/>
        </w:rPr>
        <w:t xml:space="preserve"> </w:t>
      </w:r>
      <w:proofErr w:type="gramStart"/>
      <w:r>
        <w:rPr>
          <w:rFonts w:ascii="Calibri" w:hAnsi="Calibri" w:cs="Calibri" w:hint="cs"/>
          <w:b/>
          <w:bCs/>
          <w:rtl/>
          <w:lang w:bidi="ar-JO"/>
        </w:rPr>
        <w:t xml:space="preserve">ضيقا </w:t>
      </w:r>
      <w:r w:rsidRPr="004D2B60">
        <w:rPr>
          <w:rFonts w:ascii="Calibri" w:hAnsi="Calibri" w:cs="Calibri"/>
          <w:b/>
          <w:bCs/>
          <w:rtl/>
        </w:rPr>
        <w:t>.</w:t>
      </w:r>
      <w:proofErr w:type="gramEnd"/>
      <w:r w:rsidRPr="004D2B60">
        <w:rPr>
          <w:rFonts w:ascii="Calibri" w:hAnsi="Calibri" w:cs="Calibri"/>
          <w:b/>
          <w:bCs/>
          <w:rtl/>
        </w:rPr>
        <w:t xml:space="preserve"> إذ ما زالت نسبة الوظائف الشاغرة إلى عدد العاطلين عن العمل مرتفعة، واستمر معدل ارتفاع الأجور بالصعود.</w:t>
      </w:r>
    </w:p>
    <w:p w:rsidR="00597066" w:rsidRPr="004D2B60" w:rsidRDefault="00597066" w:rsidP="004D2B60">
      <w:pPr>
        <w:pStyle w:val="p1"/>
        <w:spacing w:before="0" w:beforeAutospacing="0" w:after="0" w:afterAutospacing="0"/>
        <w:rPr>
          <w:rFonts w:ascii="Calibri" w:hAnsi="Calibri" w:cs="Calibri"/>
          <w:b/>
          <w:bCs/>
          <w:lang w:val="en-US"/>
        </w:rPr>
      </w:pPr>
    </w:p>
    <w:p w:rsidR="00597066" w:rsidRPr="004D2B60" w:rsidRDefault="00272968" w:rsidP="00272968">
      <w:pPr>
        <w:pStyle w:val="p1"/>
        <w:numPr>
          <w:ilvl w:val="0"/>
          <w:numId w:val="8"/>
        </w:numPr>
        <w:bidi/>
        <w:spacing w:before="0" w:beforeAutospacing="0" w:after="0" w:afterAutospacing="0"/>
        <w:rPr>
          <w:rFonts w:ascii="Calibri" w:hAnsi="Calibri" w:cs="Calibri"/>
          <w:b/>
          <w:bCs/>
        </w:rPr>
      </w:pPr>
      <w:r w:rsidRPr="004D2B60">
        <w:rPr>
          <w:rFonts w:ascii="Calibri" w:hAnsi="Calibri" w:cs="Calibri"/>
          <w:b/>
          <w:bCs/>
          <w:rtl/>
        </w:rPr>
        <w:t>وا</w:t>
      </w:r>
      <w:r>
        <w:rPr>
          <w:rFonts w:ascii="Calibri" w:hAnsi="Calibri" w:cs="Calibri"/>
          <w:b/>
          <w:bCs/>
          <w:rtl/>
        </w:rPr>
        <w:t>صلت أسعار الشقق انخفاضها في شهر</w:t>
      </w:r>
      <w:r>
        <w:rPr>
          <w:rFonts w:ascii="Calibri" w:hAnsi="Calibri" w:cs="Calibri" w:hint="cs"/>
          <w:b/>
          <w:bCs/>
          <w:rtl/>
        </w:rPr>
        <w:t xml:space="preserve"> أيلول </w:t>
      </w:r>
      <w:r w:rsidRPr="004D2B60">
        <w:rPr>
          <w:rFonts w:ascii="Calibri" w:hAnsi="Calibri" w:cs="Calibri"/>
          <w:b/>
          <w:bCs/>
          <w:rtl/>
        </w:rPr>
        <w:t xml:space="preserve">للشهر السابع على التوالي، كما استمرت </w:t>
      </w:r>
      <w:r w:rsidRPr="004D2B60">
        <w:rPr>
          <w:rFonts w:ascii="Calibri" w:hAnsi="Calibri" w:cs="Calibri"/>
          <w:b/>
          <w:bCs/>
          <w:rtl/>
        </w:rPr>
        <w:t>وتيرة التراجع في عدد الصفقات لشراء شقة.</w:t>
      </w:r>
    </w:p>
    <w:p w:rsidR="000D1141" w:rsidRPr="004D2B60" w:rsidRDefault="000D1141" w:rsidP="004D2B60">
      <w:pPr>
        <w:pStyle w:val="p1"/>
        <w:bidi/>
        <w:spacing w:before="0" w:beforeAutospacing="0" w:after="0" w:afterAutospacing="0"/>
        <w:rPr>
          <w:rFonts w:ascii="Calibri" w:hAnsi="Calibri" w:cs="Calibri"/>
          <w:b/>
          <w:bCs/>
          <w:rtl/>
        </w:rPr>
      </w:pPr>
    </w:p>
    <w:p w:rsidR="000D1141" w:rsidRPr="004D2B60" w:rsidRDefault="00272968" w:rsidP="004D2B60">
      <w:pPr>
        <w:pStyle w:val="p1"/>
        <w:numPr>
          <w:ilvl w:val="0"/>
          <w:numId w:val="8"/>
        </w:numPr>
        <w:bidi/>
        <w:spacing w:before="0" w:beforeAutospacing="0" w:after="0" w:afterAutospacing="0"/>
        <w:rPr>
          <w:rFonts w:ascii="Calibri" w:hAnsi="Calibri" w:cs="Calibri"/>
          <w:b/>
          <w:bCs/>
        </w:rPr>
      </w:pPr>
      <w:r w:rsidRPr="004D2B60">
        <w:rPr>
          <w:rFonts w:ascii="Calibri" w:hAnsi="Calibri" w:cs="Calibri"/>
          <w:b/>
          <w:bCs/>
          <w:rtl/>
        </w:rPr>
        <w:t>ارتفعت المؤشرات المحلية لأسعار الأسهم وتميزت إيجابًا مقارنة بالعالم. وانخفضت علاوة المخاطر – كما تنعكس في فروق مقايضة العجز عن السداد (</w:t>
      </w:r>
      <w:r w:rsidRPr="004D2B60">
        <w:rPr>
          <w:rFonts w:ascii="Calibri" w:hAnsi="Calibri" w:cs="Calibri"/>
          <w:b/>
          <w:bCs/>
        </w:rPr>
        <w:t>CDS</w:t>
      </w:r>
      <w:r w:rsidRPr="004D2B60">
        <w:rPr>
          <w:rFonts w:ascii="Calibri" w:hAnsi="Calibri" w:cs="Calibri"/>
          <w:b/>
          <w:bCs/>
          <w:rtl/>
        </w:rPr>
        <w:t xml:space="preserve">) – خلال الفترة قيد المراجعة، وما زالت أعلى بقليل من مستواها ما قبل الحرب. </w:t>
      </w:r>
      <w:r w:rsidRPr="004D2B60">
        <w:rPr>
          <w:rFonts w:ascii="Calibri" w:hAnsi="Calibri" w:cs="Calibri"/>
          <w:b/>
          <w:bCs/>
          <w:rtl/>
        </w:rPr>
        <w:t>كما واصلت فروق السندات الحكومية الانخفاض.</w:t>
      </w:r>
    </w:p>
    <w:p w:rsidR="000D1141" w:rsidRPr="004D2B60" w:rsidRDefault="000D1141" w:rsidP="004D2B60">
      <w:pPr>
        <w:pStyle w:val="p1"/>
        <w:bidi/>
        <w:spacing w:before="0" w:beforeAutospacing="0" w:after="0" w:afterAutospacing="0"/>
        <w:rPr>
          <w:rFonts w:ascii="Calibri" w:hAnsi="Calibri" w:cs="Calibri"/>
          <w:b/>
          <w:bCs/>
          <w:rtl/>
        </w:rPr>
      </w:pPr>
    </w:p>
    <w:p w:rsidR="000D1141" w:rsidRPr="004D2B60" w:rsidRDefault="00272968" w:rsidP="004D2B60">
      <w:pPr>
        <w:pStyle w:val="p1"/>
        <w:numPr>
          <w:ilvl w:val="0"/>
          <w:numId w:val="8"/>
        </w:numPr>
        <w:bidi/>
        <w:spacing w:before="0" w:beforeAutospacing="0" w:after="0" w:afterAutospacing="0"/>
        <w:rPr>
          <w:rFonts w:ascii="Calibri" w:hAnsi="Calibri" w:cs="Calibri"/>
          <w:b/>
          <w:bCs/>
          <w:rtl/>
        </w:rPr>
      </w:pPr>
      <w:r w:rsidRPr="004D2B60">
        <w:rPr>
          <w:rFonts w:ascii="Calibri" w:hAnsi="Calibri" w:cs="Calibri"/>
          <w:b/>
          <w:bCs/>
          <w:rtl/>
        </w:rPr>
        <w:t>منذ قرار الفائدة السابق، سُجّل ارتفاع في قيمة الشيكل بنسبة 1.3% مقابل الدولار و2.9% مقابل اليورو. وبمصطلحات اسمية فعّالة ارتفع الشيكل بنسبة 2.2%.</w:t>
      </w:r>
    </w:p>
    <w:p w:rsidR="00597066" w:rsidRPr="004D2B60" w:rsidRDefault="00597066" w:rsidP="00597066">
      <w:pPr>
        <w:bidi/>
        <w:spacing w:line="360" w:lineRule="auto"/>
        <w:jc w:val="both"/>
        <w:rPr>
          <w:rFonts w:ascii="Calibri" w:hAnsi="Calibri" w:cs="Calibri"/>
          <w:b/>
          <w:bCs/>
          <w:rtl/>
          <w:lang w:val="" w:bidi="ar-SA"/>
        </w:rPr>
      </w:pPr>
    </w:p>
    <w:p w:rsidR="000D1141" w:rsidRPr="004D2B60" w:rsidRDefault="00272968" w:rsidP="000D1141">
      <w:pPr>
        <w:pStyle w:val="p1"/>
        <w:bidi/>
        <w:rPr>
          <w:rFonts w:ascii="Calibri" w:hAnsi="Calibri" w:cs="Calibri"/>
          <w:b/>
          <w:bCs/>
        </w:rPr>
      </w:pPr>
      <w:r w:rsidRPr="004D2B60">
        <w:rPr>
          <w:rFonts w:ascii="Calibri" w:hAnsi="Calibri" w:cs="Calibri"/>
          <w:b/>
          <w:bCs/>
          <w:rtl/>
        </w:rPr>
        <w:t>تركّز سياسة اللجنة النقدية على استقرار الأسعار، دعم النشاط الاقتصا</w:t>
      </w:r>
      <w:r w:rsidRPr="004D2B60">
        <w:rPr>
          <w:rFonts w:ascii="Calibri" w:hAnsi="Calibri" w:cs="Calibri"/>
          <w:b/>
          <w:bCs/>
          <w:rtl/>
        </w:rPr>
        <w:t>دي، واستقرار الأسواق. وسيُحدد مسار الفائدة وفقًا لتطورات التضخم، نشاط الاقتصاد، حالة عدم اليقين الجيوسياسي، والتطورات المالية الحكومية.</w:t>
      </w:r>
    </w:p>
    <w:p w:rsidR="000D1141" w:rsidRPr="004D2B60" w:rsidRDefault="00272968" w:rsidP="000D1141">
      <w:pPr>
        <w:pStyle w:val="p1"/>
        <w:bidi/>
        <w:rPr>
          <w:rFonts w:ascii="Calibri" w:hAnsi="Calibri" w:cs="Calibri"/>
          <w:lang w:val="en-US"/>
        </w:rPr>
      </w:pPr>
      <w:r w:rsidRPr="004D2B60">
        <w:rPr>
          <w:rFonts w:ascii="Calibri" w:hAnsi="Calibri" w:cs="Calibri"/>
          <w:rtl/>
        </w:rPr>
        <w:t>على خلفية التطورات الجيوسياسية، تعافى النشاط الاقتصادي في الاقتصاد المحلي بشكل حاد خلال الربع الثالث. تباطأ التضخم السنو</w:t>
      </w:r>
      <w:r w:rsidRPr="004D2B60">
        <w:rPr>
          <w:rFonts w:ascii="Calibri" w:hAnsi="Calibri" w:cs="Calibri"/>
          <w:rtl/>
        </w:rPr>
        <w:t>ي ودخل إلى نطاق الهدف. وفي الفترة قيد المراجعة ارتفع الشيكل وانخفضت علاوة المخاطر لإسرائيل لتستقر بقليل فوق مستواها ما قبل الحرب.</w:t>
      </w:r>
    </w:p>
    <w:p w:rsidR="00A70E9F" w:rsidRPr="004D2B60" w:rsidRDefault="00272968" w:rsidP="00A70E9F">
      <w:pPr>
        <w:pStyle w:val="p1"/>
        <w:bidi/>
        <w:rPr>
          <w:rFonts w:ascii="Calibri" w:hAnsi="Calibri" w:cs="Calibri"/>
        </w:rPr>
      </w:pPr>
      <w:r w:rsidRPr="004D2B60">
        <w:rPr>
          <w:rFonts w:ascii="Calibri" w:hAnsi="Calibri" w:cs="Calibri"/>
          <w:rtl/>
        </w:rPr>
        <w:t xml:space="preserve">ارتفع مؤشر أسعار المستهلك في شهر تشرين الأول بنسبة 0.5%، بعد أن كان قد انخفض في شهر أيلول بنسبة 0.6%. وتبلغ نسبة التضخم السنوي وفق آخر رقمين قياسيين 2.5% </w:t>
      </w:r>
      <w:r w:rsidRPr="004D2B60">
        <w:rPr>
          <w:rFonts w:ascii="Calibri" w:hAnsi="Calibri" w:cs="Calibri"/>
          <w:b/>
          <w:bCs/>
          <w:rtl/>
        </w:rPr>
        <w:t>(الرسم 1)</w:t>
      </w:r>
      <w:r w:rsidRPr="004D2B60">
        <w:rPr>
          <w:rFonts w:ascii="Calibri" w:hAnsi="Calibri" w:cs="Calibri"/>
          <w:rtl/>
        </w:rPr>
        <w:t xml:space="preserve">. وبعد خصم أسعار الطاقة والغذاء الطازج، تبلغ نسبة التضخم السنوية 2.7% </w:t>
      </w:r>
      <w:r w:rsidRPr="004D2B60">
        <w:rPr>
          <w:rFonts w:ascii="Calibri" w:hAnsi="Calibri" w:cs="Calibri"/>
          <w:b/>
          <w:bCs/>
          <w:rtl/>
        </w:rPr>
        <w:t>(الرسم 2)</w:t>
      </w:r>
      <w:r w:rsidRPr="004D2B60">
        <w:rPr>
          <w:rFonts w:ascii="Calibri" w:hAnsi="Calibri" w:cs="Calibri"/>
          <w:rtl/>
        </w:rPr>
        <w:t>. انخفض معدل ت</w:t>
      </w:r>
      <w:r w:rsidRPr="004D2B60">
        <w:rPr>
          <w:rFonts w:ascii="Calibri" w:hAnsi="Calibri" w:cs="Calibri"/>
          <w:rtl/>
        </w:rPr>
        <w:t xml:space="preserve">ضخم السلع غير المتداولة إلى 3.0%، في حين ظل معدل تضخم السلع المتداولة مستقراً عند 1.5% خلال الأشهر الـ12 الأخيرة </w:t>
      </w:r>
      <w:r w:rsidRPr="004D2B60">
        <w:rPr>
          <w:rFonts w:ascii="Calibri" w:hAnsi="Calibri" w:cs="Calibri"/>
          <w:b/>
          <w:bCs/>
          <w:rtl/>
        </w:rPr>
        <w:t>(الرسم 3)</w:t>
      </w:r>
      <w:r w:rsidRPr="004D2B60">
        <w:rPr>
          <w:rFonts w:ascii="Calibri" w:hAnsi="Calibri" w:cs="Calibri"/>
          <w:rtl/>
        </w:rPr>
        <w:t xml:space="preserve">. ويتوقع المحللون ارتفاعاً طفيفاً في التضخم حتى نهاية العام، يعقبه انخفاض واستقرار في محيط منتصف نطاق الهدف </w:t>
      </w:r>
      <w:r w:rsidRPr="004D2B60">
        <w:rPr>
          <w:rFonts w:ascii="Calibri" w:hAnsi="Calibri" w:cs="Calibri"/>
          <w:b/>
          <w:bCs/>
          <w:rtl/>
        </w:rPr>
        <w:t>(الرسم 5)</w:t>
      </w:r>
      <w:r w:rsidRPr="004D2B60">
        <w:rPr>
          <w:rFonts w:ascii="Calibri" w:hAnsi="Calibri" w:cs="Calibri"/>
          <w:rtl/>
        </w:rPr>
        <w:t>. انخفضت التوقعات</w:t>
      </w:r>
      <w:r w:rsidRPr="004D2B60">
        <w:rPr>
          <w:rFonts w:ascii="Calibri" w:hAnsi="Calibri" w:cs="Calibri"/>
          <w:rtl/>
        </w:rPr>
        <w:t xml:space="preserve"> للتضخم للسنة المقبلة – وفقاً لمصادر مختلفة – وهي حالياً قريبة من منتصف نطاق الهدف </w:t>
      </w:r>
      <w:r w:rsidRPr="004D2B60">
        <w:rPr>
          <w:rFonts w:ascii="Calibri" w:hAnsi="Calibri" w:cs="Calibri"/>
          <w:b/>
          <w:bCs/>
          <w:rtl/>
        </w:rPr>
        <w:t>(الرسم 6)</w:t>
      </w:r>
      <w:r w:rsidRPr="004D2B60">
        <w:rPr>
          <w:rFonts w:ascii="Calibri" w:hAnsi="Calibri" w:cs="Calibri"/>
          <w:rtl/>
        </w:rPr>
        <w:t xml:space="preserve">. أما التوقعات للعام الثاني فصاعداً، فتواصل هي الأخرى الاستقرار قرب منتصف نطاق الهدف </w:t>
      </w:r>
      <w:r w:rsidRPr="004D2B60">
        <w:rPr>
          <w:rFonts w:ascii="Calibri" w:hAnsi="Calibri" w:cs="Calibri"/>
          <w:b/>
          <w:bCs/>
          <w:rtl/>
        </w:rPr>
        <w:t>(الرسم 7)</w:t>
      </w:r>
      <w:r w:rsidRPr="004D2B60">
        <w:rPr>
          <w:rFonts w:ascii="Calibri" w:hAnsi="Calibri" w:cs="Calibri"/>
          <w:rtl/>
        </w:rPr>
        <w:t>. وتقدّر اللجنة وجود عدة مخاطر لاحتمال تجدد ارتفاع التضخم، وتشمل: التط</w:t>
      </w:r>
      <w:r w:rsidRPr="004D2B60">
        <w:rPr>
          <w:rFonts w:ascii="Calibri" w:hAnsi="Calibri" w:cs="Calibri"/>
          <w:rtl/>
        </w:rPr>
        <w:t>ورات الجيوسياسية وتأثيراتها على النشاط الاقتصادي، زيادة في الطلب مقابل قيود في جانب العرض، والتطورات في السياسة المالية.</w:t>
      </w:r>
    </w:p>
    <w:p w:rsidR="00F4288B" w:rsidRPr="004D2B60" w:rsidRDefault="00272968" w:rsidP="00F4288B">
      <w:pPr>
        <w:pStyle w:val="p1"/>
        <w:bidi/>
        <w:rPr>
          <w:rFonts w:ascii="Calibri" w:hAnsi="Calibri" w:cs="Calibri"/>
          <w:rtl/>
        </w:rPr>
      </w:pPr>
      <w:r w:rsidRPr="004D2B60">
        <w:rPr>
          <w:rFonts w:ascii="Calibri" w:hAnsi="Calibri" w:cs="Calibri"/>
          <w:rtl/>
        </w:rPr>
        <w:lastRenderedPageBreak/>
        <w:t>منذ قرار الفائدة الأخير، سُجّل ارتفاع في قيمة الشيكل بنسبة 1.3% مقابل الدولار و2.9% مقابل اليورو. وبالقيم الاسمية الفعّالة، ارتفع الشيك</w:t>
      </w:r>
      <w:r w:rsidRPr="004D2B60">
        <w:rPr>
          <w:rFonts w:ascii="Calibri" w:hAnsi="Calibri" w:cs="Calibri"/>
          <w:rtl/>
        </w:rPr>
        <w:t>ل بنسبة 2.2%.</w:t>
      </w:r>
    </w:p>
    <w:p w:rsidR="00F4288B" w:rsidRPr="004D2B60" w:rsidRDefault="00272968" w:rsidP="00F4288B">
      <w:pPr>
        <w:pStyle w:val="p1"/>
        <w:bidi/>
        <w:rPr>
          <w:rFonts w:ascii="Calibri" w:hAnsi="Calibri" w:cs="Calibri"/>
        </w:rPr>
      </w:pPr>
      <w:r w:rsidRPr="004D2B60">
        <w:rPr>
          <w:rFonts w:ascii="Calibri" w:hAnsi="Calibri" w:cs="Calibri"/>
          <w:rtl/>
        </w:rPr>
        <w:t xml:space="preserve">تشير بيانات الحسابات القومية للربع الثالث من عام 2025 إلى أن الناتج المحلي الإجمالي توسع بشكل حاد بمعدل سنوي قدره 12.4% </w:t>
      </w:r>
      <w:r w:rsidRPr="004D2B60">
        <w:rPr>
          <w:rFonts w:ascii="Calibri" w:hAnsi="Calibri" w:cs="Calibri"/>
          <w:b/>
          <w:bCs/>
          <w:rtl/>
        </w:rPr>
        <w:t>(الرسم 10)</w:t>
      </w:r>
      <w:r w:rsidRPr="004D2B60">
        <w:rPr>
          <w:rFonts w:ascii="Calibri" w:hAnsi="Calibri" w:cs="Calibri"/>
          <w:rtl/>
        </w:rPr>
        <w:t>. ونما الناتج المحلي الإجمالي للقطاع التجاري في الربع الثالث بنسبة 14.9% بمعدل سنوي. تعكس وتيرة النمو في الربع ا</w:t>
      </w:r>
      <w:r w:rsidRPr="004D2B60">
        <w:rPr>
          <w:rFonts w:ascii="Calibri" w:hAnsi="Calibri" w:cs="Calibri"/>
          <w:rtl/>
        </w:rPr>
        <w:t xml:space="preserve">لثالث زيادة في جميع مكونات الناتج، وذلك بعد الانكماش الذي سُجّل في الربع الثاني في أعقاب عملية "الأسد الصاعد". تقلصت الانحرافات في مستويات الناتج والناتج التجاري عن اتجاهاتهما طويلة الأمد، وتبلغ حالياً 3.4% و4.6% على التوالي </w:t>
      </w:r>
      <w:r w:rsidRPr="004D2B60">
        <w:rPr>
          <w:rFonts w:ascii="Calibri" w:hAnsi="Calibri" w:cs="Calibri"/>
          <w:b/>
          <w:bCs/>
          <w:rtl/>
        </w:rPr>
        <w:t>(الرسم 11)</w:t>
      </w:r>
      <w:r w:rsidRPr="004D2B60">
        <w:rPr>
          <w:rFonts w:ascii="Calibri" w:hAnsi="Calibri" w:cs="Calibri"/>
          <w:rtl/>
        </w:rPr>
        <w:t>. وشهد الربع الثالث ا</w:t>
      </w:r>
      <w:r w:rsidRPr="004D2B60">
        <w:rPr>
          <w:rFonts w:ascii="Calibri" w:hAnsi="Calibri" w:cs="Calibri"/>
          <w:rtl/>
        </w:rPr>
        <w:t>رتفاعاً في الاستخدامات، قابله ارتفاع حاد في الاستيراد. فقد ارتفع الاستهلاك الخاص بنسبة 23%، بينما ارتفع الاستهلاك العام (بدون الاستيراد الأمني) بنسبة 19.1% بمعدل سنوي. وبالمقابل، ارتفع الاستيراد (باستثناء الألماس، المعدات الأمنية، السفن والطائرات) بنسبة 38</w:t>
      </w:r>
      <w:r w:rsidRPr="004D2B60">
        <w:rPr>
          <w:rFonts w:ascii="Calibri" w:hAnsi="Calibri" w:cs="Calibri"/>
          <w:rtl/>
        </w:rPr>
        <w:t xml:space="preserve">.6% بمعدل سنوي </w:t>
      </w:r>
      <w:r w:rsidRPr="004D2B60">
        <w:rPr>
          <w:rFonts w:ascii="Calibri" w:hAnsi="Calibri" w:cs="Calibri"/>
          <w:b/>
          <w:bCs/>
          <w:rtl/>
        </w:rPr>
        <w:t>(الجدول 1)</w:t>
      </w:r>
      <w:r w:rsidRPr="004D2B60">
        <w:rPr>
          <w:rFonts w:ascii="Calibri" w:hAnsi="Calibri" w:cs="Calibri"/>
          <w:rtl/>
        </w:rPr>
        <w:t>.</w:t>
      </w:r>
    </w:p>
    <w:p w:rsidR="00F4288B" w:rsidRPr="004D2B60" w:rsidRDefault="00272968" w:rsidP="00F4288B">
      <w:pPr>
        <w:pStyle w:val="p1"/>
        <w:bidi/>
        <w:rPr>
          <w:rFonts w:ascii="Calibri" w:hAnsi="Calibri" w:cs="Calibri"/>
        </w:rPr>
      </w:pPr>
      <w:r w:rsidRPr="004D2B60">
        <w:rPr>
          <w:rFonts w:ascii="Calibri" w:hAnsi="Calibri" w:cs="Calibri"/>
          <w:rtl/>
        </w:rPr>
        <w:t xml:space="preserve">تشير المؤشرات الحالية للربع الرابع، التي نُشرت حتى الآن، إلى نشاط اقتصادي قوي في الاقتصاد. بيانات الإنفاق ببطاقات الائتمان بالأسعار الجارية لشهري تشرين الأول – تشرين الثاني ما زالت أعلى قليلاً من خط الاتجاه </w:t>
      </w:r>
      <w:r w:rsidRPr="004D2B60">
        <w:rPr>
          <w:rFonts w:ascii="Calibri" w:hAnsi="Calibri" w:cs="Calibri"/>
          <w:b/>
          <w:bCs/>
          <w:rtl/>
        </w:rPr>
        <w:t>(الرسم 13)</w:t>
      </w:r>
      <w:r w:rsidRPr="004D2B60">
        <w:rPr>
          <w:rFonts w:ascii="Calibri" w:hAnsi="Calibri" w:cs="Calibri"/>
          <w:rtl/>
        </w:rPr>
        <w:t>. وارتفع الم</w:t>
      </w:r>
      <w:r w:rsidRPr="004D2B60">
        <w:rPr>
          <w:rFonts w:ascii="Calibri" w:hAnsi="Calibri" w:cs="Calibri"/>
          <w:rtl/>
        </w:rPr>
        <w:t xml:space="preserve">يزان الإجمالي في مسح الاتجاهات في الأعمال الذي يجريه مكتب الإحصاء المركزي لشهر تشرين الأول، إلا أنه لا يزال دون مستواه قبل الحرب </w:t>
      </w:r>
      <w:r w:rsidRPr="004D2B60">
        <w:rPr>
          <w:rFonts w:ascii="Calibri" w:hAnsi="Calibri" w:cs="Calibri"/>
          <w:b/>
          <w:bCs/>
          <w:rtl/>
        </w:rPr>
        <w:t>(الرسم 12)</w:t>
      </w:r>
      <w:r w:rsidRPr="004D2B60">
        <w:rPr>
          <w:rFonts w:ascii="Calibri" w:hAnsi="Calibri" w:cs="Calibri"/>
          <w:rtl/>
        </w:rPr>
        <w:t xml:space="preserve">. </w:t>
      </w:r>
      <w:r w:rsidRPr="004D2B60">
        <w:rPr>
          <w:rFonts w:ascii="Calibri" w:hAnsi="Calibri" w:cs="Calibri"/>
          <w:rtl/>
        </w:rPr>
        <w:t>في شهر تشرين الأول، سُجّل تحسّن في قطاعات الصناعة، التجارة والخدمات؛ في حين سُجّلت تراجعات في قطاعي البناء والفنادق. كما ارتفع مؤشر ثقة المستهلك بشكل حاد خلال شهر تشرين الأول. واستمرت وتيرة جمع رأس المال في قطاع الهايتك عند مستويات مرتفعة في الربع الرابع م</w:t>
      </w:r>
      <w:r w:rsidRPr="004D2B60">
        <w:rPr>
          <w:rFonts w:ascii="Calibri" w:hAnsi="Calibri" w:cs="Calibri"/>
          <w:rtl/>
        </w:rPr>
        <w:t xml:space="preserve">ن العام </w:t>
      </w:r>
      <w:r w:rsidRPr="004D2B60">
        <w:rPr>
          <w:rFonts w:ascii="Calibri" w:hAnsi="Calibri" w:cs="Calibri"/>
          <w:b/>
          <w:bCs/>
          <w:rtl/>
        </w:rPr>
        <w:t>(الرسم 14)</w:t>
      </w:r>
      <w:r w:rsidRPr="004D2B60">
        <w:rPr>
          <w:rFonts w:ascii="Calibri" w:hAnsi="Calibri" w:cs="Calibri"/>
          <w:rtl/>
        </w:rPr>
        <w:t xml:space="preserve">. وخلال الفترة المشمولة بالتقرير، تواصلت وتيرة التعافي في التجارة الخارجية، إذ ارتفعت صادرات وواردات السلع في شهر تشرين الأول </w:t>
      </w:r>
      <w:r w:rsidRPr="004D2B60">
        <w:rPr>
          <w:rFonts w:ascii="Calibri" w:hAnsi="Calibri" w:cs="Calibri"/>
          <w:b/>
          <w:bCs/>
          <w:rtl/>
        </w:rPr>
        <w:t>(الرسم 21)</w:t>
      </w:r>
      <w:r w:rsidRPr="004D2B60">
        <w:rPr>
          <w:rFonts w:ascii="Calibri" w:hAnsi="Calibri" w:cs="Calibri"/>
          <w:rtl/>
        </w:rPr>
        <w:t>.</w:t>
      </w:r>
    </w:p>
    <w:p w:rsidR="004D2B60" w:rsidRPr="004D2B60" w:rsidRDefault="00272968" w:rsidP="004D2B60">
      <w:pPr>
        <w:pStyle w:val="p1"/>
        <w:bidi/>
        <w:rPr>
          <w:rFonts w:ascii="Calibri" w:hAnsi="Calibri" w:cs="Calibri"/>
          <w:rtl/>
        </w:rPr>
      </w:pPr>
      <w:r w:rsidRPr="004D2B60">
        <w:rPr>
          <w:rFonts w:ascii="Calibri" w:hAnsi="Calibri" w:cs="Calibri"/>
          <w:rtl/>
        </w:rPr>
        <w:t>بلغ العجز التراكمي في ميزانية الدولة خلال الأشهر الـ12 الأخيرة 4.9% من الناتج المحلي الإجمالي في شهر</w:t>
      </w:r>
      <w:r w:rsidRPr="004D2B60">
        <w:rPr>
          <w:rFonts w:ascii="Calibri" w:hAnsi="Calibri" w:cs="Calibri"/>
          <w:rtl/>
        </w:rPr>
        <w:t xml:space="preserve"> تشرين الأول، وهو مستقر عند هذا المستوى. وكانت إيرادات الحكومة من الضرائب المباشرة خلال هذا الشهر (بالأسعار الثابتة وبعد خصم تغييرات تشريعية والإيرادات غير المتكررة) مرتفعة مقارنة بالاتجاه طويل الأمد </w:t>
      </w:r>
      <w:r w:rsidRPr="004D2B60">
        <w:rPr>
          <w:rFonts w:ascii="Calibri" w:hAnsi="Calibri" w:cs="Calibri"/>
          <w:b/>
          <w:bCs/>
          <w:rtl/>
        </w:rPr>
        <w:t>(الرسم 15)</w:t>
      </w:r>
      <w:r w:rsidRPr="004D2B60">
        <w:rPr>
          <w:rFonts w:ascii="Calibri" w:hAnsi="Calibri" w:cs="Calibri"/>
          <w:rtl/>
        </w:rPr>
        <w:t>. إن بلورة ميزانية لعام 2026، التي تطبّق مسارا</w:t>
      </w:r>
      <w:r w:rsidRPr="004D2B60">
        <w:rPr>
          <w:rFonts w:ascii="Calibri" w:hAnsi="Calibri" w:cs="Calibri"/>
          <w:rtl/>
        </w:rPr>
        <w:t>ً تنازلياً في نسبة الدين إلى الناتج المحلي الإجمالي، من شأنها أن تساهم في الحفاظ على ثقة الأسواق، وبالتالي دعم استقرار عوائد السندات وترسيخ توقعات التضخم.</w:t>
      </w:r>
    </w:p>
    <w:p w:rsidR="004D2B60" w:rsidRPr="004D2B60" w:rsidRDefault="00272968" w:rsidP="004D2B60">
      <w:pPr>
        <w:pStyle w:val="p1"/>
        <w:bidi/>
        <w:rPr>
          <w:rFonts w:ascii="Calibri" w:hAnsi="Calibri" w:cs="Calibri"/>
        </w:rPr>
      </w:pPr>
      <w:r w:rsidRPr="004D2B60">
        <w:rPr>
          <w:rFonts w:ascii="Calibri" w:hAnsi="Calibri" w:cs="Calibri"/>
          <w:rtl/>
        </w:rPr>
        <w:t xml:space="preserve">في ظل القيود على جانب العرض، يواصل سوق العمل الحفاظ على </w:t>
      </w:r>
      <w:r w:rsidRPr="00272968">
        <w:rPr>
          <w:rFonts w:ascii="Calibri" w:hAnsi="Calibri" w:cs="Calibri"/>
          <w:rtl/>
        </w:rPr>
        <w:t>ضيقه</w:t>
      </w:r>
      <w:r w:rsidRPr="004D2B60">
        <w:rPr>
          <w:rFonts w:ascii="Calibri" w:hAnsi="Calibri" w:cs="Calibri"/>
          <w:rtl/>
        </w:rPr>
        <w:t>. لا يزال معدل الوظائف الشاغرة إلى عدد ال</w:t>
      </w:r>
      <w:r w:rsidRPr="004D2B60">
        <w:rPr>
          <w:rFonts w:ascii="Calibri" w:hAnsi="Calibri" w:cs="Calibri"/>
          <w:rtl/>
        </w:rPr>
        <w:t xml:space="preserve">عاطلين عن العمل مرتفعاً </w:t>
      </w:r>
      <w:r w:rsidRPr="00272968">
        <w:rPr>
          <w:rFonts w:ascii="Calibri" w:hAnsi="Calibri" w:cs="Calibri"/>
          <w:rtl/>
        </w:rPr>
        <w:t>(الرسم 17ب)</w:t>
      </w:r>
      <w:r w:rsidRPr="004D2B60">
        <w:rPr>
          <w:rFonts w:ascii="Calibri" w:hAnsi="Calibri" w:cs="Calibri"/>
          <w:rtl/>
        </w:rPr>
        <w:t xml:space="preserve">، كما استمر معدل ارتفاع الأجور الاسمية والحقيقية في القطاع التجاري بالتصاعد. وظل معدل الوظائف الشاغرة مستقراً عند مستوى مرتفع، وبلغ 4.5% في شهر تشرين الأول </w:t>
      </w:r>
      <w:r w:rsidRPr="004D2B60">
        <w:rPr>
          <w:rFonts w:ascii="Calibri" w:hAnsi="Calibri" w:cs="Calibri"/>
          <w:b/>
          <w:bCs/>
          <w:rtl/>
        </w:rPr>
        <w:t>(الرسم 17أ)</w:t>
      </w:r>
      <w:r w:rsidRPr="004D2B60">
        <w:rPr>
          <w:rFonts w:ascii="Calibri" w:hAnsi="Calibri" w:cs="Calibri"/>
          <w:rtl/>
        </w:rPr>
        <w:t>. كما ارتفعت نسبة التشغيل ومعدل المشاركة في القوى العا</w:t>
      </w:r>
      <w:r w:rsidRPr="004D2B60">
        <w:rPr>
          <w:rFonts w:ascii="Calibri" w:hAnsi="Calibri" w:cs="Calibri"/>
          <w:rtl/>
        </w:rPr>
        <w:t>ملة للفئة العمرية الرئيسية (25–64) في شهر تشرين الأول،</w:t>
      </w:r>
      <w:bookmarkStart w:id="0" w:name="_GoBack"/>
      <w:bookmarkEnd w:id="0"/>
      <w:r w:rsidRPr="004D2B60">
        <w:rPr>
          <w:rFonts w:ascii="Calibri" w:hAnsi="Calibri" w:cs="Calibri"/>
          <w:rtl/>
        </w:rPr>
        <w:t xml:space="preserve"> لتبلغ 78.9% و81.1% على التوالي </w:t>
      </w:r>
      <w:r w:rsidRPr="004D2B60">
        <w:rPr>
          <w:rFonts w:ascii="Calibri" w:hAnsi="Calibri" w:cs="Calibri"/>
          <w:b/>
          <w:bCs/>
          <w:rtl/>
        </w:rPr>
        <w:t>(الرسم 16أ)</w:t>
      </w:r>
      <w:r w:rsidRPr="004D2B60">
        <w:rPr>
          <w:rFonts w:ascii="Calibri" w:hAnsi="Calibri" w:cs="Calibri"/>
          <w:rtl/>
        </w:rPr>
        <w:t xml:space="preserve">. أما معدل البطالة الواسعة للفئة العمرية ذاتها فقد بلغ 2.9% في شهر تشرين الأول </w:t>
      </w:r>
      <w:r w:rsidRPr="004D2B60">
        <w:rPr>
          <w:rFonts w:ascii="Calibri" w:hAnsi="Calibri" w:cs="Calibri"/>
          <w:b/>
          <w:bCs/>
          <w:rtl/>
        </w:rPr>
        <w:t>(الرسم 16ب)</w:t>
      </w:r>
      <w:r w:rsidRPr="004D2B60">
        <w:rPr>
          <w:rFonts w:ascii="Calibri" w:hAnsi="Calibri" w:cs="Calibri"/>
          <w:rtl/>
        </w:rPr>
        <w:t>. وبلغت نسبة المتغيبين مؤقتاً عن العمل بسبب خدمة الاحتياط في شهر تشري</w:t>
      </w:r>
      <w:r w:rsidRPr="004D2B60">
        <w:rPr>
          <w:rFonts w:ascii="Calibri" w:hAnsi="Calibri" w:cs="Calibri"/>
          <w:rtl/>
        </w:rPr>
        <w:t xml:space="preserve">ن الأول 0.7%. وارتفعت الأجور في القطاع التجاري بنسبة 5.2% (بمعدل سنوي) في تموز – أيلول مقارنة بالربع الثالث من عام 2023 </w:t>
      </w:r>
      <w:r w:rsidRPr="004D2B60">
        <w:rPr>
          <w:rFonts w:ascii="Calibri" w:hAnsi="Calibri" w:cs="Calibri"/>
          <w:b/>
          <w:bCs/>
          <w:rtl/>
        </w:rPr>
        <w:t>(الرسم 19)</w:t>
      </w:r>
      <w:r w:rsidRPr="004D2B60">
        <w:rPr>
          <w:rFonts w:ascii="Calibri" w:hAnsi="Calibri" w:cs="Calibri"/>
          <w:rtl/>
        </w:rPr>
        <w:t>.</w:t>
      </w:r>
    </w:p>
    <w:p w:rsidR="004D2B60" w:rsidRPr="004D2B60" w:rsidRDefault="00272968" w:rsidP="00272968">
      <w:pPr>
        <w:pStyle w:val="p1"/>
        <w:bidi/>
        <w:rPr>
          <w:rFonts w:ascii="Calibri" w:hAnsi="Calibri" w:cs="Calibri"/>
        </w:rPr>
      </w:pPr>
      <w:r w:rsidRPr="004D2B60">
        <w:rPr>
          <w:rFonts w:ascii="Calibri" w:hAnsi="Calibri" w:cs="Calibri"/>
          <w:rtl/>
        </w:rPr>
        <w:t xml:space="preserve">في شهر </w:t>
      </w:r>
      <w:proofErr w:type="gramStart"/>
      <w:r w:rsidRPr="00272968">
        <w:rPr>
          <w:rFonts w:ascii="Calibri" w:hAnsi="Calibri" w:cs="Calibri" w:hint="cs"/>
          <w:rtl/>
        </w:rPr>
        <w:t>أيلول</w:t>
      </w:r>
      <w:r w:rsidRPr="00272968">
        <w:rPr>
          <w:rFonts w:ascii="Calibri" w:hAnsi="Calibri" w:cs="Calibri"/>
          <w:rtl/>
        </w:rPr>
        <w:t xml:space="preserve"> </w:t>
      </w:r>
      <w:r w:rsidRPr="004D2B60">
        <w:rPr>
          <w:rFonts w:ascii="Calibri" w:hAnsi="Calibri" w:cs="Calibri"/>
          <w:rtl/>
        </w:rPr>
        <w:t>،</w:t>
      </w:r>
      <w:proofErr w:type="gramEnd"/>
      <w:r w:rsidRPr="004D2B60">
        <w:rPr>
          <w:rFonts w:ascii="Calibri" w:hAnsi="Calibri" w:cs="Calibri"/>
          <w:rtl/>
        </w:rPr>
        <w:t xml:space="preserve"> واصلت أسعار الشقق الانخفاض للشهر السابع على التوالي، وبلغ معدل الزيادة السنوي فيها 0.5% </w:t>
      </w:r>
      <w:r w:rsidRPr="004D2B60">
        <w:rPr>
          <w:rFonts w:ascii="Calibri" w:hAnsi="Calibri" w:cs="Calibri"/>
          <w:b/>
          <w:bCs/>
          <w:rtl/>
        </w:rPr>
        <w:t>(الرسم 8)</w:t>
      </w:r>
      <w:r w:rsidRPr="004D2B60">
        <w:rPr>
          <w:rFonts w:ascii="Calibri" w:hAnsi="Calibri" w:cs="Calibri"/>
          <w:rtl/>
        </w:rPr>
        <w:t>. في ال</w:t>
      </w:r>
      <w:r w:rsidRPr="004D2B60">
        <w:rPr>
          <w:rFonts w:ascii="Calibri" w:hAnsi="Calibri" w:cs="Calibri"/>
          <w:rtl/>
        </w:rPr>
        <w:t>أشهر الأخيرة، استمر التراجع في عدد صفقات الشقق، وهو منخفض مقارنة بالفترة الموازية من العام الماضي. وفي الوقت نفسه، استمرت الزيادة في مخزون الشقق الجديدة غير المبيعة. بند خدمات السكن للمالكين (الإيجارات في العقود الجديدة والمتجددة) انخفض بنسبة 0.9% في شهر ت</w:t>
      </w:r>
      <w:r w:rsidRPr="004D2B60">
        <w:rPr>
          <w:rFonts w:ascii="Calibri" w:hAnsi="Calibri" w:cs="Calibri"/>
          <w:rtl/>
        </w:rPr>
        <w:t xml:space="preserve">شرين الأول، وتباطأ معدل الزيادة السنوي لهذا البند ليبلغ 3.1%. وفي شهر تشرين الأول، تم منح قروض رهن عقاري بقيمة نحو 8.4 مليار شيكل، بعد خصم العوامل الموسمية (بما يشمل فترة الأعياد) </w:t>
      </w:r>
      <w:r w:rsidRPr="004D2B60">
        <w:rPr>
          <w:rFonts w:ascii="Calibri" w:hAnsi="Calibri" w:cs="Calibri"/>
          <w:b/>
          <w:bCs/>
          <w:rtl/>
        </w:rPr>
        <w:t>(الرسم 9)</w:t>
      </w:r>
      <w:r w:rsidRPr="004D2B60">
        <w:rPr>
          <w:rFonts w:ascii="Calibri" w:hAnsi="Calibri" w:cs="Calibri"/>
          <w:rtl/>
        </w:rPr>
        <w:t>.</w:t>
      </w:r>
    </w:p>
    <w:p w:rsidR="004D2B60" w:rsidRPr="004D2B60" w:rsidRDefault="00272968" w:rsidP="004D2B60">
      <w:pPr>
        <w:pStyle w:val="p1"/>
        <w:bidi/>
        <w:rPr>
          <w:rFonts w:ascii="Calibri" w:hAnsi="Calibri" w:cs="Calibri"/>
        </w:rPr>
      </w:pPr>
      <w:r w:rsidRPr="004D2B60">
        <w:rPr>
          <w:rFonts w:ascii="Calibri" w:hAnsi="Calibri" w:cs="Calibri"/>
          <w:rtl/>
        </w:rPr>
        <w:t>سجّلت مؤشرات الأسهم المحلية ارتفاعاً خلال الفترة المشمولة بالتقري</w:t>
      </w:r>
      <w:r w:rsidRPr="004D2B60">
        <w:rPr>
          <w:rFonts w:ascii="Calibri" w:hAnsi="Calibri" w:cs="Calibri"/>
          <w:rtl/>
        </w:rPr>
        <w:t xml:space="preserve">ر، وتميّزت بأدائها الإيجابي مقارنةً بالعالم </w:t>
      </w:r>
      <w:r w:rsidRPr="004D2B60">
        <w:rPr>
          <w:rFonts w:ascii="Calibri" w:hAnsi="Calibri" w:cs="Calibri"/>
          <w:b/>
          <w:bCs/>
          <w:rtl/>
        </w:rPr>
        <w:t>(الرسم 28)</w:t>
      </w:r>
      <w:r w:rsidRPr="004D2B60">
        <w:rPr>
          <w:rFonts w:ascii="Calibri" w:hAnsi="Calibri" w:cs="Calibri"/>
          <w:rtl/>
        </w:rPr>
        <w:t>. وانخفض هامش المخاطر الخاص بإسرائيل، كما ينعكس في فروقات الـ</w:t>
      </w:r>
      <w:r w:rsidRPr="004D2B60">
        <w:rPr>
          <w:rFonts w:ascii="Calibri" w:hAnsi="Calibri" w:cs="Calibri"/>
        </w:rPr>
        <w:t>CDS</w:t>
      </w:r>
      <w:r w:rsidRPr="004D2B60">
        <w:rPr>
          <w:rFonts w:ascii="Calibri" w:hAnsi="Calibri" w:cs="Calibri"/>
          <w:rtl/>
        </w:rPr>
        <w:t>، خلال الفترة المشمولة، وهو حالياً أعلى قليلاً من مستواه قبل الحرب. كما واصلت فروقات عوائد السندات الحكومية المقومة بالدولار والشيكل الانخ</w:t>
      </w:r>
      <w:r w:rsidRPr="004D2B60">
        <w:rPr>
          <w:rFonts w:ascii="Calibri" w:hAnsi="Calibri" w:cs="Calibri"/>
          <w:rtl/>
        </w:rPr>
        <w:t xml:space="preserve">فاض </w:t>
      </w:r>
      <w:r w:rsidRPr="004D2B60">
        <w:rPr>
          <w:rFonts w:ascii="Calibri" w:hAnsi="Calibri" w:cs="Calibri"/>
          <w:b/>
          <w:bCs/>
          <w:rtl/>
        </w:rPr>
        <w:t>(الرسم 29أ-ب)</w:t>
      </w:r>
      <w:r w:rsidRPr="004D2B60">
        <w:rPr>
          <w:rFonts w:ascii="Calibri" w:hAnsi="Calibri" w:cs="Calibri"/>
          <w:rtl/>
        </w:rPr>
        <w:t xml:space="preserve">. وخلال هذه الفترة، قامت شركة التصنيف </w:t>
      </w:r>
      <w:r w:rsidRPr="004D2B60">
        <w:rPr>
          <w:rFonts w:ascii="Calibri" w:hAnsi="Calibri" w:cs="Calibri"/>
        </w:rPr>
        <w:t>S</w:t>
      </w:r>
      <w:r w:rsidRPr="004D2B60">
        <w:rPr>
          <w:rFonts w:ascii="Calibri" w:hAnsi="Calibri" w:cs="Calibri"/>
          <w:rtl/>
        </w:rPr>
        <w:t>&amp;</w:t>
      </w:r>
      <w:r w:rsidRPr="004D2B60">
        <w:rPr>
          <w:rFonts w:ascii="Calibri" w:hAnsi="Calibri" w:cs="Calibri"/>
        </w:rPr>
        <w:t>P</w:t>
      </w:r>
      <w:r w:rsidRPr="004D2B60">
        <w:rPr>
          <w:rFonts w:ascii="Calibri" w:hAnsi="Calibri" w:cs="Calibri"/>
          <w:rtl/>
        </w:rPr>
        <w:t xml:space="preserve"> بتحديث التوقعات لتصنيف إسرائيل من “سلبية” إلى “مستقرة”. واستمر الائتمان للقطاع التجاري في التوسع بوتيرة مرتفعة، بقيادة الائتمان للشركات الكبرى. وبقيت نسبة الائتمان المتأخر للقطاع التجاري لأكثر من 9</w:t>
      </w:r>
      <w:r w:rsidRPr="004D2B60">
        <w:rPr>
          <w:rFonts w:ascii="Calibri" w:hAnsi="Calibri" w:cs="Calibri"/>
          <w:rtl/>
        </w:rPr>
        <w:t xml:space="preserve">0 يوماً عند مستوى منخفض نسبياً. ووفقاً لمسح الاتجاهات لشهر تشرين الأول، سُجّل انخفاض طفيف في نسبة الشركات الصغيرة التي أبلغت عن قيود شديدة في الائتمان البنكي </w:t>
      </w:r>
      <w:r w:rsidRPr="004D2B60">
        <w:rPr>
          <w:rFonts w:ascii="Calibri" w:hAnsi="Calibri" w:cs="Calibri"/>
          <w:b/>
          <w:bCs/>
          <w:rtl/>
        </w:rPr>
        <w:t>(الرسم 27)</w:t>
      </w:r>
      <w:r w:rsidRPr="004D2B60">
        <w:rPr>
          <w:rFonts w:ascii="Calibri" w:hAnsi="Calibri" w:cs="Calibri"/>
          <w:rtl/>
        </w:rPr>
        <w:t xml:space="preserve">. على الصعيد العالمي، لا تزال النشاطات </w:t>
      </w:r>
      <w:r w:rsidRPr="004D2B60">
        <w:rPr>
          <w:rFonts w:ascii="Calibri" w:hAnsi="Calibri" w:cs="Calibri"/>
          <w:rtl/>
        </w:rPr>
        <w:lastRenderedPageBreak/>
        <w:t>الاقتصادية تتوسع بوتيرة معتدلة. وقد تم تعديل توقع</w:t>
      </w:r>
      <w:r w:rsidRPr="004D2B60">
        <w:rPr>
          <w:rFonts w:ascii="Calibri" w:hAnsi="Calibri" w:cs="Calibri"/>
          <w:rtl/>
        </w:rPr>
        <w:t xml:space="preserve">ات النمو العالمي لعام 2025 صعوداً بشكل طفيف </w:t>
      </w:r>
      <w:r w:rsidRPr="004D2B60">
        <w:rPr>
          <w:rFonts w:ascii="Calibri" w:hAnsi="Calibri" w:cs="Calibri"/>
          <w:b/>
          <w:bCs/>
          <w:rtl/>
        </w:rPr>
        <w:t>(الرسم 30)</w:t>
      </w:r>
      <w:r w:rsidRPr="004D2B60">
        <w:rPr>
          <w:rFonts w:ascii="Calibri" w:hAnsi="Calibri" w:cs="Calibri"/>
          <w:rtl/>
        </w:rPr>
        <w:t xml:space="preserve">. وارتفع مؤشر مديري المشتريات العالمي لشهر تشرين الأول إلى مستوى يشير إلى استمرار التوسع في الناتج العالمي </w:t>
      </w:r>
      <w:r w:rsidRPr="004D2B60">
        <w:rPr>
          <w:rFonts w:ascii="Calibri" w:hAnsi="Calibri" w:cs="Calibri"/>
          <w:b/>
          <w:bCs/>
          <w:rtl/>
        </w:rPr>
        <w:t>(الرسم 33)</w:t>
      </w:r>
      <w:r w:rsidRPr="004D2B60">
        <w:rPr>
          <w:rFonts w:ascii="Calibri" w:hAnsi="Calibri" w:cs="Calibri"/>
          <w:rtl/>
        </w:rPr>
        <w:t xml:space="preserve">. ولا يزال معدل التوسع في التجارة العالمية معتدلاً </w:t>
      </w:r>
      <w:r w:rsidRPr="004D2B60">
        <w:rPr>
          <w:rFonts w:ascii="Calibri" w:hAnsi="Calibri" w:cs="Calibri"/>
          <w:b/>
          <w:bCs/>
          <w:rtl/>
        </w:rPr>
        <w:t>(الرسم 32)</w:t>
      </w:r>
      <w:r w:rsidRPr="004D2B60">
        <w:rPr>
          <w:rFonts w:ascii="Calibri" w:hAnsi="Calibri" w:cs="Calibri"/>
          <w:rtl/>
        </w:rPr>
        <w:t>.</w:t>
      </w:r>
    </w:p>
    <w:p w:rsidR="004D2B60" w:rsidRPr="004D2B60" w:rsidRDefault="00272968" w:rsidP="004D2B60">
      <w:pPr>
        <w:pStyle w:val="p1"/>
        <w:bidi/>
        <w:rPr>
          <w:rFonts w:ascii="Calibri" w:hAnsi="Calibri" w:cs="Calibri"/>
          <w:rtl/>
        </w:rPr>
      </w:pPr>
      <w:r w:rsidRPr="004D2B60">
        <w:rPr>
          <w:rFonts w:ascii="Calibri" w:hAnsi="Calibri" w:cs="Calibri"/>
          <w:rtl/>
        </w:rPr>
        <w:t>في الولايات المتحدة، ت</w:t>
      </w:r>
      <w:r w:rsidRPr="004D2B60">
        <w:rPr>
          <w:rFonts w:ascii="Calibri" w:hAnsi="Calibri" w:cs="Calibri"/>
          <w:rtl/>
        </w:rPr>
        <w:t>شير مؤشرات الثقة المختلفة إلى استمرار التوسع في النشاط الاقتصادي، وعلى رأسها مؤشر مديري المشتريات الذي فاجأ إيجاباً نتيجة لارتفاع في قطاع الخدمات. في منطقة اليورو، تواصل التعافي المعتدل، حيث بلغ معدل النمو في الربع الحالي وتيرة مشابهة للربع السابق. في الصي</w:t>
      </w:r>
      <w:r w:rsidRPr="004D2B60">
        <w:rPr>
          <w:rFonts w:ascii="Calibri" w:hAnsi="Calibri" w:cs="Calibri"/>
          <w:rtl/>
        </w:rPr>
        <w:t>ن، كان النمو أعلى قليلاً من التوقعات، لكن مؤشرات مختلفة تدل على ضعف نسبي في الاستهلاك الخاص. في معظم الدول، استقرت مستويات التضخم. في الولايات المتحدة، ارتفع معدل التضخم العام (</w:t>
      </w:r>
      <w:r w:rsidRPr="004D2B60">
        <w:rPr>
          <w:rFonts w:ascii="Calibri" w:hAnsi="Calibri" w:cs="Calibri"/>
        </w:rPr>
        <w:t>CPI</w:t>
      </w:r>
      <w:r w:rsidRPr="004D2B60">
        <w:rPr>
          <w:rFonts w:ascii="Calibri" w:hAnsi="Calibri" w:cs="Calibri"/>
          <w:rtl/>
        </w:rPr>
        <w:t>) في شهر أيلول إلى 3% (إذ لم تُنشر بعد بيانات شهر تشرين الأول). أما معدل الت</w:t>
      </w:r>
      <w:r w:rsidRPr="004D2B60">
        <w:rPr>
          <w:rFonts w:ascii="Calibri" w:hAnsi="Calibri" w:cs="Calibri"/>
          <w:rtl/>
        </w:rPr>
        <w:t>ضخم الأساسي (</w:t>
      </w:r>
      <w:r w:rsidRPr="004D2B60">
        <w:rPr>
          <w:rFonts w:ascii="Calibri" w:hAnsi="Calibri" w:cs="Calibri"/>
        </w:rPr>
        <w:t>Core CPI</w:t>
      </w:r>
      <w:r w:rsidRPr="004D2B60">
        <w:rPr>
          <w:rFonts w:ascii="Calibri" w:hAnsi="Calibri" w:cs="Calibri"/>
          <w:rtl/>
        </w:rPr>
        <w:t>) فقد تباطأ واستقر عند 3%. في منطقة اليورو، لا يزال التضخم معتدلاً، إذ انخفض قليلاً في شهر تشرين الأول إلى 2.1% على أساس سنوي، بينما ظل معدل التضخم الأساسي مستقراً عند 2.4%. معظم البنوك المركزية لم تغيّر أسعار الفائدة خلال الفترة. الاح</w:t>
      </w:r>
      <w:r w:rsidRPr="004D2B60">
        <w:rPr>
          <w:rFonts w:ascii="Calibri" w:hAnsi="Calibri" w:cs="Calibri"/>
          <w:rtl/>
        </w:rPr>
        <w:t>تياطي الفيدرالي (</w:t>
      </w:r>
      <w:r w:rsidRPr="004D2B60">
        <w:rPr>
          <w:rFonts w:ascii="Calibri" w:hAnsi="Calibri" w:cs="Calibri"/>
        </w:rPr>
        <w:t>FED</w:t>
      </w:r>
      <w:r w:rsidRPr="004D2B60">
        <w:rPr>
          <w:rFonts w:ascii="Calibri" w:hAnsi="Calibri" w:cs="Calibri"/>
          <w:rtl/>
        </w:rPr>
        <w:t>) خفّض سعر الفائدة بمقدار 25 نقطة أساس (كما كان متوقعاً)، بينما أبقى البنك المركزي الأوروبي (</w:t>
      </w:r>
      <w:r w:rsidRPr="004D2B60">
        <w:rPr>
          <w:rFonts w:ascii="Calibri" w:hAnsi="Calibri" w:cs="Calibri"/>
        </w:rPr>
        <w:t>ECB</w:t>
      </w:r>
      <w:r w:rsidRPr="004D2B60">
        <w:rPr>
          <w:rFonts w:ascii="Calibri" w:hAnsi="Calibri" w:cs="Calibri"/>
          <w:rtl/>
        </w:rPr>
        <w:t xml:space="preserve">) على سعر الفائدة دون تغيير مرة أخرى </w:t>
      </w:r>
      <w:r w:rsidRPr="004D2B60">
        <w:rPr>
          <w:rFonts w:ascii="Calibri" w:hAnsi="Calibri" w:cs="Calibri"/>
          <w:b/>
          <w:bCs/>
          <w:rtl/>
        </w:rPr>
        <w:t>(الرسم 34)</w:t>
      </w:r>
      <w:r w:rsidRPr="004D2B60">
        <w:rPr>
          <w:rFonts w:ascii="Calibri" w:hAnsi="Calibri" w:cs="Calibri"/>
          <w:rtl/>
        </w:rPr>
        <w:t>.</w:t>
      </w:r>
    </w:p>
    <w:p w:rsidR="004D2B60" w:rsidRPr="004D2B60" w:rsidRDefault="00272968" w:rsidP="004D2B60">
      <w:pPr>
        <w:pStyle w:val="p1"/>
        <w:bidi/>
        <w:rPr>
          <w:rFonts w:ascii="Calibri" w:hAnsi="Calibri" w:cs="Calibri"/>
        </w:rPr>
      </w:pPr>
      <w:r w:rsidRPr="004D2B60">
        <w:rPr>
          <w:rFonts w:ascii="Calibri" w:hAnsi="Calibri" w:cs="Calibri"/>
          <w:rtl/>
        </w:rPr>
        <w:t>سيتم نشر ملخص النقاشات النقدية التي سبقت هذا القرار في 08.12.2025، أما قرار السياسة النقدية</w:t>
      </w:r>
      <w:r w:rsidRPr="004D2B60">
        <w:rPr>
          <w:rFonts w:ascii="Calibri" w:hAnsi="Calibri" w:cs="Calibri"/>
          <w:rtl/>
        </w:rPr>
        <w:t xml:space="preserve"> القادم فسيُعلَن يوم الاثنين، 05.01.2026.</w:t>
      </w:r>
    </w:p>
    <w:p w:rsidR="004D2B60" w:rsidRPr="004D2B60" w:rsidRDefault="004D2B60" w:rsidP="00EF50BD">
      <w:pPr>
        <w:pStyle w:val="-"/>
        <w:numPr>
          <w:ilvl w:val="0"/>
          <w:numId w:val="0"/>
        </w:numPr>
        <w:spacing w:before="240" w:after="0"/>
        <w:ind w:left="-35"/>
        <w:rPr>
          <w:rFonts w:ascii="Calibri" w:hAnsi="Calibri" w:cs="Calibri"/>
          <w:rtl/>
          <w:lang w:bidi="ar-SA"/>
        </w:rPr>
      </w:pPr>
    </w:p>
    <w:p w:rsidR="00597066" w:rsidRPr="004D2B60" w:rsidRDefault="00597066" w:rsidP="00597066">
      <w:pPr>
        <w:pStyle w:val="p2"/>
        <w:rPr>
          <w:rFonts w:ascii="Calibri" w:hAnsi="Calibri" w:cs="Calibri"/>
          <w:rtl/>
        </w:rPr>
      </w:pPr>
    </w:p>
    <w:p w:rsidR="00597066" w:rsidRPr="004D2B60" w:rsidRDefault="00597066" w:rsidP="00597066">
      <w:pPr>
        <w:pStyle w:val="p2"/>
        <w:rPr>
          <w:rFonts w:ascii="Calibri" w:hAnsi="Calibri" w:cs="Calibri"/>
          <w:rtl/>
        </w:rPr>
      </w:pPr>
    </w:p>
    <w:p w:rsidR="003E7478" w:rsidRPr="004D2B60" w:rsidRDefault="003E7478" w:rsidP="005E28F6">
      <w:pPr>
        <w:bidi/>
        <w:spacing w:line="360" w:lineRule="auto"/>
        <w:jc w:val="both"/>
        <w:rPr>
          <w:rFonts w:ascii="Calibri" w:hAnsi="Calibri" w:cs="Calibri"/>
        </w:rPr>
      </w:pPr>
    </w:p>
    <w:sectPr w:rsidR="003E7478" w:rsidRPr="004D2B60"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2968">
      <w:pPr>
        <w:spacing w:after="0" w:line="240" w:lineRule="auto"/>
      </w:pPr>
      <w:r>
        <w:separator/>
      </w:r>
    </w:p>
  </w:endnote>
  <w:endnote w:type="continuationSeparator" w:id="0">
    <w:p w:rsidR="00000000" w:rsidRDefault="0027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272968"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272968"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46DE3DEA" w14:textId="77777777">
                    <w:pPr>
                      <w:jc w:val="center"/>
                      <w:rPr>
                        <w:rFonts w:ascii="Calibri" w:hAnsi="Calibri" w:cs="Calibri"/>
                        <w:sz w:val="16"/>
                        <w:szCs w:val="16"/>
                        <w:rtl/>
                      </w:rPr>
                    </w:pPr>
                    <w:r w:rsidRPr="00031A9D">
                      <w:rPr>
                        <w:rFonts w:ascii="Calibri" w:hAnsi="Calibri" w:cs="Calibri"/>
                        <w:noProof/>
                        <w:sz w:val="16"/>
                        <w:szCs w:val="16"/>
                        <w:rtl/>
                      </w:rPr>
                      <w:t xml:space="preserve">פודקאסט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272968"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550024AC"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272968"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69A84DC4"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272968"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6CA3EA66"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2968">
      <w:pPr>
        <w:spacing w:after="0" w:line="240" w:lineRule="auto"/>
      </w:pPr>
      <w:r>
        <w:separator/>
      </w:r>
    </w:p>
  </w:footnote>
  <w:footnote w:type="continuationSeparator" w:id="0">
    <w:p w:rsidR="00000000" w:rsidRDefault="0027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0FA9"/>
    <w:multiLevelType w:val="hybridMultilevel"/>
    <w:tmpl w:val="E0E45024"/>
    <w:lvl w:ilvl="0" w:tplc="A91E731A">
      <w:start w:val="1"/>
      <w:numFmt w:val="bullet"/>
      <w:lvlText w:val=""/>
      <w:lvlJc w:val="left"/>
      <w:pPr>
        <w:ind w:left="360" w:hanging="360"/>
      </w:pPr>
      <w:rPr>
        <w:rFonts w:ascii="Symbol" w:hAnsi="Symbol" w:hint="default"/>
      </w:rPr>
    </w:lvl>
    <w:lvl w:ilvl="1" w:tplc="450E8A04" w:tentative="1">
      <w:start w:val="1"/>
      <w:numFmt w:val="bullet"/>
      <w:lvlText w:val="o"/>
      <w:lvlJc w:val="left"/>
      <w:pPr>
        <w:ind w:left="1080" w:hanging="360"/>
      </w:pPr>
      <w:rPr>
        <w:rFonts w:ascii="Courier New" w:hAnsi="Courier New" w:cs="Courier New" w:hint="default"/>
      </w:rPr>
    </w:lvl>
    <w:lvl w:ilvl="2" w:tplc="3286C520" w:tentative="1">
      <w:start w:val="1"/>
      <w:numFmt w:val="bullet"/>
      <w:lvlText w:val=""/>
      <w:lvlJc w:val="left"/>
      <w:pPr>
        <w:ind w:left="1800" w:hanging="360"/>
      </w:pPr>
      <w:rPr>
        <w:rFonts w:ascii="Wingdings" w:hAnsi="Wingdings" w:hint="default"/>
      </w:rPr>
    </w:lvl>
    <w:lvl w:ilvl="3" w:tplc="004E174E" w:tentative="1">
      <w:start w:val="1"/>
      <w:numFmt w:val="bullet"/>
      <w:lvlText w:val=""/>
      <w:lvlJc w:val="left"/>
      <w:pPr>
        <w:ind w:left="2520" w:hanging="360"/>
      </w:pPr>
      <w:rPr>
        <w:rFonts w:ascii="Symbol" w:hAnsi="Symbol" w:hint="default"/>
      </w:rPr>
    </w:lvl>
    <w:lvl w:ilvl="4" w:tplc="6434A9C2" w:tentative="1">
      <w:start w:val="1"/>
      <w:numFmt w:val="bullet"/>
      <w:lvlText w:val="o"/>
      <w:lvlJc w:val="left"/>
      <w:pPr>
        <w:ind w:left="3240" w:hanging="360"/>
      </w:pPr>
      <w:rPr>
        <w:rFonts w:ascii="Courier New" w:hAnsi="Courier New" w:cs="Courier New" w:hint="default"/>
      </w:rPr>
    </w:lvl>
    <w:lvl w:ilvl="5" w:tplc="27042864" w:tentative="1">
      <w:start w:val="1"/>
      <w:numFmt w:val="bullet"/>
      <w:lvlText w:val=""/>
      <w:lvlJc w:val="left"/>
      <w:pPr>
        <w:ind w:left="3960" w:hanging="360"/>
      </w:pPr>
      <w:rPr>
        <w:rFonts w:ascii="Wingdings" w:hAnsi="Wingdings" w:hint="default"/>
      </w:rPr>
    </w:lvl>
    <w:lvl w:ilvl="6" w:tplc="FF4EEB28" w:tentative="1">
      <w:start w:val="1"/>
      <w:numFmt w:val="bullet"/>
      <w:lvlText w:val=""/>
      <w:lvlJc w:val="left"/>
      <w:pPr>
        <w:ind w:left="4680" w:hanging="360"/>
      </w:pPr>
      <w:rPr>
        <w:rFonts w:ascii="Symbol" w:hAnsi="Symbol" w:hint="default"/>
      </w:rPr>
    </w:lvl>
    <w:lvl w:ilvl="7" w:tplc="1CF2B17C" w:tentative="1">
      <w:start w:val="1"/>
      <w:numFmt w:val="bullet"/>
      <w:lvlText w:val="o"/>
      <w:lvlJc w:val="left"/>
      <w:pPr>
        <w:ind w:left="5400" w:hanging="360"/>
      </w:pPr>
      <w:rPr>
        <w:rFonts w:ascii="Courier New" w:hAnsi="Courier New" w:cs="Courier New" w:hint="default"/>
      </w:rPr>
    </w:lvl>
    <w:lvl w:ilvl="8" w:tplc="5290BDA8" w:tentative="1">
      <w:start w:val="1"/>
      <w:numFmt w:val="bullet"/>
      <w:lvlText w:val=""/>
      <w:lvlJc w:val="left"/>
      <w:pPr>
        <w:ind w:left="6120" w:hanging="360"/>
      </w:pPr>
      <w:rPr>
        <w:rFonts w:ascii="Wingdings" w:hAnsi="Wingdings" w:hint="default"/>
      </w:rPr>
    </w:lvl>
  </w:abstractNum>
  <w:abstractNum w:abstractNumId="1" w15:restartNumberingAfterBreak="0">
    <w:nsid w:val="18DC6049"/>
    <w:multiLevelType w:val="hybridMultilevel"/>
    <w:tmpl w:val="3A4AADEA"/>
    <w:lvl w:ilvl="0" w:tplc="163C8020">
      <w:numFmt w:val="bullet"/>
      <w:lvlText w:val=""/>
      <w:lvlJc w:val="left"/>
      <w:pPr>
        <w:ind w:left="720" w:hanging="360"/>
      </w:pPr>
      <w:rPr>
        <w:rFonts w:ascii="Symbol" w:eastAsia="David" w:hAnsi="Symbol" w:cstheme="minorHAnsi" w:hint="default"/>
      </w:rPr>
    </w:lvl>
    <w:lvl w:ilvl="1" w:tplc="CEBA711E" w:tentative="1">
      <w:start w:val="1"/>
      <w:numFmt w:val="bullet"/>
      <w:lvlText w:val="o"/>
      <w:lvlJc w:val="left"/>
      <w:pPr>
        <w:ind w:left="1440" w:hanging="360"/>
      </w:pPr>
      <w:rPr>
        <w:rFonts w:ascii="Courier New" w:hAnsi="Courier New" w:cs="Courier New" w:hint="default"/>
      </w:rPr>
    </w:lvl>
    <w:lvl w:ilvl="2" w:tplc="148CC3F6" w:tentative="1">
      <w:start w:val="1"/>
      <w:numFmt w:val="bullet"/>
      <w:lvlText w:val=""/>
      <w:lvlJc w:val="left"/>
      <w:pPr>
        <w:ind w:left="2160" w:hanging="360"/>
      </w:pPr>
      <w:rPr>
        <w:rFonts w:ascii="Wingdings" w:hAnsi="Wingdings" w:hint="default"/>
      </w:rPr>
    </w:lvl>
    <w:lvl w:ilvl="3" w:tplc="64C203EE" w:tentative="1">
      <w:start w:val="1"/>
      <w:numFmt w:val="bullet"/>
      <w:lvlText w:val=""/>
      <w:lvlJc w:val="left"/>
      <w:pPr>
        <w:ind w:left="2880" w:hanging="360"/>
      </w:pPr>
      <w:rPr>
        <w:rFonts w:ascii="Symbol" w:hAnsi="Symbol" w:hint="default"/>
      </w:rPr>
    </w:lvl>
    <w:lvl w:ilvl="4" w:tplc="2A0ECD66" w:tentative="1">
      <w:start w:val="1"/>
      <w:numFmt w:val="bullet"/>
      <w:lvlText w:val="o"/>
      <w:lvlJc w:val="left"/>
      <w:pPr>
        <w:ind w:left="3600" w:hanging="360"/>
      </w:pPr>
      <w:rPr>
        <w:rFonts w:ascii="Courier New" w:hAnsi="Courier New" w:cs="Courier New" w:hint="default"/>
      </w:rPr>
    </w:lvl>
    <w:lvl w:ilvl="5" w:tplc="5A04A852" w:tentative="1">
      <w:start w:val="1"/>
      <w:numFmt w:val="bullet"/>
      <w:lvlText w:val=""/>
      <w:lvlJc w:val="left"/>
      <w:pPr>
        <w:ind w:left="4320" w:hanging="360"/>
      </w:pPr>
      <w:rPr>
        <w:rFonts w:ascii="Wingdings" w:hAnsi="Wingdings" w:hint="default"/>
      </w:rPr>
    </w:lvl>
    <w:lvl w:ilvl="6" w:tplc="F514C792" w:tentative="1">
      <w:start w:val="1"/>
      <w:numFmt w:val="bullet"/>
      <w:lvlText w:val=""/>
      <w:lvlJc w:val="left"/>
      <w:pPr>
        <w:ind w:left="5040" w:hanging="360"/>
      </w:pPr>
      <w:rPr>
        <w:rFonts w:ascii="Symbol" w:hAnsi="Symbol" w:hint="default"/>
      </w:rPr>
    </w:lvl>
    <w:lvl w:ilvl="7" w:tplc="B57020D6" w:tentative="1">
      <w:start w:val="1"/>
      <w:numFmt w:val="bullet"/>
      <w:lvlText w:val="o"/>
      <w:lvlJc w:val="left"/>
      <w:pPr>
        <w:ind w:left="5760" w:hanging="360"/>
      </w:pPr>
      <w:rPr>
        <w:rFonts w:ascii="Courier New" w:hAnsi="Courier New" w:cs="Courier New" w:hint="default"/>
      </w:rPr>
    </w:lvl>
    <w:lvl w:ilvl="8" w:tplc="2A682E9C" w:tentative="1">
      <w:start w:val="1"/>
      <w:numFmt w:val="bullet"/>
      <w:lvlText w:val=""/>
      <w:lvlJc w:val="left"/>
      <w:pPr>
        <w:ind w:left="6480" w:hanging="360"/>
      </w:pPr>
      <w:rPr>
        <w:rFonts w:ascii="Wingdings" w:hAnsi="Wingdings" w:hint="default"/>
      </w:rPr>
    </w:lvl>
  </w:abstractNum>
  <w:abstractNum w:abstractNumId="2"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54D7F"/>
    <w:multiLevelType w:val="hybridMultilevel"/>
    <w:tmpl w:val="7ECE0DC4"/>
    <w:lvl w:ilvl="0" w:tplc="D226A868">
      <w:start w:val="1"/>
      <w:numFmt w:val="bullet"/>
      <w:lvlText w:val=""/>
      <w:lvlJc w:val="left"/>
      <w:pPr>
        <w:ind w:left="1513" w:hanging="360"/>
      </w:pPr>
      <w:rPr>
        <w:rFonts w:ascii="Symbol" w:hAnsi="Symbol" w:hint="default"/>
      </w:rPr>
    </w:lvl>
    <w:lvl w:ilvl="1" w:tplc="23863582" w:tentative="1">
      <w:start w:val="1"/>
      <w:numFmt w:val="bullet"/>
      <w:lvlText w:val="o"/>
      <w:lvlJc w:val="left"/>
      <w:pPr>
        <w:ind w:left="2233" w:hanging="360"/>
      </w:pPr>
      <w:rPr>
        <w:rFonts w:ascii="Courier New" w:hAnsi="Courier New" w:cs="Courier New" w:hint="default"/>
      </w:rPr>
    </w:lvl>
    <w:lvl w:ilvl="2" w:tplc="41302CBA" w:tentative="1">
      <w:start w:val="1"/>
      <w:numFmt w:val="bullet"/>
      <w:lvlText w:val=""/>
      <w:lvlJc w:val="left"/>
      <w:pPr>
        <w:ind w:left="2953" w:hanging="360"/>
      </w:pPr>
      <w:rPr>
        <w:rFonts w:ascii="Wingdings" w:hAnsi="Wingdings" w:hint="default"/>
      </w:rPr>
    </w:lvl>
    <w:lvl w:ilvl="3" w:tplc="428A3DA4" w:tentative="1">
      <w:start w:val="1"/>
      <w:numFmt w:val="bullet"/>
      <w:lvlText w:val=""/>
      <w:lvlJc w:val="left"/>
      <w:pPr>
        <w:ind w:left="3673" w:hanging="360"/>
      </w:pPr>
      <w:rPr>
        <w:rFonts w:ascii="Symbol" w:hAnsi="Symbol" w:hint="default"/>
      </w:rPr>
    </w:lvl>
    <w:lvl w:ilvl="4" w:tplc="052A6C9C" w:tentative="1">
      <w:start w:val="1"/>
      <w:numFmt w:val="bullet"/>
      <w:lvlText w:val="o"/>
      <w:lvlJc w:val="left"/>
      <w:pPr>
        <w:ind w:left="4393" w:hanging="360"/>
      </w:pPr>
      <w:rPr>
        <w:rFonts w:ascii="Courier New" w:hAnsi="Courier New" w:cs="Courier New" w:hint="default"/>
      </w:rPr>
    </w:lvl>
    <w:lvl w:ilvl="5" w:tplc="1B12D5BA" w:tentative="1">
      <w:start w:val="1"/>
      <w:numFmt w:val="bullet"/>
      <w:lvlText w:val=""/>
      <w:lvlJc w:val="left"/>
      <w:pPr>
        <w:ind w:left="5113" w:hanging="360"/>
      </w:pPr>
      <w:rPr>
        <w:rFonts w:ascii="Wingdings" w:hAnsi="Wingdings" w:hint="default"/>
      </w:rPr>
    </w:lvl>
    <w:lvl w:ilvl="6" w:tplc="C67876C0" w:tentative="1">
      <w:start w:val="1"/>
      <w:numFmt w:val="bullet"/>
      <w:lvlText w:val=""/>
      <w:lvlJc w:val="left"/>
      <w:pPr>
        <w:ind w:left="5833" w:hanging="360"/>
      </w:pPr>
      <w:rPr>
        <w:rFonts w:ascii="Symbol" w:hAnsi="Symbol" w:hint="default"/>
      </w:rPr>
    </w:lvl>
    <w:lvl w:ilvl="7" w:tplc="07023A6A" w:tentative="1">
      <w:start w:val="1"/>
      <w:numFmt w:val="bullet"/>
      <w:lvlText w:val="o"/>
      <w:lvlJc w:val="left"/>
      <w:pPr>
        <w:ind w:left="6553" w:hanging="360"/>
      </w:pPr>
      <w:rPr>
        <w:rFonts w:ascii="Courier New" w:hAnsi="Courier New" w:cs="Courier New" w:hint="default"/>
      </w:rPr>
    </w:lvl>
    <w:lvl w:ilvl="8" w:tplc="62C2102E" w:tentative="1">
      <w:start w:val="1"/>
      <w:numFmt w:val="bullet"/>
      <w:lvlText w:val=""/>
      <w:lvlJc w:val="left"/>
      <w:pPr>
        <w:ind w:left="7273" w:hanging="360"/>
      </w:pPr>
      <w:rPr>
        <w:rFonts w:ascii="Wingdings" w:hAnsi="Wingdings" w:hint="default"/>
      </w:rPr>
    </w:lvl>
  </w:abstractNum>
  <w:abstractNum w:abstractNumId="4" w15:restartNumberingAfterBreak="0">
    <w:nsid w:val="4BAD716E"/>
    <w:multiLevelType w:val="hybridMultilevel"/>
    <w:tmpl w:val="111011BA"/>
    <w:lvl w:ilvl="0" w:tplc="E0AE0064">
      <w:numFmt w:val="bullet"/>
      <w:pStyle w:val="-"/>
      <w:lvlText w:val=""/>
      <w:lvlJc w:val="left"/>
      <w:pPr>
        <w:ind w:left="720" w:hanging="360"/>
      </w:pPr>
      <w:rPr>
        <w:rFonts w:ascii="Symbol" w:eastAsia="Calibri" w:hAnsi="Symbol" w:cs="Gisha" w:hint="default"/>
      </w:rPr>
    </w:lvl>
    <w:lvl w:ilvl="1" w:tplc="42CC12DA" w:tentative="1">
      <w:start w:val="1"/>
      <w:numFmt w:val="bullet"/>
      <w:lvlText w:val="o"/>
      <w:lvlJc w:val="left"/>
      <w:pPr>
        <w:ind w:left="1440" w:hanging="360"/>
      </w:pPr>
      <w:rPr>
        <w:rFonts w:ascii="Courier New" w:hAnsi="Courier New" w:cs="Courier New" w:hint="default"/>
      </w:rPr>
    </w:lvl>
    <w:lvl w:ilvl="2" w:tplc="72186C06" w:tentative="1">
      <w:start w:val="1"/>
      <w:numFmt w:val="bullet"/>
      <w:lvlText w:val=""/>
      <w:lvlJc w:val="left"/>
      <w:pPr>
        <w:ind w:left="2160" w:hanging="360"/>
      </w:pPr>
      <w:rPr>
        <w:rFonts w:ascii="Wingdings" w:hAnsi="Wingdings" w:hint="default"/>
      </w:rPr>
    </w:lvl>
    <w:lvl w:ilvl="3" w:tplc="991C2BC6" w:tentative="1">
      <w:start w:val="1"/>
      <w:numFmt w:val="bullet"/>
      <w:lvlText w:val=""/>
      <w:lvlJc w:val="left"/>
      <w:pPr>
        <w:ind w:left="2880" w:hanging="360"/>
      </w:pPr>
      <w:rPr>
        <w:rFonts w:ascii="Symbol" w:hAnsi="Symbol" w:hint="default"/>
      </w:rPr>
    </w:lvl>
    <w:lvl w:ilvl="4" w:tplc="CE54F8E8" w:tentative="1">
      <w:start w:val="1"/>
      <w:numFmt w:val="bullet"/>
      <w:lvlText w:val="o"/>
      <w:lvlJc w:val="left"/>
      <w:pPr>
        <w:ind w:left="3600" w:hanging="360"/>
      </w:pPr>
      <w:rPr>
        <w:rFonts w:ascii="Courier New" w:hAnsi="Courier New" w:cs="Courier New" w:hint="default"/>
      </w:rPr>
    </w:lvl>
    <w:lvl w:ilvl="5" w:tplc="6C72DB66" w:tentative="1">
      <w:start w:val="1"/>
      <w:numFmt w:val="bullet"/>
      <w:lvlText w:val=""/>
      <w:lvlJc w:val="left"/>
      <w:pPr>
        <w:ind w:left="4320" w:hanging="360"/>
      </w:pPr>
      <w:rPr>
        <w:rFonts w:ascii="Wingdings" w:hAnsi="Wingdings" w:hint="default"/>
      </w:rPr>
    </w:lvl>
    <w:lvl w:ilvl="6" w:tplc="90BAD222" w:tentative="1">
      <w:start w:val="1"/>
      <w:numFmt w:val="bullet"/>
      <w:lvlText w:val=""/>
      <w:lvlJc w:val="left"/>
      <w:pPr>
        <w:ind w:left="5040" w:hanging="360"/>
      </w:pPr>
      <w:rPr>
        <w:rFonts w:ascii="Symbol" w:hAnsi="Symbol" w:hint="default"/>
      </w:rPr>
    </w:lvl>
    <w:lvl w:ilvl="7" w:tplc="E4425A98" w:tentative="1">
      <w:start w:val="1"/>
      <w:numFmt w:val="bullet"/>
      <w:lvlText w:val="o"/>
      <w:lvlJc w:val="left"/>
      <w:pPr>
        <w:ind w:left="5760" w:hanging="360"/>
      </w:pPr>
      <w:rPr>
        <w:rFonts w:ascii="Courier New" w:hAnsi="Courier New" w:cs="Courier New" w:hint="default"/>
      </w:rPr>
    </w:lvl>
    <w:lvl w:ilvl="8" w:tplc="F948CB82" w:tentative="1">
      <w:start w:val="1"/>
      <w:numFmt w:val="bullet"/>
      <w:lvlText w:val=""/>
      <w:lvlJc w:val="left"/>
      <w:pPr>
        <w:ind w:left="6480" w:hanging="360"/>
      </w:pPr>
      <w:rPr>
        <w:rFonts w:ascii="Wingdings" w:hAnsi="Wingdings" w:hint="default"/>
      </w:rPr>
    </w:lvl>
  </w:abstractNum>
  <w:abstractNum w:abstractNumId="5" w15:restartNumberingAfterBreak="0">
    <w:nsid w:val="52210C5A"/>
    <w:multiLevelType w:val="hybridMultilevel"/>
    <w:tmpl w:val="1F0214CA"/>
    <w:lvl w:ilvl="0" w:tplc="B802AC5E">
      <w:numFmt w:val="bullet"/>
      <w:lvlText w:val=""/>
      <w:lvlJc w:val="left"/>
      <w:pPr>
        <w:ind w:left="668" w:hanging="360"/>
      </w:pPr>
      <w:rPr>
        <w:rFonts w:ascii="Symbol" w:eastAsiaTheme="minorHAnsi" w:hAnsi="Symbol" w:cs="Assistant" w:hint="default"/>
      </w:rPr>
    </w:lvl>
    <w:lvl w:ilvl="1" w:tplc="455EBA14">
      <w:start w:val="1"/>
      <w:numFmt w:val="bullet"/>
      <w:lvlText w:val="o"/>
      <w:lvlJc w:val="left"/>
      <w:pPr>
        <w:ind w:left="1388" w:hanging="360"/>
      </w:pPr>
      <w:rPr>
        <w:rFonts w:ascii="Courier New" w:hAnsi="Courier New" w:cs="Courier New" w:hint="default"/>
      </w:rPr>
    </w:lvl>
    <w:lvl w:ilvl="2" w:tplc="37566FD6" w:tentative="1">
      <w:start w:val="1"/>
      <w:numFmt w:val="bullet"/>
      <w:lvlText w:val=""/>
      <w:lvlJc w:val="left"/>
      <w:pPr>
        <w:ind w:left="2108" w:hanging="360"/>
      </w:pPr>
      <w:rPr>
        <w:rFonts w:ascii="Wingdings" w:hAnsi="Wingdings" w:hint="default"/>
      </w:rPr>
    </w:lvl>
    <w:lvl w:ilvl="3" w:tplc="EE70F934" w:tentative="1">
      <w:start w:val="1"/>
      <w:numFmt w:val="bullet"/>
      <w:lvlText w:val=""/>
      <w:lvlJc w:val="left"/>
      <w:pPr>
        <w:ind w:left="2828" w:hanging="360"/>
      </w:pPr>
      <w:rPr>
        <w:rFonts w:ascii="Symbol" w:hAnsi="Symbol" w:hint="default"/>
      </w:rPr>
    </w:lvl>
    <w:lvl w:ilvl="4" w:tplc="FB06C610" w:tentative="1">
      <w:start w:val="1"/>
      <w:numFmt w:val="bullet"/>
      <w:lvlText w:val="o"/>
      <w:lvlJc w:val="left"/>
      <w:pPr>
        <w:ind w:left="3548" w:hanging="360"/>
      </w:pPr>
      <w:rPr>
        <w:rFonts w:ascii="Courier New" w:hAnsi="Courier New" w:cs="Courier New" w:hint="default"/>
      </w:rPr>
    </w:lvl>
    <w:lvl w:ilvl="5" w:tplc="04E069DC" w:tentative="1">
      <w:start w:val="1"/>
      <w:numFmt w:val="bullet"/>
      <w:lvlText w:val=""/>
      <w:lvlJc w:val="left"/>
      <w:pPr>
        <w:ind w:left="4268" w:hanging="360"/>
      </w:pPr>
      <w:rPr>
        <w:rFonts w:ascii="Wingdings" w:hAnsi="Wingdings" w:hint="default"/>
      </w:rPr>
    </w:lvl>
    <w:lvl w:ilvl="6" w:tplc="A9A47FA0" w:tentative="1">
      <w:start w:val="1"/>
      <w:numFmt w:val="bullet"/>
      <w:lvlText w:val=""/>
      <w:lvlJc w:val="left"/>
      <w:pPr>
        <w:ind w:left="4988" w:hanging="360"/>
      </w:pPr>
      <w:rPr>
        <w:rFonts w:ascii="Symbol" w:hAnsi="Symbol" w:hint="default"/>
      </w:rPr>
    </w:lvl>
    <w:lvl w:ilvl="7" w:tplc="7B40B022" w:tentative="1">
      <w:start w:val="1"/>
      <w:numFmt w:val="bullet"/>
      <w:lvlText w:val="o"/>
      <w:lvlJc w:val="left"/>
      <w:pPr>
        <w:ind w:left="5708" w:hanging="360"/>
      </w:pPr>
      <w:rPr>
        <w:rFonts w:ascii="Courier New" w:hAnsi="Courier New" w:cs="Courier New" w:hint="default"/>
      </w:rPr>
    </w:lvl>
    <w:lvl w:ilvl="8" w:tplc="7BBEB184" w:tentative="1">
      <w:start w:val="1"/>
      <w:numFmt w:val="bullet"/>
      <w:lvlText w:val=""/>
      <w:lvlJc w:val="left"/>
      <w:pPr>
        <w:ind w:left="6428" w:hanging="360"/>
      </w:pPr>
      <w:rPr>
        <w:rFonts w:ascii="Wingdings" w:hAnsi="Wingdings" w:hint="default"/>
      </w:rPr>
    </w:lvl>
  </w:abstractNum>
  <w:abstractNum w:abstractNumId="6" w15:restartNumberingAfterBreak="0">
    <w:nsid w:val="577F64B2"/>
    <w:multiLevelType w:val="hybridMultilevel"/>
    <w:tmpl w:val="A3EC1298"/>
    <w:lvl w:ilvl="0" w:tplc="C876FF36">
      <w:start w:val="1"/>
      <w:numFmt w:val="bullet"/>
      <w:lvlText w:val=""/>
      <w:lvlJc w:val="left"/>
      <w:pPr>
        <w:ind w:left="720" w:hanging="360"/>
      </w:pPr>
      <w:rPr>
        <w:rFonts w:ascii="Symbol" w:hAnsi="Symbol" w:hint="default"/>
      </w:rPr>
    </w:lvl>
    <w:lvl w:ilvl="1" w:tplc="5C2454C8" w:tentative="1">
      <w:start w:val="1"/>
      <w:numFmt w:val="bullet"/>
      <w:lvlText w:val="o"/>
      <w:lvlJc w:val="left"/>
      <w:pPr>
        <w:ind w:left="1440" w:hanging="360"/>
      </w:pPr>
      <w:rPr>
        <w:rFonts w:ascii="Courier New" w:hAnsi="Courier New" w:cs="Courier New" w:hint="default"/>
      </w:rPr>
    </w:lvl>
    <w:lvl w:ilvl="2" w:tplc="FA3C87CE" w:tentative="1">
      <w:start w:val="1"/>
      <w:numFmt w:val="bullet"/>
      <w:lvlText w:val=""/>
      <w:lvlJc w:val="left"/>
      <w:pPr>
        <w:ind w:left="2160" w:hanging="360"/>
      </w:pPr>
      <w:rPr>
        <w:rFonts w:ascii="Wingdings" w:hAnsi="Wingdings" w:hint="default"/>
      </w:rPr>
    </w:lvl>
    <w:lvl w:ilvl="3" w:tplc="7ACA3E32" w:tentative="1">
      <w:start w:val="1"/>
      <w:numFmt w:val="bullet"/>
      <w:lvlText w:val=""/>
      <w:lvlJc w:val="left"/>
      <w:pPr>
        <w:ind w:left="2880" w:hanging="360"/>
      </w:pPr>
      <w:rPr>
        <w:rFonts w:ascii="Symbol" w:hAnsi="Symbol" w:hint="default"/>
      </w:rPr>
    </w:lvl>
    <w:lvl w:ilvl="4" w:tplc="72189C5A" w:tentative="1">
      <w:start w:val="1"/>
      <w:numFmt w:val="bullet"/>
      <w:lvlText w:val="o"/>
      <w:lvlJc w:val="left"/>
      <w:pPr>
        <w:ind w:left="3600" w:hanging="360"/>
      </w:pPr>
      <w:rPr>
        <w:rFonts w:ascii="Courier New" w:hAnsi="Courier New" w:cs="Courier New" w:hint="default"/>
      </w:rPr>
    </w:lvl>
    <w:lvl w:ilvl="5" w:tplc="CB0E8AA0" w:tentative="1">
      <w:start w:val="1"/>
      <w:numFmt w:val="bullet"/>
      <w:lvlText w:val=""/>
      <w:lvlJc w:val="left"/>
      <w:pPr>
        <w:ind w:left="4320" w:hanging="360"/>
      </w:pPr>
      <w:rPr>
        <w:rFonts w:ascii="Wingdings" w:hAnsi="Wingdings" w:hint="default"/>
      </w:rPr>
    </w:lvl>
    <w:lvl w:ilvl="6" w:tplc="C130C4D8" w:tentative="1">
      <w:start w:val="1"/>
      <w:numFmt w:val="bullet"/>
      <w:lvlText w:val=""/>
      <w:lvlJc w:val="left"/>
      <w:pPr>
        <w:ind w:left="5040" w:hanging="360"/>
      </w:pPr>
      <w:rPr>
        <w:rFonts w:ascii="Symbol" w:hAnsi="Symbol" w:hint="default"/>
      </w:rPr>
    </w:lvl>
    <w:lvl w:ilvl="7" w:tplc="30800CCA" w:tentative="1">
      <w:start w:val="1"/>
      <w:numFmt w:val="bullet"/>
      <w:lvlText w:val="o"/>
      <w:lvlJc w:val="left"/>
      <w:pPr>
        <w:ind w:left="5760" w:hanging="360"/>
      </w:pPr>
      <w:rPr>
        <w:rFonts w:ascii="Courier New" w:hAnsi="Courier New" w:cs="Courier New" w:hint="default"/>
      </w:rPr>
    </w:lvl>
    <w:lvl w:ilvl="8" w:tplc="0BE4A8DA" w:tentative="1">
      <w:start w:val="1"/>
      <w:numFmt w:val="bullet"/>
      <w:lvlText w:val=""/>
      <w:lvlJc w:val="left"/>
      <w:pPr>
        <w:ind w:left="6480" w:hanging="360"/>
      </w:pPr>
      <w:rPr>
        <w:rFonts w:ascii="Wingdings" w:hAnsi="Wingdings" w:hint="default"/>
      </w:rPr>
    </w:lvl>
  </w:abstractNum>
  <w:abstractNum w:abstractNumId="7" w15:restartNumberingAfterBreak="0">
    <w:nsid w:val="780941A4"/>
    <w:multiLevelType w:val="hybridMultilevel"/>
    <w:tmpl w:val="D5825F84"/>
    <w:lvl w:ilvl="0" w:tplc="CA801B1E">
      <w:start w:val="1"/>
      <w:numFmt w:val="bullet"/>
      <w:lvlText w:val=""/>
      <w:lvlJc w:val="left"/>
      <w:pPr>
        <w:ind w:left="720" w:hanging="360"/>
      </w:pPr>
      <w:rPr>
        <w:rFonts w:ascii="Symbol" w:hAnsi="Symbol" w:hint="default"/>
      </w:rPr>
    </w:lvl>
    <w:lvl w:ilvl="1" w:tplc="D3D4F864" w:tentative="1">
      <w:start w:val="1"/>
      <w:numFmt w:val="bullet"/>
      <w:lvlText w:val="o"/>
      <w:lvlJc w:val="left"/>
      <w:pPr>
        <w:ind w:left="1440" w:hanging="360"/>
      </w:pPr>
      <w:rPr>
        <w:rFonts w:ascii="Courier New" w:hAnsi="Courier New" w:cs="Courier New" w:hint="default"/>
      </w:rPr>
    </w:lvl>
    <w:lvl w:ilvl="2" w:tplc="CCFC7FDE" w:tentative="1">
      <w:start w:val="1"/>
      <w:numFmt w:val="bullet"/>
      <w:lvlText w:val=""/>
      <w:lvlJc w:val="left"/>
      <w:pPr>
        <w:ind w:left="2160" w:hanging="360"/>
      </w:pPr>
      <w:rPr>
        <w:rFonts w:ascii="Wingdings" w:hAnsi="Wingdings" w:hint="default"/>
      </w:rPr>
    </w:lvl>
    <w:lvl w:ilvl="3" w:tplc="F35A7112" w:tentative="1">
      <w:start w:val="1"/>
      <w:numFmt w:val="bullet"/>
      <w:lvlText w:val=""/>
      <w:lvlJc w:val="left"/>
      <w:pPr>
        <w:ind w:left="2880" w:hanging="360"/>
      </w:pPr>
      <w:rPr>
        <w:rFonts w:ascii="Symbol" w:hAnsi="Symbol" w:hint="default"/>
      </w:rPr>
    </w:lvl>
    <w:lvl w:ilvl="4" w:tplc="5B369AAE" w:tentative="1">
      <w:start w:val="1"/>
      <w:numFmt w:val="bullet"/>
      <w:lvlText w:val="o"/>
      <w:lvlJc w:val="left"/>
      <w:pPr>
        <w:ind w:left="3600" w:hanging="360"/>
      </w:pPr>
      <w:rPr>
        <w:rFonts w:ascii="Courier New" w:hAnsi="Courier New" w:cs="Courier New" w:hint="default"/>
      </w:rPr>
    </w:lvl>
    <w:lvl w:ilvl="5" w:tplc="9F561F00" w:tentative="1">
      <w:start w:val="1"/>
      <w:numFmt w:val="bullet"/>
      <w:lvlText w:val=""/>
      <w:lvlJc w:val="left"/>
      <w:pPr>
        <w:ind w:left="4320" w:hanging="360"/>
      </w:pPr>
      <w:rPr>
        <w:rFonts w:ascii="Wingdings" w:hAnsi="Wingdings" w:hint="default"/>
      </w:rPr>
    </w:lvl>
    <w:lvl w:ilvl="6" w:tplc="AE709C0A" w:tentative="1">
      <w:start w:val="1"/>
      <w:numFmt w:val="bullet"/>
      <w:lvlText w:val=""/>
      <w:lvlJc w:val="left"/>
      <w:pPr>
        <w:ind w:left="5040" w:hanging="360"/>
      </w:pPr>
      <w:rPr>
        <w:rFonts w:ascii="Symbol" w:hAnsi="Symbol" w:hint="default"/>
      </w:rPr>
    </w:lvl>
    <w:lvl w:ilvl="7" w:tplc="BB7E8A68" w:tentative="1">
      <w:start w:val="1"/>
      <w:numFmt w:val="bullet"/>
      <w:lvlText w:val="o"/>
      <w:lvlJc w:val="left"/>
      <w:pPr>
        <w:ind w:left="5760" w:hanging="360"/>
      </w:pPr>
      <w:rPr>
        <w:rFonts w:ascii="Courier New" w:hAnsi="Courier New" w:cs="Courier New" w:hint="default"/>
      </w:rPr>
    </w:lvl>
    <w:lvl w:ilvl="8" w:tplc="231C2D56"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1141"/>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2968"/>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648C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D2B60"/>
    <w:rsid w:val="004F26A1"/>
    <w:rsid w:val="004F5E3C"/>
    <w:rsid w:val="00567B1A"/>
    <w:rsid w:val="00571971"/>
    <w:rsid w:val="0057422C"/>
    <w:rsid w:val="00575141"/>
    <w:rsid w:val="00597066"/>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82272"/>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638C6"/>
    <w:rsid w:val="00886388"/>
    <w:rsid w:val="008B3199"/>
    <w:rsid w:val="008C47FB"/>
    <w:rsid w:val="008C4A46"/>
    <w:rsid w:val="008C706D"/>
    <w:rsid w:val="008D5488"/>
    <w:rsid w:val="008E2484"/>
    <w:rsid w:val="008F0B52"/>
    <w:rsid w:val="008F617A"/>
    <w:rsid w:val="00914AC1"/>
    <w:rsid w:val="00921F03"/>
    <w:rsid w:val="0095375C"/>
    <w:rsid w:val="00964777"/>
    <w:rsid w:val="00965C79"/>
    <w:rsid w:val="00972198"/>
    <w:rsid w:val="00984B1A"/>
    <w:rsid w:val="009851B0"/>
    <w:rsid w:val="00996DA6"/>
    <w:rsid w:val="009A089E"/>
    <w:rsid w:val="009A50FF"/>
    <w:rsid w:val="009B0FA7"/>
    <w:rsid w:val="009B2E19"/>
    <w:rsid w:val="009C6D0D"/>
    <w:rsid w:val="009E2FD2"/>
    <w:rsid w:val="00A076E6"/>
    <w:rsid w:val="00A13844"/>
    <w:rsid w:val="00A27032"/>
    <w:rsid w:val="00A27085"/>
    <w:rsid w:val="00A344EF"/>
    <w:rsid w:val="00A41BD0"/>
    <w:rsid w:val="00A47944"/>
    <w:rsid w:val="00A61A41"/>
    <w:rsid w:val="00A6309F"/>
    <w:rsid w:val="00A678C6"/>
    <w:rsid w:val="00A70E9F"/>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D44F3"/>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EF50BD"/>
    <w:rsid w:val="00F11065"/>
    <w:rsid w:val="00F20046"/>
    <w:rsid w:val="00F25BB5"/>
    <w:rsid w:val="00F40307"/>
    <w:rsid w:val="00F4288B"/>
    <w:rsid w:val="00F571F9"/>
    <w:rsid w:val="00F655AC"/>
    <w:rsid w:val="00F8256F"/>
    <w:rsid w:val="00F95970"/>
    <w:rsid w:val="00FB1B10"/>
    <w:rsid w:val="00FB278F"/>
    <w:rsid w:val="00FB3D7B"/>
    <w:rsid w:val="00FB6F6A"/>
    <w:rsid w:val="00FC67CB"/>
    <w:rsid w:val="00FD61EB"/>
    <w:rsid w:val="00FE245D"/>
    <w:rsid w:val="00FE3344"/>
    <w:rsid w:val="00FE520D"/>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customStyle="1" w:styleId="-">
    <w:name w:val="בולטים - תכנון מוניטרי"/>
    <w:basedOn w:val="ListParagraph"/>
    <w:link w:val="-0"/>
    <w:qFormat/>
    <w:rsid w:val="00EF50BD"/>
    <w:pPr>
      <w:numPr>
        <w:numId w:val="7"/>
      </w:numPr>
      <w:bidi/>
      <w:spacing w:after="120" w:line="360" w:lineRule="auto"/>
      <w:contextualSpacing w:val="0"/>
      <w:jc w:val="both"/>
    </w:pPr>
    <w:rPr>
      <w:rFonts w:ascii="Times New Roman" w:eastAsia="Calibri" w:hAnsi="Times New Roman"/>
    </w:rPr>
  </w:style>
  <w:style w:type="character" w:customStyle="1" w:styleId="-0">
    <w:name w:val="בולטים - תכנון מוניטרי תו"/>
    <w:basedOn w:val="ListParagraphChar"/>
    <w:link w:val="-"/>
    <w:rsid w:val="00EF50BD"/>
    <w:rPr>
      <w:rFonts w:ascii="Times New Roman" w:eastAsia="Calibri" w:hAnsi="Times New Roman" w:cs="David"/>
      <w:sz w:val="24"/>
      <w:szCs w:val="24"/>
    </w:rPr>
  </w:style>
  <w:style w:type="paragraph" w:customStyle="1" w:styleId="p1">
    <w:name w:val="p1"/>
    <w:basedOn w:val="Normal"/>
    <w:rsid w:val="00597066"/>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2">
    <w:name w:val="p2"/>
    <w:basedOn w:val="Normal"/>
    <w:rsid w:val="00597066"/>
    <w:pPr>
      <w:spacing w:before="100" w:beforeAutospacing="1" w:after="100" w:afterAutospacing="1" w:line="240" w:lineRule="auto"/>
    </w:pPr>
    <w:rPr>
      <w:rFonts w:ascii="Times New Roman" w:eastAsia="Times New Roman" w:hAnsi="Times New Roman" w:cs="Times New Roman"/>
      <w:lang w:v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6932</Characters>
  <Application>Microsoft Office Word</Application>
  <DocSecurity>4</DocSecurity>
  <Lines>106</Lines>
  <Paragraphs>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2025-11-26T12:44:00Z</dcterms:created>
  <dcterms:modified xsi:type="dcterms:W3CDTF">2025-11-26T12:44:00Z</dcterms:modified>
</cp:coreProperties>
</file>