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54055A" w:rsidRPr="00A6366F" w:rsidTr="000A2F33">
        <w:trPr>
          <w:cantSplit/>
        </w:trPr>
        <w:tc>
          <w:tcPr>
            <w:tcW w:w="3392" w:type="dxa"/>
            <w:tcBorders>
              <w:top w:val="nil"/>
              <w:left w:val="nil"/>
              <w:bottom w:val="nil"/>
              <w:right w:val="nil"/>
            </w:tcBorders>
            <w:vAlign w:val="center"/>
          </w:tcPr>
          <w:p w:rsidR="0054055A" w:rsidRPr="006702C1" w:rsidRDefault="0054055A" w:rsidP="000A2F33">
            <w:pPr>
              <w:spacing w:line="360" w:lineRule="auto"/>
              <w:jc w:val="center"/>
              <w:rPr>
                <w:rFonts w:cs="David"/>
                <w:b/>
                <w:bCs/>
                <w:sz w:val="24"/>
                <w:szCs w:val="24"/>
              </w:rPr>
            </w:pPr>
            <w:r w:rsidRPr="006702C1">
              <w:rPr>
                <w:rFonts w:cs="David"/>
                <w:b/>
                <w:bCs/>
                <w:sz w:val="24"/>
                <w:szCs w:val="24"/>
                <w:rtl/>
              </w:rPr>
              <w:t>בנק ישראל</w:t>
            </w:r>
          </w:p>
          <w:p w:rsidR="0054055A" w:rsidRPr="006702C1" w:rsidRDefault="0054055A" w:rsidP="000A2F33">
            <w:pPr>
              <w:spacing w:line="360" w:lineRule="auto"/>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54055A" w:rsidRPr="006702C1" w:rsidRDefault="0054055A" w:rsidP="000A2F33">
            <w:pPr>
              <w:jc w:val="center"/>
              <w:rPr>
                <w:sz w:val="24"/>
                <w:szCs w:val="24"/>
              </w:rPr>
            </w:pPr>
            <w:r>
              <w:rPr>
                <w:noProof/>
              </w:rPr>
              <w:drawing>
                <wp:inline distT="0" distB="0" distL="0" distR="0" wp14:anchorId="14CE75F4" wp14:editId="4F8FCF15">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54055A" w:rsidRPr="00E23C4C" w:rsidRDefault="0054055A" w:rsidP="0054055A">
            <w:pPr>
              <w:spacing w:line="480" w:lineRule="auto"/>
              <w:jc w:val="right"/>
              <w:rPr>
                <w:rFonts w:cs="David"/>
                <w:sz w:val="24"/>
                <w:szCs w:val="24"/>
                <w:rtl/>
              </w:rPr>
            </w:pPr>
            <w:r w:rsidRPr="00A6366F">
              <w:rPr>
                <w:rFonts w:cs="David" w:hint="eastAsia"/>
                <w:sz w:val="24"/>
                <w:szCs w:val="24"/>
                <w:rtl/>
              </w:rPr>
              <w:t>‏</w:t>
            </w:r>
            <w:r w:rsidRPr="00E23C4C">
              <w:rPr>
                <w:rFonts w:cs="David"/>
                <w:sz w:val="24"/>
                <w:szCs w:val="24"/>
                <w:rtl/>
              </w:rPr>
              <w:t xml:space="preserve">ירושלים, </w:t>
            </w:r>
            <w:r>
              <w:rPr>
                <w:rFonts w:cs="David" w:hint="cs"/>
                <w:sz w:val="24"/>
                <w:szCs w:val="24"/>
                <w:rtl/>
              </w:rPr>
              <w:t xml:space="preserve">י' </w:t>
            </w:r>
            <w:r w:rsidRPr="00A6366F">
              <w:rPr>
                <w:rFonts w:cs="David" w:hint="cs"/>
                <w:sz w:val="24"/>
                <w:szCs w:val="24"/>
                <w:rtl/>
              </w:rPr>
              <w:t>בשבט</w:t>
            </w:r>
            <w:r w:rsidRPr="00A6366F">
              <w:rPr>
                <w:rFonts w:cs="David"/>
                <w:sz w:val="24"/>
                <w:szCs w:val="24"/>
                <w:rtl/>
              </w:rPr>
              <w:t>, תשפ"</w:t>
            </w:r>
            <w:r>
              <w:rPr>
                <w:rFonts w:cs="David" w:hint="cs"/>
                <w:sz w:val="24"/>
                <w:szCs w:val="24"/>
                <w:rtl/>
              </w:rPr>
              <w:t>ב</w:t>
            </w:r>
          </w:p>
          <w:p w:rsidR="0054055A" w:rsidRPr="00A6366F" w:rsidRDefault="0054055A" w:rsidP="0054055A">
            <w:pPr>
              <w:spacing w:line="480" w:lineRule="auto"/>
              <w:jc w:val="right"/>
              <w:rPr>
                <w:rFonts w:cs="David"/>
                <w:sz w:val="24"/>
                <w:szCs w:val="24"/>
              </w:rPr>
            </w:pPr>
            <w:r w:rsidRPr="00E23C4C">
              <w:rPr>
                <w:rFonts w:cs="David" w:hint="eastAsia"/>
                <w:sz w:val="24"/>
                <w:szCs w:val="24"/>
                <w:rtl/>
              </w:rPr>
              <w:t>‏‏</w:t>
            </w:r>
            <w:r w:rsidRPr="00E23C4C">
              <w:rPr>
                <w:rFonts w:cs="David" w:hint="cs"/>
                <w:sz w:val="24"/>
                <w:szCs w:val="24"/>
                <w:rtl/>
              </w:rPr>
              <w:t>‏‏</w:t>
            </w:r>
            <w:r w:rsidRPr="00E23C4C">
              <w:rPr>
                <w:rFonts w:cs="David" w:hint="eastAsia"/>
                <w:sz w:val="24"/>
                <w:szCs w:val="24"/>
                <w:rtl/>
              </w:rPr>
              <w:t>‏</w:t>
            </w:r>
            <w:r>
              <w:rPr>
                <w:rFonts w:cs="David" w:hint="cs"/>
                <w:sz w:val="24"/>
                <w:szCs w:val="24"/>
                <w:rtl/>
              </w:rPr>
              <w:t>12</w:t>
            </w:r>
            <w:r w:rsidRPr="00E23C4C">
              <w:rPr>
                <w:rFonts w:cs="David"/>
                <w:sz w:val="24"/>
                <w:szCs w:val="24"/>
                <w:rtl/>
              </w:rPr>
              <w:t xml:space="preserve"> </w:t>
            </w:r>
            <w:r>
              <w:rPr>
                <w:rFonts w:cs="David" w:hint="cs"/>
                <w:sz w:val="24"/>
                <w:szCs w:val="24"/>
                <w:rtl/>
              </w:rPr>
              <w:t>ינואר</w:t>
            </w:r>
            <w:r w:rsidRPr="00E23C4C">
              <w:rPr>
                <w:rFonts w:cs="David"/>
                <w:sz w:val="24"/>
                <w:szCs w:val="24"/>
                <w:rtl/>
              </w:rPr>
              <w:t>, 202</w:t>
            </w:r>
            <w:r>
              <w:rPr>
                <w:rFonts w:cs="David" w:hint="cs"/>
                <w:sz w:val="24"/>
                <w:szCs w:val="24"/>
                <w:rtl/>
              </w:rPr>
              <w:t>2</w:t>
            </w:r>
          </w:p>
        </w:tc>
      </w:tr>
    </w:tbl>
    <w:p w:rsidR="0054055A" w:rsidRPr="004233FA" w:rsidRDefault="0054055A" w:rsidP="0054055A">
      <w:pPr>
        <w:spacing w:line="360" w:lineRule="auto"/>
        <w:rPr>
          <w:rFonts w:cs="David"/>
          <w:sz w:val="24"/>
          <w:szCs w:val="24"/>
          <w:rtl/>
        </w:rPr>
      </w:pPr>
    </w:p>
    <w:p w:rsidR="0054055A" w:rsidRDefault="0054055A" w:rsidP="0054055A">
      <w:pPr>
        <w:spacing w:line="360" w:lineRule="auto"/>
        <w:rPr>
          <w:rFonts w:cs="David"/>
          <w:sz w:val="24"/>
          <w:szCs w:val="24"/>
          <w:rtl/>
        </w:rPr>
      </w:pPr>
      <w:r w:rsidRPr="008259C0">
        <w:rPr>
          <w:rFonts w:cs="David" w:hint="cs"/>
          <w:sz w:val="24"/>
          <w:szCs w:val="24"/>
          <w:rtl/>
        </w:rPr>
        <w:t>הודעה לעיתונות:</w:t>
      </w:r>
    </w:p>
    <w:p w:rsidR="0054055A" w:rsidRDefault="0054055A" w:rsidP="00D26C35">
      <w:pPr>
        <w:spacing w:line="360" w:lineRule="auto"/>
        <w:jc w:val="center"/>
        <w:rPr>
          <w:rFonts w:cs="David"/>
          <w:sz w:val="24"/>
          <w:szCs w:val="24"/>
          <w:rtl/>
        </w:rPr>
      </w:pPr>
      <w:r>
        <w:rPr>
          <w:rFonts w:cs="David" w:hint="cs"/>
          <w:sz w:val="24"/>
          <w:szCs w:val="24"/>
          <w:rtl/>
        </w:rPr>
        <w:t>מחקר חדש:</w:t>
      </w:r>
    </w:p>
    <w:p w:rsidR="007C48D4" w:rsidRPr="0054055A" w:rsidRDefault="00D466D3" w:rsidP="00D466D3">
      <w:pPr>
        <w:jc w:val="center"/>
        <w:rPr>
          <w:rFonts w:ascii="David" w:hAnsi="David" w:cs="David"/>
          <w:b/>
          <w:bCs/>
          <w:sz w:val="28"/>
          <w:szCs w:val="28"/>
          <w:rtl/>
        </w:rPr>
      </w:pPr>
      <w:r w:rsidRPr="0054055A">
        <w:rPr>
          <w:rFonts w:ascii="David" w:hAnsi="David" w:cs="David"/>
          <w:b/>
          <w:bCs/>
          <w:sz w:val="28"/>
          <w:szCs w:val="28"/>
          <w:rtl/>
        </w:rPr>
        <w:t>מחזוריות הטבות המס</w:t>
      </w:r>
      <w:r w:rsidR="00652843" w:rsidRPr="0054055A">
        <w:rPr>
          <w:rFonts w:ascii="David" w:hAnsi="David" w:cs="David"/>
          <w:b/>
          <w:bCs/>
          <w:sz w:val="28"/>
          <w:szCs w:val="28"/>
          <w:rtl/>
        </w:rPr>
        <w:t xml:space="preserve"> בישראל</w:t>
      </w:r>
    </w:p>
    <w:p w:rsidR="00F329DE" w:rsidRPr="0054055A" w:rsidRDefault="00F329DE" w:rsidP="00F329DE">
      <w:pPr>
        <w:pStyle w:val="a9"/>
        <w:numPr>
          <w:ilvl w:val="0"/>
          <w:numId w:val="1"/>
        </w:numPr>
        <w:spacing w:line="480" w:lineRule="auto"/>
        <w:jc w:val="both"/>
        <w:rPr>
          <w:rFonts w:ascii="David" w:hAnsi="David" w:cs="David"/>
          <w:b/>
          <w:bCs/>
          <w:sz w:val="24"/>
          <w:szCs w:val="24"/>
          <w:rtl/>
        </w:rPr>
      </w:pPr>
      <w:r w:rsidRPr="0054055A">
        <w:rPr>
          <w:rFonts w:ascii="David" w:hAnsi="David" w:cs="David"/>
          <w:b/>
          <w:bCs/>
          <w:sz w:val="24"/>
          <w:szCs w:val="24"/>
          <w:rtl/>
        </w:rPr>
        <w:t>הטבות המס מהוות כלי מדיניות ממשלתי הנועד להתמודד עם תופעות ייחודיות שקשורות לכשלי שוק או לסוגיות רווחה.</w:t>
      </w:r>
    </w:p>
    <w:p w:rsidR="0023478A" w:rsidRPr="0054055A" w:rsidRDefault="00981C3C" w:rsidP="00510BC6">
      <w:pPr>
        <w:pStyle w:val="a9"/>
        <w:numPr>
          <w:ilvl w:val="0"/>
          <w:numId w:val="1"/>
        </w:numPr>
        <w:spacing w:line="480" w:lineRule="auto"/>
        <w:jc w:val="both"/>
        <w:rPr>
          <w:rFonts w:ascii="David" w:hAnsi="David" w:cs="David"/>
          <w:sz w:val="24"/>
          <w:szCs w:val="24"/>
        </w:rPr>
      </w:pPr>
      <w:r w:rsidRPr="0054055A">
        <w:rPr>
          <w:rFonts w:ascii="David" w:hAnsi="David" w:cs="David"/>
          <w:b/>
          <w:bCs/>
          <w:sz w:val="24"/>
          <w:szCs w:val="24"/>
          <w:rtl/>
        </w:rPr>
        <w:t>הטבות המס בישראל עלו לאורך זמן והן נאמדות בכ-70 מיליארדי ₪ המהווים בקירוב 5 אחוזי תוצר</w:t>
      </w:r>
      <w:r w:rsidR="00D466D3" w:rsidRPr="0054055A">
        <w:rPr>
          <w:rFonts w:ascii="David" w:hAnsi="David" w:cs="David"/>
          <w:b/>
          <w:bCs/>
          <w:sz w:val="24"/>
          <w:szCs w:val="24"/>
          <w:rtl/>
        </w:rPr>
        <w:t>.</w:t>
      </w:r>
      <w:r w:rsidR="00D466D3" w:rsidRPr="0054055A">
        <w:rPr>
          <w:rFonts w:ascii="David" w:hAnsi="David" w:cs="David"/>
          <w:sz w:val="24"/>
          <w:szCs w:val="24"/>
          <w:rtl/>
        </w:rPr>
        <w:t xml:space="preserve"> </w:t>
      </w:r>
      <w:r w:rsidR="00F329DE" w:rsidRPr="0054055A">
        <w:rPr>
          <w:rFonts w:ascii="David" w:hAnsi="David" w:cs="David"/>
          <w:b/>
          <w:bCs/>
          <w:sz w:val="24"/>
          <w:szCs w:val="24"/>
          <w:rtl/>
        </w:rPr>
        <w:t>מתן ההטבות בישראל הוא כלי הנמצא בשימוש אינטנסיבי, כפי שניתן לראות בהשוואה הבינלאומית מול מדינות ה-</w:t>
      </w:r>
      <w:r w:rsidR="00510BC6" w:rsidRPr="0054055A">
        <w:rPr>
          <w:rFonts w:ascii="David" w:hAnsi="David" w:cs="David"/>
          <w:b/>
          <w:bCs/>
          <w:sz w:val="24"/>
          <w:szCs w:val="24"/>
        </w:rPr>
        <w:t xml:space="preserve"> </w:t>
      </w:r>
      <w:r w:rsidR="00F329DE" w:rsidRPr="0054055A">
        <w:rPr>
          <w:rFonts w:ascii="David" w:hAnsi="David" w:cs="David"/>
          <w:b/>
          <w:bCs/>
          <w:sz w:val="24"/>
          <w:szCs w:val="24"/>
        </w:rPr>
        <w:t>OECD</w:t>
      </w:r>
      <w:r w:rsidR="00510BC6" w:rsidRPr="0054055A">
        <w:rPr>
          <w:rFonts w:ascii="David" w:hAnsi="David" w:cs="David"/>
          <w:sz w:val="24"/>
          <w:szCs w:val="24"/>
          <w:rtl/>
        </w:rPr>
        <w:t>(תרשים 1)</w:t>
      </w:r>
      <w:r w:rsidR="00F329DE" w:rsidRPr="0054055A">
        <w:rPr>
          <w:rFonts w:ascii="David" w:hAnsi="David" w:cs="David"/>
          <w:sz w:val="24"/>
          <w:szCs w:val="24"/>
          <w:rtl/>
        </w:rPr>
        <w:t>.</w:t>
      </w:r>
    </w:p>
    <w:p w:rsidR="0023478A" w:rsidRPr="0054055A" w:rsidRDefault="00D466D3" w:rsidP="00510BC6">
      <w:pPr>
        <w:pStyle w:val="a9"/>
        <w:numPr>
          <w:ilvl w:val="0"/>
          <w:numId w:val="1"/>
        </w:numPr>
        <w:spacing w:line="480" w:lineRule="auto"/>
        <w:jc w:val="both"/>
        <w:rPr>
          <w:rFonts w:ascii="David" w:hAnsi="David" w:cs="David"/>
          <w:b/>
          <w:bCs/>
          <w:sz w:val="24"/>
          <w:szCs w:val="24"/>
        </w:rPr>
      </w:pPr>
      <w:r w:rsidRPr="0054055A">
        <w:rPr>
          <w:rFonts w:ascii="David" w:hAnsi="David" w:cs="David"/>
          <w:b/>
          <w:bCs/>
          <w:sz w:val="24"/>
          <w:szCs w:val="24"/>
          <w:rtl/>
        </w:rPr>
        <w:t>ההטבות</w:t>
      </w:r>
      <w:r w:rsidR="0023478A" w:rsidRPr="0054055A">
        <w:rPr>
          <w:rFonts w:ascii="David" w:hAnsi="David" w:cs="David"/>
          <w:b/>
          <w:bCs/>
          <w:sz w:val="24"/>
          <w:szCs w:val="24"/>
          <w:rtl/>
        </w:rPr>
        <w:t xml:space="preserve"> בישראל</w:t>
      </w:r>
      <w:r w:rsidR="00981C3C" w:rsidRPr="0054055A">
        <w:rPr>
          <w:rFonts w:ascii="David" w:hAnsi="David" w:cs="David"/>
          <w:b/>
          <w:bCs/>
          <w:sz w:val="24"/>
          <w:szCs w:val="24"/>
          <w:rtl/>
        </w:rPr>
        <w:t xml:space="preserve"> </w:t>
      </w:r>
      <w:r w:rsidRPr="0054055A">
        <w:rPr>
          <w:rFonts w:ascii="David" w:hAnsi="David" w:cs="David"/>
          <w:b/>
          <w:bCs/>
          <w:sz w:val="24"/>
          <w:szCs w:val="24"/>
          <w:rtl/>
        </w:rPr>
        <w:t xml:space="preserve">ניתנות בארבעה תחומים עיקריים: הטבות בשוק ההון, תמיכה בגורמי הייצור, הטבות בתחום המע"מ והטבות בתחום הרווחה. </w:t>
      </w:r>
    </w:p>
    <w:p w:rsidR="0023478A" w:rsidRPr="0054055A" w:rsidRDefault="0023478A" w:rsidP="00510BC6">
      <w:pPr>
        <w:pStyle w:val="a9"/>
        <w:numPr>
          <w:ilvl w:val="0"/>
          <w:numId w:val="1"/>
        </w:numPr>
        <w:spacing w:line="480" w:lineRule="auto"/>
        <w:jc w:val="both"/>
        <w:rPr>
          <w:rFonts w:ascii="David" w:hAnsi="David" w:cs="David"/>
          <w:b/>
          <w:bCs/>
          <w:sz w:val="24"/>
          <w:szCs w:val="24"/>
        </w:rPr>
      </w:pPr>
      <w:r w:rsidRPr="0054055A">
        <w:rPr>
          <w:rFonts w:ascii="David" w:hAnsi="David" w:cs="David"/>
          <w:b/>
          <w:bCs/>
          <w:sz w:val="24"/>
          <w:szCs w:val="24"/>
          <w:rtl/>
        </w:rPr>
        <w:t>למשל, הטבות משמעותיות ניתנות בתחום הפנסיה, במטרה להתמודד עם "קוצר הראייה" (</w:t>
      </w:r>
      <w:r w:rsidRPr="0054055A">
        <w:rPr>
          <w:rFonts w:ascii="David" w:hAnsi="David" w:cs="David"/>
          <w:b/>
          <w:bCs/>
          <w:sz w:val="24"/>
          <w:szCs w:val="24"/>
        </w:rPr>
        <w:t>myopia</w:t>
      </w:r>
      <w:r w:rsidRPr="0054055A">
        <w:rPr>
          <w:rFonts w:ascii="David" w:hAnsi="David" w:cs="David"/>
          <w:b/>
          <w:bCs/>
          <w:sz w:val="24"/>
          <w:szCs w:val="24"/>
          <w:rtl/>
        </w:rPr>
        <w:t xml:space="preserve">) של הפרטים אשר ממעטים לחסוך לתקופת הפרישה; הטבה ידועה נוספת היא בתחום פטור ממס הכנסה ביישובי הפריפריה, במטרה להאיץ את האכלוס באזורים שונים בארץ. דוגמאות נוספות כוללות הטבות לעולים, הטבות המיועדות למשוך תיירים וההטבה לעובדים במסגרת קרנות ההשתלמות. </w:t>
      </w:r>
    </w:p>
    <w:p w:rsidR="0023478A" w:rsidRPr="0054055A" w:rsidRDefault="0023478A" w:rsidP="00510BC6">
      <w:pPr>
        <w:spacing w:line="480" w:lineRule="auto"/>
        <w:jc w:val="both"/>
        <w:rPr>
          <w:rFonts w:ascii="David" w:hAnsi="David" w:cs="David"/>
          <w:sz w:val="24"/>
          <w:szCs w:val="24"/>
          <w:rtl/>
        </w:rPr>
      </w:pPr>
      <w:r w:rsidRPr="0054055A">
        <w:rPr>
          <w:rFonts w:ascii="David" w:hAnsi="David" w:cs="David"/>
          <w:sz w:val="24"/>
          <w:szCs w:val="24"/>
          <w:rtl/>
        </w:rPr>
        <w:t xml:space="preserve">מחקר חדש של פרופ' מישל סטרבצ'ינסקי, המתייחס לתקופה 1986 עד 2016, עוקב אחר מתן ההטבות במשק </w:t>
      </w:r>
      <w:r w:rsidR="00F329DE" w:rsidRPr="0054055A">
        <w:rPr>
          <w:rFonts w:ascii="David" w:hAnsi="David" w:cs="David"/>
          <w:sz w:val="24"/>
          <w:szCs w:val="24"/>
          <w:rtl/>
        </w:rPr>
        <w:t xml:space="preserve">הישראלי </w:t>
      </w:r>
      <w:r w:rsidRPr="0054055A">
        <w:rPr>
          <w:rFonts w:ascii="David" w:hAnsi="David" w:cs="David"/>
          <w:sz w:val="24"/>
          <w:szCs w:val="24"/>
          <w:rtl/>
        </w:rPr>
        <w:t xml:space="preserve">בתקופות שונות באמצעות בדיקת ההתנהגות המחזורית; כלומר, האם ההטבות ניתנות על ידי הממשלות בתקופות של גאות כלכלית או בתקופות של שפל בפעילות הכלכלית, המלוות בירידת רווחי הפירמות ובעלייה באבטלה. </w:t>
      </w:r>
    </w:p>
    <w:p w:rsidR="0023478A" w:rsidRPr="0054055A" w:rsidRDefault="0023478A" w:rsidP="0023478A">
      <w:pPr>
        <w:spacing w:line="480" w:lineRule="auto"/>
        <w:jc w:val="both"/>
        <w:rPr>
          <w:rFonts w:ascii="David" w:hAnsi="David" w:cs="David"/>
          <w:sz w:val="24"/>
          <w:szCs w:val="24"/>
          <w:rtl/>
        </w:rPr>
      </w:pPr>
      <w:r w:rsidRPr="0054055A">
        <w:rPr>
          <w:rFonts w:ascii="David" w:hAnsi="David" w:cs="David"/>
          <w:sz w:val="24"/>
          <w:szCs w:val="24"/>
          <w:rtl/>
        </w:rPr>
        <w:t xml:space="preserve">הממצא המרכזי של המחקר הוא שדפוס מתן ההטבות השתנה באופן מהותי אחרי 1997, תקופה בה המשק השיג רמות גירעון וחוב ממשלתיים נמוכות (תרשים 2); אלה הביאו לשיפור בהתנהלות התקציבית של הממשלה. שיפור זה אפשר את המעבר למדיניות פרו-מחזורית בתקופות גאות - כלומר: העלאת הטבות המס כשיש גאות בהכנסות ממסים - ואנטי-מחזורית בתקופות שפל </w:t>
      </w:r>
      <w:r w:rsidRPr="0054055A">
        <w:rPr>
          <w:rFonts w:ascii="David" w:hAnsi="David" w:cs="David"/>
          <w:sz w:val="24"/>
          <w:szCs w:val="24"/>
          <w:rtl/>
        </w:rPr>
        <w:lastRenderedPageBreak/>
        <w:t>(תרשים 3) - כלומר, הגדלת הטבות המס במצבים בהם יש מחסור בביקוש, לצורך ייצוב הכלכלה - בדומה לדפוס המקובל במדינות המפותחות.</w:t>
      </w:r>
    </w:p>
    <w:p w:rsidR="0023478A" w:rsidRPr="0054055A" w:rsidRDefault="0023478A" w:rsidP="0023478A">
      <w:pPr>
        <w:spacing w:line="480" w:lineRule="auto"/>
        <w:jc w:val="both"/>
        <w:rPr>
          <w:rFonts w:ascii="David" w:hAnsi="David" w:cs="David"/>
          <w:sz w:val="24"/>
          <w:szCs w:val="24"/>
        </w:rPr>
      </w:pPr>
    </w:p>
    <w:p w:rsidR="001D143A" w:rsidRPr="00BC23F0" w:rsidRDefault="001D143A" w:rsidP="001D143A">
      <w:pPr>
        <w:spacing w:line="480" w:lineRule="auto"/>
        <w:jc w:val="center"/>
        <w:rPr>
          <w:rFonts w:ascii="David" w:hAnsi="David" w:cs="David"/>
          <w:b/>
          <w:bCs/>
          <w:sz w:val="24"/>
          <w:szCs w:val="24"/>
          <w:rtl/>
        </w:rPr>
      </w:pPr>
      <w:r w:rsidRPr="00BC23F0">
        <w:rPr>
          <w:rFonts w:ascii="David" w:hAnsi="David" w:cs="David"/>
          <w:b/>
          <w:bCs/>
          <w:sz w:val="24"/>
          <w:szCs w:val="24"/>
          <w:rtl/>
        </w:rPr>
        <w:t>תרשים 1 – הטבות מס באחוזי תוצר במדינות ה-</w:t>
      </w:r>
      <w:r w:rsidRPr="00BC23F0">
        <w:rPr>
          <w:rFonts w:ascii="David" w:hAnsi="David" w:cs="David"/>
          <w:b/>
          <w:bCs/>
          <w:sz w:val="24"/>
          <w:szCs w:val="24"/>
        </w:rPr>
        <w:t>OECD</w:t>
      </w:r>
    </w:p>
    <w:p w:rsidR="001D143A" w:rsidRPr="0054055A" w:rsidRDefault="004E3C4B" w:rsidP="001D143A">
      <w:pPr>
        <w:spacing w:line="480" w:lineRule="auto"/>
        <w:jc w:val="center"/>
        <w:rPr>
          <w:rFonts w:ascii="David" w:hAnsi="David" w:cs="David"/>
          <w:b/>
          <w:bCs/>
          <w:sz w:val="32"/>
          <w:szCs w:val="32"/>
          <w:rtl/>
        </w:rPr>
      </w:pPr>
      <w:r w:rsidRPr="0054055A">
        <w:rPr>
          <w:rFonts w:ascii="David" w:hAnsi="David" w:cs="David"/>
          <w:b/>
          <w:bCs/>
          <w:noProof/>
          <w:sz w:val="32"/>
          <w:szCs w:val="32"/>
        </w:rPr>
        <w:drawing>
          <wp:inline distT="0" distB="0" distL="0" distR="0" wp14:anchorId="00EA1AE0" wp14:editId="0480A352">
            <wp:extent cx="5608955" cy="4840605"/>
            <wp:effectExtent l="0" t="0" r="0" b="0"/>
            <wp:docPr id="2" name="תמונה 2" descr="תרשים 1 – הטבות מס באחוזי תוצר במדינות ה-OECD" title="תרשים 1 – הטבות מס באחוזי תוצר במדינות ה-O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4840605"/>
                    </a:xfrm>
                    <a:prstGeom prst="rect">
                      <a:avLst/>
                    </a:prstGeom>
                    <a:noFill/>
                  </pic:spPr>
                </pic:pic>
              </a:graphicData>
            </a:graphic>
          </wp:inline>
        </w:drawing>
      </w:r>
    </w:p>
    <w:p w:rsidR="001D143A" w:rsidRPr="0054055A" w:rsidRDefault="001D143A" w:rsidP="001D143A">
      <w:pPr>
        <w:spacing w:line="480" w:lineRule="auto"/>
        <w:jc w:val="center"/>
        <w:rPr>
          <w:rFonts w:ascii="David" w:hAnsi="David" w:cs="David"/>
          <w:b/>
          <w:bCs/>
          <w:sz w:val="32"/>
          <w:szCs w:val="32"/>
          <w:rtl/>
        </w:rPr>
      </w:pPr>
    </w:p>
    <w:p w:rsidR="001D143A" w:rsidRPr="0054055A" w:rsidRDefault="001D143A">
      <w:pPr>
        <w:bidi w:val="0"/>
        <w:rPr>
          <w:rFonts w:ascii="David" w:hAnsi="David" w:cs="David"/>
          <w:b/>
          <w:bCs/>
          <w:sz w:val="32"/>
          <w:szCs w:val="32"/>
          <w:rtl/>
        </w:rPr>
      </w:pPr>
      <w:r w:rsidRPr="0054055A">
        <w:rPr>
          <w:rFonts w:ascii="David" w:hAnsi="David" w:cs="David"/>
          <w:b/>
          <w:bCs/>
          <w:sz w:val="32"/>
          <w:szCs w:val="32"/>
          <w:rtl/>
        </w:rPr>
        <w:br w:type="page"/>
      </w:r>
    </w:p>
    <w:p w:rsidR="001D143A" w:rsidRPr="0054055A" w:rsidRDefault="001D143A" w:rsidP="001D143A">
      <w:pPr>
        <w:spacing w:line="480" w:lineRule="auto"/>
        <w:jc w:val="center"/>
        <w:rPr>
          <w:rFonts w:ascii="David" w:hAnsi="David" w:cs="David"/>
          <w:sz w:val="24"/>
          <w:szCs w:val="24"/>
          <w:rtl/>
        </w:rPr>
      </w:pPr>
      <w:r w:rsidRPr="0054055A">
        <w:rPr>
          <w:rFonts w:ascii="David" w:hAnsi="David" w:cs="David"/>
          <w:b/>
          <w:bCs/>
          <w:sz w:val="24"/>
          <w:szCs w:val="24"/>
          <w:rtl/>
        </w:rPr>
        <w:lastRenderedPageBreak/>
        <w:t>תרשים 2 – החוב הממשלתי והגירעון בתקציב</w:t>
      </w:r>
      <w:r w:rsidRPr="0054055A">
        <w:rPr>
          <w:rFonts w:ascii="David" w:hAnsi="David" w:cs="David"/>
          <w:sz w:val="24"/>
          <w:szCs w:val="24"/>
          <w:rtl/>
        </w:rPr>
        <w:t>,</w:t>
      </w:r>
      <w:r w:rsidRPr="0054055A">
        <w:rPr>
          <w:rFonts w:ascii="David" w:hAnsi="David" w:cs="David"/>
          <w:b/>
          <w:bCs/>
          <w:sz w:val="24"/>
          <w:szCs w:val="24"/>
          <w:rtl/>
        </w:rPr>
        <w:t xml:space="preserve"> </w:t>
      </w:r>
      <w:r w:rsidRPr="0054055A">
        <w:rPr>
          <w:rFonts w:ascii="David" w:hAnsi="David" w:cs="David"/>
          <w:sz w:val="24"/>
          <w:szCs w:val="24"/>
          <w:rtl/>
        </w:rPr>
        <w:t>באחוזי תוצר</w:t>
      </w:r>
    </w:p>
    <w:p w:rsidR="004E3C4B" w:rsidRPr="0054055A" w:rsidRDefault="004E3C4B" w:rsidP="001D143A">
      <w:pPr>
        <w:spacing w:line="480" w:lineRule="auto"/>
        <w:jc w:val="both"/>
        <w:rPr>
          <w:rFonts w:ascii="David" w:hAnsi="David" w:cs="David"/>
          <w:sz w:val="24"/>
          <w:szCs w:val="24"/>
        </w:rPr>
      </w:pPr>
      <w:r w:rsidRPr="0054055A">
        <w:rPr>
          <w:rFonts w:ascii="David" w:hAnsi="David" w:cs="David"/>
          <w:noProof/>
          <w:sz w:val="24"/>
          <w:szCs w:val="24"/>
        </w:rPr>
        <w:drawing>
          <wp:inline distT="0" distB="0" distL="0" distR="0" wp14:anchorId="3A4DD99C" wp14:editId="66D3D948">
            <wp:extent cx="4883150" cy="2658110"/>
            <wp:effectExtent l="0" t="0" r="0" b="8890"/>
            <wp:docPr id="3" name="תמונה 3" descr="תרשים 2 – החוב הממשלתי והגירעון בתקציב, באחוזי תוצר" title="תרשים 2 – החוב הממשלתי והגירעון בתקציב, באחוזי תוצ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0" cy="2658110"/>
                    </a:xfrm>
                    <a:prstGeom prst="rect">
                      <a:avLst/>
                    </a:prstGeom>
                    <a:noFill/>
                  </pic:spPr>
                </pic:pic>
              </a:graphicData>
            </a:graphic>
          </wp:inline>
        </w:drawing>
      </w:r>
    </w:p>
    <w:p w:rsidR="001C508D" w:rsidRPr="0054055A" w:rsidRDefault="00510BC6" w:rsidP="00D466D3">
      <w:pPr>
        <w:spacing w:line="480" w:lineRule="auto"/>
        <w:jc w:val="both"/>
        <w:rPr>
          <w:rFonts w:ascii="David" w:hAnsi="David" w:cs="David"/>
          <w:noProof/>
        </w:rPr>
      </w:pPr>
      <w:r w:rsidRPr="0054055A">
        <w:rPr>
          <w:rFonts w:ascii="David" w:hAnsi="David" w:cs="David"/>
          <w:noProof/>
          <w:rtl/>
        </w:rPr>
        <w:t>מקור: הנספח הסטטיסטי של דוח בנק ישראל</w:t>
      </w:r>
    </w:p>
    <w:p w:rsidR="001D143A" w:rsidRPr="0054055A" w:rsidRDefault="001D143A" w:rsidP="001D143A">
      <w:pPr>
        <w:spacing w:line="480" w:lineRule="auto"/>
        <w:jc w:val="center"/>
        <w:rPr>
          <w:rFonts w:ascii="David" w:hAnsi="David" w:cs="David"/>
          <w:b/>
          <w:bCs/>
          <w:sz w:val="24"/>
          <w:szCs w:val="24"/>
          <w:rtl/>
        </w:rPr>
      </w:pPr>
      <w:r w:rsidRPr="0054055A">
        <w:rPr>
          <w:rFonts w:ascii="David" w:hAnsi="David" w:cs="David"/>
          <w:b/>
          <w:bCs/>
          <w:sz w:val="24"/>
          <w:szCs w:val="24"/>
          <w:rtl/>
        </w:rPr>
        <w:t xml:space="preserve">תרשים 3 – החלטות יזומות על הטבות מס </w:t>
      </w:r>
      <w:r w:rsidRPr="0054055A">
        <w:rPr>
          <w:rFonts w:ascii="David" w:hAnsi="David" w:cs="David"/>
          <w:sz w:val="24"/>
          <w:szCs w:val="24"/>
          <w:rtl/>
        </w:rPr>
        <w:t>(1986=100)</w:t>
      </w:r>
    </w:p>
    <w:p w:rsidR="001D143A" w:rsidRPr="0054055A" w:rsidRDefault="001D143A" w:rsidP="001D143A">
      <w:pPr>
        <w:spacing w:line="480" w:lineRule="auto"/>
        <w:jc w:val="center"/>
        <w:rPr>
          <w:rFonts w:ascii="David" w:hAnsi="David" w:cs="David"/>
          <w:sz w:val="24"/>
          <w:szCs w:val="24"/>
          <w:rtl/>
        </w:rPr>
      </w:pPr>
      <w:r w:rsidRPr="0054055A">
        <w:rPr>
          <w:rFonts w:ascii="David" w:hAnsi="David" w:cs="David"/>
          <w:sz w:val="24"/>
          <w:szCs w:val="24"/>
          <w:rtl/>
        </w:rPr>
        <w:t>(האזורים המוצלים משקפים תקופות שפל)</w:t>
      </w:r>
    </w:p>
    <w:p w:rsidR="004E3C4B" w:rsidRPr="0054055A" w:rsidRDefault="004E3C4B" w:rsidP="001D143A">
      <w:pPr>
        <w:spacing w:line="480" w:lineRule="auto"/>
        <w:jc w:val="center"/>
        <w:rPr>
          <w:rFonts w:ascii="David" w:hAnsi="David" w:cs="David"/>
          <w:sz w:val="24"/>
          <w:szCs w:val="24"/>
        </w:rPr>
      </w:pPr>
      <w:bookmarkStart w:id="0" w:name="_GoBack"/>
      <w:r w:rsidRPr="0054055A">
        <w:rPr>
          <w:rFonts w:ascii="David" w:hAnsi="David" w:cs="David"/>
          <w:noProof/>
          <w:sz w:val="24"/>
          <w:szCs w:val="24"/>
        </w:rPr>
        <w:drawing>
          <wp:inline distT="0" distB="0" distL="0" distR="0" wp14:anchorId="4849931A" wp14:editId="74A51263">
            <wp:extent cx="5285740" cy="3213100"/>
            <wp:effectExtent l="0" t="0" r="0" b="6350"/>
            <wp:docPr id="4" name="תמונה 4" descr="תרשים 3 – החלטות יזומות על הטבות מס (1986=100)&#10;(האזורים המוצלים משקפים תקופות שפל)&#10;" title="תרשים 3 – החלטות יזומות על הטבות מס (198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5740" cy="3213100"/>
                    </a:xfrm>
                    <a:prstGeom prst="rect">
                      <a:avLst/>
                    </a:prstGeom>
                    <a:noFill/>
                  </pic:spPr>
                </pic:pic>
              </a:graphicData>
            </a:graphic>
          </wp:inline>
        </w:drawing>
      </w:r>
      <w:bookmarkEnd w:id="0"/>
    </w:p>
    <w:p w:rsidR="001D143A" w:rsidRPr="0054055A" w:rsidRDefault="00481A8A" w:rsidP="00D466D3">
      <w:pPr>
        <w:spacing w:line="480" w:lineRule="auto"/>
        <w:jc w:val="both"/>
        <w:rPr>
          <w:rFonts w:ascii="David" w:hAnsi="David" w:cs="David"/>
          <w:sz w:val="24"/>
          <w:szCs w:val="24"/>
          <w:rtl/>
        </w:rPr>
      </w:pPr>
      <w:r w:rsidRPr="0054055A">
        <w:rPr>
          <w:rFonts w:ascii="David" w:hAnsi="David" w:cs="David"/>
          <w:sz w:val="24"/>
          <w:szCs w:val="24"/>
          <w:rtl/>
        </w:rPr>
        <w:t xml:space="preserve"> </w:t>
      </w:r>
      <w:r w:rsidR="00510BC6" w:rsidRPr="0054055A">
        <w:rPr>
          <w:rFonts w:ascii="David" w:hAnsi="David" w:cs="David"/>
          <w:sz w:val="24"/>
          <w:szCs w:val="24"/>
          <w:rtl/>
        </w:rPr>
        <w:t>מקור: עיבודי המחבר על סמך דוחות של מנהל הכנסות המדינה.</w:t>
      </w:r>
    </w:p>
    <w:sectPr w:rsidR="001D143A" w:rsidRPr="0054055A" w:rsidSect="002911F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96" w:rsidRDefault="00A67596" w:rsidP="00886BEF">
      <w:pPr>
        <w:spacing w:after="0" w:line="240" w:lineRule="auto"/>
      </w:pPr>
      <w:r>
        <w:separator/>
      </w:r>
    </w:p>
  </w:endnote>
  <w:endnote w:type="continuationSeparator" w:id="0">
    <w:p w:rsidR="00A67596" w:rsidRDefault="00A67596" w:rsidP="0088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96" w:rsidRDefault="00A67596" w:rsidP="00886BEF">
      <w:pPr>
        <w:spacing w:after="0" w:line="240" w:lineRule="auto"/>
      </w:pPr>
      <w:r>
        <w:separator/>
      </w:r>
    </w:p>
  </w:footnote>
  <w:footnote w:type="continuationSeparator" w:id="0">
    <w:p w:rsidR="00A67596" w:rsidRDefault="00A67596" w:rsidP="00886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9115B"/>
    <w:multiLevelType w:val="hybridMultilevel"/>
    <w:tmpl w:val="1188E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D3"/>
    <w:rsid w:val="00085F60"/>
    <w:rsid w:val="000A1367"/>
    <w:rsid w:val="000A7BDE"/>
    <w:rsid w:val="00140CCC"/>
    <w:rsid w:val="001C508D"/>
    <w:rsid w:val="001D143A"/>
    <w:rsid w:val="00207F56"/>
    <w:rsid w:val="0023478A"/>
    <w:rsid w:val="002911F6"/>
    <w:rsid w:val="002C3329"/>
    <w:rsid w:val="002C6E84"/>
    <w:rsid w:val="0033261B"/>
    <w:rsid w:val="00342571"/>
    <w:rsid w:val="00361750"/>
    <w:rsid w:val="003A59EE"/>
    <w:rsid w:val="00444DDA"/>
    <w:rsid w:val="00481A8A"/>
    <w:rsid w:val="0048429A"/>
    <w:rsid w:val="004D3B81"/>
    <w:rsid w:val="004E2514"/>
    <w:rsid w:val="004E3C4B"/>
    <w:rsid w:val="004E4C3D"/>
    <w:rsid w:val="004F788C"/>
    <w:rsid w:val="00510BC6"/>
    <w:rsid w:val="0054055A"/>
    <w:rsid w:val="005C0B57"/>
    <w:rsid w:val="005C4DEB"/>
    <w:rsid w:val="006447FE"/>
    <w:rsid w:val="00650594"/>
    <w:rsid w:val="00652843"/>
    <w:rsid w:val="006F7C43"/>
    <w:rsid w:val="007C48D4"/>
    <w:rsid w:val="008755C4"/>
    <w:rsid w:val="008831DE"/>
    <w:rsid w:val="00886BEF"/>
    <w:rsid w:val="008A6C3E"/>
    <w:rsid w:val="008B40A4"/>
    <w:rsid w:val="00911585"/>
    <w:rsid w:val="00913B45"/>
    <w:rsid w:val="009216AC"/>
    <w:rsid w:val="00950ABB"/>
    <w:rsid w:val="00961C82"/>
    <w:rsid w:val="00981C3C"/>
    <w:rsid w:val="00997034"/>
    <w:rsid w:val="009B75B4"/>
    <w:rsid w:val="00A312D3"/>
    <w:rsid w:val="00A67596"/>
    <w:rsid w:val="00A87D37"/>
    <w:rsid w:val="00AB0667"/>
    <w:rsid w:val="00B04D53"/>
    <w:rsid w:val="00B84EDA"/>
    <w:rsid w:val="00BC23F0"/>
    <w:rsid w:val="00C121B3"/>
    <w:rsid w:val="00C2757F"/>
    <w:rsid w:val="00C40663"/>
    <w:rsid w:val="00CA5F82"/>
    <w:rsid w:val="00D17BBF"/>
    <w:rsid w:val="00D26C35"/>
    <w:rsid w:val="00D466D3"/>
    <w:rsid w:val="00D645FB"/>
    <w:rsid w:val="00DF6492"/>
    <w:rsid w:val="00E1059A"/>
    <w:rsid w:val="00E51FBF"/>
    <w:rsid w:val="00E605EB"/>
    <w:rsid w:val="00E84D74"/>
    <w:rsid w:val="00EA2C38"/>
    <w:rsid w:val="00EB006D"/>
    <w:rsid w:val="00ED6A04"/>
    <w:rsid w:val="00EF58E1"/>
    <w:rsid w:val="00F329DE"/>
    <w:rsid w:val="00F4064E"/>
    <w:rsid w:val="00F4686C"/>
    <w:rsid w:val="00F60402"/>
    <w:rsid w:val="00F855B1"/>
    <w:rsid w:val="00F934DF"/>
    <w:rsid w:val="00FA003B"/>
    <w:rsid w:val="00FF08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B75B4"/>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3">
    <w:name w:val="header"/>
    <w:basedOn w:val="a"/>
    <w:link w:val="a4"/>
    <w:uiPriority w:val="99"/>
    <w:unhideWhenUsed/>
    <w:rsid w:val="00886BEF"/>
    <w:pPr>
      <w:tabs>
        <w:tab w:val="center" w:pos="4153"/>
        <w:tab w:val="right" w:pos="8306"/>
      </w:tabs>
      <w:spacing w:after="0" w:line="240" w:lineRule="auto"/>
    </w:pPr>
  </w:style>
  <w:style w:type="character" w:customStyle="1" w:styleId="a4">
    <w:name w:val="כותרת עליונה תו"/>
    <w:basedOn w:val="a0"/>
    <w:link w:val="a3"/>
    <w:uiPriority w:val="99"/>
    <w:rsid w:val="00886BEF"/>
  </w:style>
  <w:style w:type="paragraph" w:styleId="a5">
    <w:name w:val="footer"/>
    <w:basedOn w:val="a"/>
    <w:link w:val="a6"/>
    <w:uiPriority w:val="99"/>
    <w:unhideWhenUsed/>
    <w:rsid w:val="00886BEF"/>
    <w:pPr>
      <w:tabs>
        <w:tab w:val="center" w:pos="4153"/>
        <w:tab w:val="right" w:pos="8306"/>
      </w:tabs>
      <w:spacing w:after="0" w:line="240" w:lineRule="auto"/>
    </w:pPr>
  </w:style>
  <w:style w:type="character" w:customStyle="1" w:styleId="a6">
    <w:name w:val="כותרת תחתונה תו"/>
    <w:basedOn w:val="a0"/>
    <w:link w:val="a5"/>
    <w:uiPriority w:val="99"/>
    <w:rsid w:val="00886BEF"/>
  </w:style>
  <w:style w:type="paragraph" w:styleId="a7">
    <w:name w:val="Balloon Text"/>
    <w:basedOn w:val="a"/>
    <w:link w:val="a8"/>
    <w:uiPriority w:val="99"/>
    <w:semiHidden/>
    <w:unhideWhenUsed/>
    <w:rsid w:val="0023478A"/>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23478A"/>
    <w:rPr>
      <w:rFonts w:ascii="Tahoma" w:hAnsi="Tahoma" w:cs="Tahoma"/>
      <w:sz w:val="18"/>
      <w:szCs w:val="18"/>
    </w:rPr>
  </w:style>
  <w:style w:type="paragraph" w:styleId="a9">
    <w:name w:val="List Paragraph"/>
    <w:basedOn w:val="a"/>
    <w:uiPriority w:val="34"/>
    <w:qFormat/>
    <w:rsid w:val="0023478A"/>
    <w:pPr>
      <w:ind w:left="720"/>
      <w:contextualSpacing/>
    </w:pPr>
  </w:style>
  <w:style w:type="character" w:styleId="aa">
    <w:name w:val="annotation reference"/>
    <w:basedOn w:val="a0"/>
    <w:uiPriority w:val="99"/>
    <w:semiHidden/>
    <w:unhideWhenUsed/>
    <w:rsid w:val="0023478A"/>
    <w:rPr>
      <w:sz w:val="16"/>
      <w:szCs w:val="16"/>
    </w:rPr>
  </w:style>
  <w:style w:type="paragraph" w:styleId="ab">
    <w:name w:val="annotation text"/>
    <w:basedOn w:val="a"/>
    <w:link w:val="ac"/>
    <w:uiPriority w:val="99"/>
    <w:semiHidden/>
    <w:unhideWhenUsed/>
    <w:rsid w:val="0023478A"/>
    <w:pPr>
      <w:spacing w:line="240" w:lineRule="auto"/>
    </w:pPr>
    <w:rPr>
      <w:sz w:val="20"/>
      <w:szCs w:val="20"/>
    </w:rPr>
  </w:style>
  <w:style w:type="character" w:customStyle="1" w:styleId="ac">
    <w:name w:val="טקסט הערה תו"/>
    <w:basedOn w:val="a0"/>
    <w:link w:val="ab"/>
    <w:uiPriority w:val="99"/>
    <w:semiHidden/>
    <w:rsid w:val="0023478A"/>
    <w:rPr>
      <w:sz w:val="20"/>
      <w:szCs w:val="20"/>
    </w:rPr>
  </w:style>
  <w:style w:type="paragraph" w:styleId="ad">
    <w:name w:val="annotation subject"/>
    <w:basedOn w:val="ab"/>
    <w:next w:val="ab"/>
    <w:link w:val="ae"/>
    <w:uiPriority w:val="99"/>
    <w:semiHidden/>
    <w:unhideWhenUsed/>
    <w:rsid w:val="0023478A"/>
    <w:rPr>
      <w:b/>
      <w:bCs/>
    </w:rPr>
  </w:style>
  <w:style w:type="character" w:customStyle="1" w:styleId="ae">
    <w:name w:val="נושא הערה תו"/>
    <w:basedOn w:val="ac"/>
    <w:link w:val="ad"/>
    <w:uiPriority w:val="99"/>
    <w:semiHidden/>
    <w:rsid w:val="0023478A"/>
    <w:rPr>
      <w:b/>
      <w:bCs/>
      <w:sz w:val="20"/>
      <w:szCs w:val="20"/>
    </w:rPr>
  </w:style>
  <w:style w:type="paragraph" w:styleId="af">
    <w:name w:val="Revision"/>
    <w:hidden/>
    <w:uiPriority w:val="99"/>
    <w:semiHidden/>
    <w:rsid w:val="00F32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B2C8B-F0DF-4951-A31A-773C677D82CD}"/>
</file>

<file path=customXml/itemProps2.xml><?xml version="1.0" encoding="utf-8"?>
<ds:datastoreItem xmlns:ds="http://schemas.openxmlformats.org/officeDocument/2006/customXml" ds:itemID="{2A0110AA-D31B-467F-9C39-4F6A2E71609B}"/>
</file>

<file path=customXml/itemProps3.xml><?xml version="1.0" encoding="utf-8"?>
<ds:datastoreItem xmlns:ds="http://schemas.openxmlformats.org/officeDocument/2006/customXml" ds:itemID="{B15E04FA-20D3-4AD1-BCAF-9E6B48F7AD44}"/>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1583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2022-01-12T08:12:00Z</dcterms:created>
  <dcterms:modified xsi:type="dcterms:W3CDTF">2022-01-12T08:25:00Z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