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8B7593" w:rsidRPr="00E15339" w:rsidTr="00C77ADA">
        <w:trPr>
          <w:cantSplit/>
        </w:trPr>
        <w:tc>
          <w:tcPr>
            <w:tcW w:w="3392" w:type="dxa"/>
            <w:tcBorders>
              <w:top w:val="nil"/>
              <w:left w:val="nil"/>
              <w:bottom w:val="nil"/>
              <w:right w:val="nil"/>
            </w:tcBorders>
            <w:vAlign w:val="center"/>
          </w:tcPr>
          <w:p w:rsidR="008B7593" w:rsidRPr="00E15339" w:rsidRDefault="008B7593" w:rsidP="00C77ADA">
            <w:pPr>
              <w:tabs>
                <w:tab w:val="left" w:pos="567"/>
                <w:tab w:val="left" w:pos="1134"/>
                <w:tab w:val="left" w:pos="1814"/>
                <w:tab w:val="left" w:pos="2665"/>
              </w:tabs>
              <w:spacing w:line="360" w:lineRule="auto"/>
              <w:jc w:val="center"/>
              <w:rPr>
                <w:rFonts w:ascii="David" w:hAnsi="David" w:cs="David"/>
                <w:b/>
                <w:bCs/>
                <w:sz w:val="24"/>
              </w:rPr>
            </w:pPr>
            <w:r w:rsidRPr="00E15339">
              <w:rPr>
                <w:rFonts w:ascii="David" w:hAnsi="David" w:cs="David"/>
                <w:b/>
                <w:bCs/>
                <w:sz w:val="24"/>
                <w:rtl/>
              </w:rPr>
              <w:t>בנק ישראל</w:t>
            </w:r>
          </w:p>
          <w:p w:rsidR="008B7593" w:rsidRPr="00E15339" w:rsidRDefault="008B7593" w:rsidP="00C77ADA">
            <w:pPr>
              <w:tabs>
                <w:tab w:val="left" w:pos="567"/>
                <w:tab w:val="left" w:pos="1134"/>
                <w:tab w:val="left" w:pos="1814"/>
                <w:tab w:val="left" w:pos="2665"/>
              </w:tabs>
              <w:spacing w:line="360" w:lineRule="auto"/>
              <w:ind w:right="-101"/>
              <w:jc w:val="center"/>
              <w:rPr>
                <w:rFonts w:ascii="David" w:hAnsi="David" w:cs="David"/>
                <w:sz w:val="24"/>
              </w:rPr>
            </w:pPr>
            <w:r w:rsidRPr="00E15339">
              <w:rPr>
                <w:rFonts w:ascii="David" w:hAnsi="David" w:cs="David"/>
                <w:sz w:val="24"/>
                <w:rtl/>
              </w:rPr>
              <w:t>דוברות והסברה כלכלית</w:t>
            </w:r>
          </w:p>
        </w:tc>
        <w:tc>
          <w:tcPr>
            <w:tcW w:w="2596" w:type="dxa"/>
            <w:tcBorders>
              <w:top w:val="nil"/>
              <w:left w:val="nil"/>
              <w:bottom w:val="nil"/>
              <w:right w:val="nil"/>
            </w:tcBorders>
          </w:tcPr>
          <w:p w:rsidR="008B7593" w:rsidRPr="00E15339" w:rsidRDefault="008B7593" w:rsidP="00C77ADA">
            <w:pPr>
              <w:tabs>
                <w:tab w:val="left" w:pos="567"/>
                <w:tab w:val="left" w:pos="1134"/>
                <w:tab w:val="left" w:pos="1814"/>
                <w:tab w:val="left" w:pos="2665"/>
              </w:tabs>
              <w:spacing w:line="360" w:lineRule="auto"/>
              <w:jc w:val="center"/>
              <w:rPr>
                <w:rFonts w:ascii="David" w:hAnsi="David" w:cs="David"/>
                <w:sz w:val="24"/>
              </w:rPr>
            </w:pPr>
            <w:r w:rsidRPr="00E15339">
              <w:rPr>
                <w:rFonts w:ascii="David" w:hAnsi="David" w:cs="David"/>
                <w:noProof/>
                <w:sz w:val="24"/>
              </w:rPr>
              <w:drawing>
                <wp:inline distT="0" distB="0" distL="0" distR="0" wp14:anchorId="6F95A4C3" wp14:editId="5ADEB8F6">
                  <wp:extent cx="975360" cy="975360"/>
                  <wp:effectExtent l="0" t="0" r="0" b="0"/>
                  <wp:docPr id="3"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8B7593" w:rsidRPr="00E15339" w:rsidRDefault="008B7593" w:rsidP="008B7593">
            <w:pPr>
              <w:tabs>
                <w:tab w:val="left" w:pos="567"/>
                <w:tab w:val="left" w:pos="1134"/>
                <w:tab w:val="left" w:pos="1814"/>
                <w:tab w:val="left" w:pos="2665"/>
              </w:tabs>
              <w:spacing w:line="480" w:lineRule="auto"/>
              <w:jc w:val="right"/>
              <w:rPr>
                <w:rFonts w:ascii="David" w:hAnsi="David" w:cs="David"/>
                <w:sz w:val="24"/>
                <w:rtl/>
              </w:rPr>
            </w:pPr>
            <w:r w:rsidRPr="00E15339">
              <w:rPr>
                <w:rFonts w:ascii="David" w:hAnsi="David" w:cs="David"/>
                <w:sz w:val="24"/>
                <w:rtl/>
              </w:rPr>
              <w:t xml:space="preserve">‏ירושלים, </w:t>
            </w:r>
            <w:r w:rsidRPr="00E15339">
              <w:rPr>
                <w:rFonts w:ascii="David" w:hAnsi="David" w:cs="David" w:hint="cs"/>
                <w:sz w:val="24"/>
                <w:rtl/>
              </w:rPr>
              <w:t>כ"</w:t>
            </w:r>
            <w:r>
              <w:rPr>
                <w:rFonts w:ascii="David" w:hAnsi="David" w:cs="David" w:hint="cs"/>
                <w:sz w:val="24"/>
                <w:rtl/>
              </w:rPr>
              <w:t>ב</w:t>
            </w:r>
            <w:r w:rsidRPr="00E15339">
              <w:rPr>
                <w:rFonts w:ascii="David" w:hAnsi="David" w:cs="David" w:hint="cs"/>
                <w:sz w:val="24"/>
                <w:rtl/>
              </w:rPr>
              <w:t xml:space="preserve"> בחשוון</w:t>
            </w:r>
            <w:r w:rsidRPr="00E15339">
              <w:rPr>
                <w:rFonts w:ascii="David" w:hAnsi="David" w:cs="David"/>
                <w:sz w:val="24"/>
                <w:rtl/>
              </w:rPr>
              <w:t xml:space="preserve"> תשפ"ג</w:t>
            </w:r>
          </w:p>
          <w:p w:rsidR="008B7593" w:rsidRPr="00E15339" w:rsidRDefault="008B7593" w:rsidP="008B7593">
            <w:pPr>
              <w:tabs>
                <w:tab w:val="left" w:pos="567"/>
                <w:tab w:val="left" w:pos="1134"/>
                <w:tab w:val="left" w:pos="1814"/>
                <w:tab w:val="left" w:pos="2665"/>
              </w:tabs>
              <w:spacing w:line="480" w:lineRule="auto"/>
              <w:jc w:val="right"/>
              <w:rPr>
                <w:rFonts w:ascii="David" w:hAnsi="David" w:cs="David"/>
                <w:sz w:val="24"/>
              </w:rPr>
            </w:pPr>
            <w:r w:rsidRPr="00E15339">
              <w:rPr>
                <w:rFonts w:ascii="David" w:hAnsi="David" w:cs="David"/>
                <w:sz w:val="24"/>
                <w:rtl/>
              </w:rPr>
              <w:t>‏‏‏‏‏</w:t>
            </w:r>
            <w:r w:rsidRPr="00E15339">
              <w:rPr>
                <w:rFonts w:ascii="David" w:hAnsi="David" w:cs="David" w:hint="cs"/>
                <w:sz w:val="24"/>
                <w:rtl/>
              </w:rPr>
              <w:t>1</w:t>
            </w:r>
            <w:r>
              <w:rPr>
                <w:rFonts w:ascii="David" w:hAnsi="David" w:cs="David" w:hint="cs"/>
                <w:sz w:val="24"/>
                <w:rtl/>
              </w:rPr>
              <w:t>6</w:t>
            </w:r>
            <w:r w:rsidRPr="00E15339">
              <w:rPr>
                <w:rFonts w:ascii="David" w:hAnsi="David" w:cs="David" w:hint="cs"/>
                <w:sz w:val="24"/>
                <w:rtl/>
              </w:rPr>
              <w:t xml:space="preserve"> בנובמבר</w:t>
            </w:r>
            <w:r w:rsidRPr="00E15339">
              <w:rPr>
                <w:rFonts w:ascii="David" w:hAnsi="David" w:cs="David"/>
                <w:sz w:val="24"/>
                <w:rtl/>
              </w:rPr>
              <w:t>, 2022</w:t>
            </w:r>
          </w:p>
        </w:tc>
      </w:tr>
    </w:tbl>
    <w:p w:rsidR="008B7593" w:rsidRPr="00E15339" w:rsidRDefault="008B7593" w:rsidP="008B7593">
      <w:pPr>
        <w:tabs>
          <w:tab w:val="left" w:pos="567"/>
          <w:tab w:val="left" w:pos="1134"/>
          <w:tab w:val="left" w:pos="1814"/>
          <w:tab w:val="left" w:pos="2665"/>
        </w:tabs>
        <w:spacing w:line="360" w:lineRule="auto"/>
        <w:jc w:val="both"/>
        <w:rPr>
          <w:rFonts w:cs="David"/>
          <w:sz w:val="24"/>
          <w:rtl/>
        </w:rPr>
      </w:pPr>
    </w:p>
    <w:p w:rsidR="008B7593" w:rsidRPr="002A3683" w:rsidRDefault="008B7593" w:rsidP="008B7593">
      <w:pPr>
        <w:tabs>
          <w:tab w:val="left" w:pos="567"/>
          <w:tab w:val="left" w:pos="1134"/>
          <w:tab w:val="left" w:pos="1814"/>
          <w:tab w:val="left" w:pos="2665"/>
        </w:tabs>
        <w:spacing w:line="360" w:lineRule="auto"/>
        <w:rPr>
          <w:rStyle w:val="ad"/>
          <w:b w:val="0"/>
          <w:bCs w:val="0"/>
          <w:rtl/>
        </w:rPr>
      </w:pPr>
      <w:r w:rsidRPr="002A3683">
        <w:rPr>
          <w:rFonts w:ascii="David" w:hAnsi="David" w:cs="David"/>
          <w:sz w:val="24"/>
          <w:szCs w:val="24"/>
          <w:rtl/>
        </w:rPr>
        <w:t>הודעה לעיתונות</w:t>
      </w:r>
      <w:r w:rsidRPr="002A3683">
        <w:rPr>
          <w:rFonts w:ascii="David" w:hAnsi="David" w:cs="David"/>
          <w:sz w:val="24"/>
          <w:szCs w:val="24"/>
          <w:rtl/>
        </w:rPr>
        <w:t>:</w:t>
      </w:r>
    </w:p>
    <w:p w:rsidR="00E22D7A" w:rsidRPr="002A3683" w:rsidRDefault="00E22D7A" w:rsidP="008B7593">
      <w:pPr>
        <w:tabs>
          <w:tab w:val="left" w:pos="567"/>
          <w:tab w:val="left" w:pos="1134"/>
          <w:tab w:val="left" w:pos="1814"/>
          <w:tab w:val="left" w:pos="2665"/>
        </w:tabs>
        <w:spacing w:line="360" w:lineRule="auto"/>
        <w:jc w:val="center"/>
        <w:rPr>
          <w:rStyle w:val="ad"/>
          <w:b w:val="0"/>
          <w:bCs w:val="0"/>
          <w:rtl/>
        </w:rPr>
      </w:pPr>
      <w:r w:rsidRPr="002A3683">
        <w:rPr>
          <w:rStyle w:val="ad"/>
          <w:rtl/>
        </w:rPr>
        <w:t>סקירת המפקח על הבנקים למחצית הראשונה של שנת 2022</w:t>
      </w:r>
    </w:p>
    <w:p w:rsidR="00FC6B2E" w:rsidRPr="002A3683" w:rsidRDefault="00E22D7A" w:rsidP="004561DE">
      <w:pPr>
        <w:spacing w:line="360" w:lineRule="auto"/>
        <w:jc w:val="both"/>
        <w:rPr>
          <w:rFonts w:ascii="David" w:hAnsi="David" w:cs="David"/>
          <w:sz w:val="24"/>
          <w:szCs w:val="24"/>
          <w:rtl/>
        </w:rPr>
      </w:pPr>
      <w:r w:rsidRPr="002A3683">
        <w:rPr>
          <w:rFonts w:ascii="David" w:hAnsi="David" w:cs="David"/>
          <w:noProof/>
          <w:sz w:val="24"/>
          <w:szCs w:val="24"/>
          <w:rtl/>
        </w:rPr>
        <w:t xml:space="preserve">בנק ישראל מפרסם היום את סקירת מערכת הבנקאות בישראל למחצית הראשונה של שנת 2022. </w:t>
      </w:r>
      <w:r w:rsidRPr="002A3683">
        <w:rPr>
          <w:rFonts w:ascii="David" w:hAnsi="David" w:cs="David"/>
          <w:sz w:val="24"/>
          <w:szCs w:val="24"/>
          <w:rtl/>
        </w:rPr>
        <w:t xml:space="preserve">הכלכלה העולמית לרבות המערכות הפיננסיות מתמודדות עם שורת אתגרים שהתעוררו לאחר משבר הקורונה, ושהתעצמו בעקבות מלחמת רוסיה – אוקראינה. השיבושים בשרשראות האספקה, הביאו לעליית מחירי הסחורות בכל העולם, והאינפלציה החלה לעלות לרמות שלא נראו בעשור האחרון. בתגובה לעליית סביבת האינפלציה, בנקים מרכזיים בעולם, ובזה גם בנק ישראל, החלו תהליך של </w:t>
      </w:r>
      <w:r w:rsidR="00FC6B2E" w:rsidRPr="002A3683">
        <w:rPr>
          <w:rFonts w:ascii="David" w:hAnsi="David" w:cs="David"/>
          <w:sz w:val="24"/>
          <w:szCs w:val="24"/>
          <w:rtl/>
        </w:rPr>
        <w:t>צמצום הדרגתי במדיניות המוניטרית והעלאת הריביות</w:t>
      </w:r>
      <w:r w:rsidRPr="002A3683">
        <w:rPr>
          <w:rFonts w:ascii="David" w:hAnsi="David" w:cs="David"/>
          <w:sz w:val="24"/>
          <w:szCs w:val="24"/>
          <w:rtl/>
        </w:rPr>
        <w:t xml:space="preserve">. </w:t>
      </w:r>
    </w:p>
    <w:p w:rsidR="00FC6B2E" w:rsidRPr="002A3683" w:rsidRDefault="00FC6B2E" w:rsidP="004561DE">
      <w:pPr>
        <w:spacing w:line="360" w:lineRule="auto"/>
        <w:jc w:val="both"/>
        <w:rPr>
          <w:rFonts w:ascii="David" w:hAnsi="David" w:cs="David"/>
          <w:sz w:val="24"/>
          <w:szCs w:val="24"/>
          <w:rtl/>
        </w:rPr>
      </w:pPr>
      <w:r w:rsidRPr="002A3683">
        <w:rPr>
          <w:rFonts w:ascii="David" w:hAnsi="David" w:cs="David"/>
          <w:sz w:val="24"/>
          <w:szCs w:val="24"/>
          <w:rtl/>
        </w:rPr>
        <w:t>תוצאות הבנקים כפי שמשתקפות בדו"חות הכספיים מציגים תמונת מצב חיובית – תשואות להון גבוהות, שיפור ביחסי היעילות, יחסי הון ונזילות נאותים, צמיחה בפעילות ואיכות אשראי טובה. עלי</w:t>
      </w:r>
      <w:r w:rsidR="00FF4580" w:rsidRPr="002A3683">
        <w:rPr>
          <w:rFonts w:ascii="David" w:hAnsi="David" w:cs="David"/>
          <w:sz w:val="24"/>
          <w:szCs w:val="24"/>
          <w:rtl/>
        </w:rPr>
        <w:t>י</w:t>
      </w:r>
      <w:r w:rsidRPr="002A3683">
        <w:rPr>
          <w:rFonts w:ascii="David" w:hAnsi="David" w:cs="David"/>
          <w:sz w:val="24"/>
          <w:szCs w:val="24"/>
          <w:rtl/>
        </w:rPr>
        <w:t xml:space="preserve">ת הריבית והאינפלציה מטיבה עם הבנקים בטווח הקצר, נוכח עליה בהכנסות הריבית, מה שהשפיע בין היתר על התשואה להון שרשמה מערכת הבנקאות בתום המחצית הראשונה לשנת 2022 ועמדה על 15.8%. עם זאת, במבט צופה פני עתיד, ישנה אי-ודאות לגבי המשך ההתפתחויות הכלכליות, שעלולות להשפיע לרעה בהמשך </w:t>
      </w:r>
      <w:r w:rsidR="00FF4580" w:rsidRPr="002A3683">
        <w:rPr>
          <w:rFonts w:ascii="David" w:hAnsi="David" w:cs="David"/>
          <w:sz w:val="24"/>
          <w:szCs w:val="24"/>
          <w:rtl/>
        </w:rPr>
        <w:t xml:space="preserve">גם </w:t>
      </w:r>
      <w:r w:rsidRPr="002A3683">
        <w:rPr>
          <w:rFonts w:ascii="David" w:hAnsi="David" w:cs="David"/>
          <w:sz w:val="24"/>
          <w:szCs w:val="24"/>
          <w:rtl/>
        </w:rPr>
        <w:t xml:space="preserve">על רווחיות מערכת הבנקאות בשל חשש לפגיעה באיכות האשראי נוכח פגיעה ביכולת הלווים להמשיך ולעמוד בהחזרי הלוואותיהם. על רקע האמור, נדגיש כי כלל הבנקים במערכת שומרים על יחסי הון גבוהים מדרישות ההון המזעריות שקבע הפיקוח על הבנקים. </w:t>
      </w:r>
    </w:p>
    <w:p w:rsidR="006C71EA" w:rsidRPr="002A3683" w:rsidRDefault="008E01CF" w:rsidP="004561DE">
      <w:pPr>
        <w:spacing w:line="360" w:lineRule="auto"/>
        <w:jc w:val="both"/>
        <w:rPr>
          <w:rFonts w:ascii="David" w:hAnsi="David" w:cs="David"/>
          <w:sz w:val="24"/>
          <w:szCs w:val="24"/>
          <w:rtl/>
        </w:rPr>
      </w:pPr>
      <w:r w:rsidRPr="002A3683">
        <w:rPr>
          <w:rFonts w:ascii="David" w:hAnsi="David" w:cs="David"/>
          <w:sz w:val="24"/>
          <w:szCs w:val="24"/>
          <w:rtl/>
        </w:rPr>
        <w:t xml:space="preserve">בצד חסכונות הציבור, עליית ריבית בנק ישראל תורגמה גם לעליה </w:t>
      </w:r>
      <w:proofErr w:type="spellStart"/>
      <w:r w:rsidR="006C71EA" w:rsidRPr="002A3683">
        <w:rPr>
          <w:rFonts w:ascii="David" w:hAnsi="David" w:cs="David"/>
          <w:sz w:val="24"/>
          <w:szCs w:val="24"/>
          <w:rtl/>
        </w:rPr>
        <w:t>מסויימת</w:t>
      </w:r>
      <w:proofErr w:type="spellEnd"/>
      <w:r w:rsidR="006C71EA" w:rsidRPr="002A3683">
        <w:rPr>
          <w:rFonts w:ascii="David" w:hAnsi="David" w:cs="David"/>
          <w:sz w:val="24"/>
          <w:szCs w:val="24"/>
          <w:rtl/>
        </w:rPr>
        <w:t xml:space="preserve"> </w:t>
      </w:r>
      <w:r w:rsidRPr="002A3683">
        <w:rPr>
          <w:rFonts w:ascii="David" w:hAnsi="David" w:cs="David"/>
          <w:sz w:val="24"/>
          <w:szCs w:val="24"/>
          <w:rtl/>
        </w:rPr>
        <w:t>בריבית על פיקדונות הציבור</w:t>
      </w:r>
      <w:r w:rsidR="00ED2963" w:rsidRPr="002A3683">
        <w:rPr>
          <w:rFonts w:ascii="David" w:hAnsi="David" w:cs="David"/>
          <w:sz w:val="24"/>
          <w:szCs w:val="24"/>
          <w:rtl/>
        </w:rPr>
        <w:t xml:space="preserve">, עליה המסבירה בחלקה את בחירת </w:t>
      </w:r>
      <w:r w:rsidRPr="002A3683">
        <w:rPr>
          <w:rFonts w:ascii="David" w:hAnsi="David" w:cs="David"/>
          <w:sz w:val="24"/>
          <w:szCs w:val="24"/>
          <w:rtl/>
        </w:rPr>
        <w:t>משקי הבית בתקופה זו להעביר חלק הולך וגדל מכספיהם שהופקדו בחשבונות העו"ש (שאינם נושאי ריבית), לפיקדונות הנושאי ריבית.</w:t>
      </w:r>
      <w:r w:rsidR="006C71EA" w:rsidRPr="002A3683">
        <w:rPr>
          <w:rFonts w:ascii="David" w:hAnsi="David" w:cs="David"/>
          <w:sz w:val="24"/>
          <w:szCs w:val="24"/>
          <w:rtl/>
        </w:rPr>
        <w:t xml:space="preserve"> משכך, ובהמשך לרפורמות השונות שהוביל בנק ישראל בתקופה האחרונה במטרה להגביר את השקיפות ולחזק את כוחו של הלקוח, החל בנק </w:t>
      </w:r>
      <w:r w:rsidR="00ED2963" w:rsidRPr="002A3683">
        <w:rPr>
          <w:rFonts w:ascii="David" w:hAnsi="David" w:cs="David"/>
          <w:sz w:val="24"/>
          <w:szCs w:val="24"/>
          <w:rtl/>
        </w:rPr>
        <w:t xml:space="preserve">ישראל </w:t>
      </w:r>
      <w:r w:rsidR="006C71EA" w:rsidRPr="002A3683">
        <w:rPr>
          <w:rFonts w:ascii="David" w:hAnsi="David" w:cs="David"/>
          <w:sz w:val="24"/>
          <w:szCs w:val="24"/>
          <w:rtl/>
        </w:rPr>
        <w:t xml:space="preserve">לפרסם את שיעורי הריבית המשולמים בפועל על-ידי כל אחד מהבנקים בעד פיקדונות </w:t>
      </w:r>
      <w:proofErr w:type="spellStart"/>
      <w:r w:rsidR="006C71EA" w:rsidRPr="002A3683">
        <w:rPr>
          <w:rFonts w:ascii="David" w:hAnsi="David" w:cs="David"/>
          <w:sz w:val="24"/>
          <w:szCs w:val="24"/>
          <w:rtl/>
        </w:rPr>
        <w:t>שקליים</w:t>
      </w:r>
      <w:proofErr w:type="spellEnd"/>
      <w:r w:rsidR="006C71EA" w:rsidRPr="002A3683">
        <w:rPr>
          <w:rFonts w:ascii="David" w:hAnsi="David" w:cs="David"/>
          <w:sz w:val="24"/>
          <w:szCs w:val="24"/>
          <w:rtl/>
        </w:rPr>
        <w:t xml:space="preserve">, </w:t>
      </w:r>
      <w:r w:rsidR="00032784" w:rsidRPr="002A3683">
        <w:rPr>
          <w:rFonts w:ascii="David" w:hAnsi="David" w:cs="David"/>
          <w:sz w:val="24"/>
          <w:szCs w:val="24"/>
          <w:rtl/>
        </w:rPr>
        <w:t xml:space="preserve">ואת שיעור הריבית על אשראי לזמן קצוב בריבית משתנה למשקי הבית, </w:t>
      </w:r>
      <w:r w:rsidR="006C71EA" w:rsidRPr="002A3683">
        <w:rPr>
          <w:rFonts w:ascii="David" w:hAnsi="David" w:cs="David"/>
          <w:sz w:val="24"/>
          <w:szCs w:val="24"/>
          <w:rtl/>
        </w:rPr>
        <w:t xml:space="preserve">זאת כדי לתת ללקוחות כלי פשוט שיסייע להם להעריך את כדאיות התנאים המוצעים להם בבנקים השונים. </w:t>
      </w:r>
      <w:r w:rsidR="00FC6B2E" w:rsidRPr="002A3683">
        <w:rPr>
          <w:rFonts w:ascii="David" w:hAnsi="David" w:cs="David"/>
          <w:sz w:val="24"/>
          <w:szCs w:val="24"/>
          <w:rtl/>
        </w:rPr>
        <w:t>נדגיש, כי התנהלות פיננסית נבונה של משקי הבית, בה בחינת המוצרים המתאימים להם והשוואת הצעות ומחירים, יש בה בכדי להגדיל את כוח המיקוח שלהם ובכך לשפר גם את הריבית על פי</w:t>
      </w:r>
      <w:bookmarkStart w:id="0" w:name="_GoBack"/>
      <w:bookmarkEnd w:id="0"/>
      <w:r w:rsidR="00FC6B2E" w:rsidRPr="002A3683">
        <w:rPr>
          <w:rFonts w:ascii="David" w:hAnsi="David" w:cs="David"/>
          <w:sz w:val="24"/>
          <w:szCs w:val="24"/>
          <w:rtl/>
        </w:rPr>
        <w:t xml:space="preserve">קדונותיהם. (הרחבה על נושא זה מצויה בתיבה </w:t>
      </w:r>
      <w:proofErr w:type="spellStart"/>
      <w:r w:rsidR="00FC6B2E" w:rsidRPr="002A3683">
        <w:rPr>
          <w:rFonts w:ascii="David" w:hAnsi="David" w:cs="David"/>
          <w:sz w:val="24"/>
          <w:szCs w:val="24"/>
          <w:rtl/>
        </w:rPr>
        <w:t>יעודית</w:t>
      </w:r>
      <w:proofErr w:type="spellEnd"/>
      <w:r w:rsidR="00FC6B2E" w:rsidRPr="002A3683">
        <w:rPr>
          <w:rFonts w:ascii="David" w:hAnsi="David" w:cs="David"/>
          <w:sz w:val="24"/>
          <w:szCs w:val="24"/>
          <w:rtl/>
        </w:rPr>
        <w:t xml:space="preserve"> בסקירה)</w:t>
      </w:r>
      <w:r w:rsidR="00F47C86" w:rsidRPr="002A3683">
        <w:rPr>
          <w:rFonts w:ascii="David" w:hAnsi="David" w:cs="David"/>
          <w:sz w:val="24"/>
          <w:szCs w:val="24"/>
          <w:rtl/>
        </w:rPr>
        <w:t>.</w:t>
      </w:r>
    </w:p>
    <w:sectPr w:rsidR="006C71EA" w:rsidRPr="002A3683" w:rsidSect="005621B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18" w:rsidRDefault="00361318" w:rsidP="00AC1984">
      <w:pPr>
        <w:spacing w:after="0" w:line="240" w:lineRule="auto"/>
      </w:pPr>
      <w:r>
        <w:separator/>
      </w:r>
    </w:p>
  </w:endnote>
  <w:endnote w:type="continuationSeparator" w:id="0">
    <w:p w:rsidR="00361318" w:rsidRDefault="00361318" w:rsidP="00AC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18" w:rsidRDefault="00361318" w:rsidP="00AC1984">
      <w:pPr>
        <w:spacing w:after="0" w:line="240" w:lineRule="auto"/>
      </w:pPr>
      <w:r>
        <w:separator/>
      </w:r>
    </w:p>
  </w:footnote>
  <w:footnote w:type="continuationSeparator" w:id="0">
    <w:p w:rsidR="00361318" w:rsidRDefault="00361318" w:rsidP="00AC1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13" w:rsidRPr="00B90313" w:rsidRDefault="00B90313" w:rsidP="00B90313">
    <w:pPr>
      <w:tabs>
        <w:tab w:val="center" w:pos="4153"/>
        <w:tab w:val="right" w:pos="8306"/>
      </w:tabs>
      <w:spacing w:after="0" w:line="240" w:lineRule="auto"/>
      <w:ind w:left="84"/>
      <w:jc w:val="both"/>
      <w:rPr>
        <w:rFonts w:ascii="Times New Roman" w:eastAsia="Calibri" w:hAnsi="Times New Roman" w:cs="David"/>
        <w:sz w:val="16"/>
        <w:szCs w:val="16"/>
        <w:rtl/>
      </w:rPr>
    </w:pPr>
  </w:p>
  <w:p w:rsidR="00B90313" w:rsidRDefault="00B9031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0A"/>
    <w:rsid w:val="00024FA9"/>
    <w:rsid w:val="00032784"/>
    <w:rsid w:val="00075125"/>
    <w:rsid w:val="00091A11"/>
    <w:rsid w:val="00097909"/>
    <w:rsid w:val="000D2460"/>
    <w:rsid w:val="000D28DA"/>
    <w:rsid w:val="00101CFF"/>
    <w:rsid w:val="00140951"/>
    <w:rsid w:val="00145616"/>
    <w:rsid w:val="0015297F"/>
    <w:rsid w:val="00154D4D"/>
    <w:rsid w:val="00160AA2"/>
    <w:rsid w:val="001615D3"/>
    <w:rsid w:val="00163AFE"/>
    <w:rsid w:val="001A09C3"/>
    <w:rsid w:val="001A6905"/>
    <w:rsid w:val="001A6CE2"/>
    <w:rsid w:val="001B480D"/>
    <w:rsid w:val="001C62CE"/>
    <w:rsid w:val="001C7E95"/>
    <w:rsid w:val="0023041D"/>
    <w:rsid w:val="0025193E"/>
    <w:rsid w:val="0027450D"/>
    <w:rsid w:val="002821BA"/>
    <w:rsid w:val="002A3683"/>
    <w:rsid w:val="002A78B2"/>
    <w:rsid w:val="002B419F"/>
    <w:rsid w:val="002B7B23"/>
    <w:rsid w:val="00305D62"/>
    <w:rsid w:val="00342599"/>
    <w:rsid w:val="00360597"/>
    <w:rsid w:val="00361318"/>
    <w:rsid w:val="00395A38"/>
    <w:rsid w:val="003A2AE8"/>
    <w:rsid w:val="003A2CAE"/>
    <w:rsid w:val="003B2B21"/>
    <w:rsid w:val="003B7320"/>
    <w:rsid w:val="004146B9"/>
    <w:rsid w:val="00445D19"/>
    <w:rsid w:val="004561DE"/>
    <w:rsid w:val="00460342"/>
    <w:rsid w:val="00460A8F"/>
    <w:rsid w:val="00480F32"/>
    <w:rsid w:val="004A0A91"/>
    <w:rsid w:val="004C2EAE"/>
    <w:rsid w:val="004C38CC"/>
    <w:rsid w:val="004D6377"/>
    <w:rsid w:val="004F7564"/>
    <w:rsid w:val="00504BD9"/>
    <w:rsid w:val="0052626E"/>
    <w:rsid w:val="00526691"/>
    <w:rsid w:val="00526F20"/>
    <w:rsid w:val="0052724A"/>
    <w:rsid w:val="00531DFA"/>
    <w:rsid w:val="005621B3"/>
    <w:rsid w:val="00575078"/>
    <w:rsid w:val="00582E59"/>
    <w:rsid w:val="005B7C4F"/>
    <w:rsid w:val="005D367C"/>
    <w:rsid w:val="005E1F10"/>
    <w:rsid w:val="00626924"/>
    <w:rsid w:val="00630B6C"/>
    <w:rsid w:val="006756CF"/>
    <w:rsid w:val="006807C0"/>
    <w:rsid w:val="006C71EA"/>
    <w:rsid w:val="006D6CF8"/>
    <w:rsid w:val="006E64A4"/>
    <w:rsid w:val="00702821"/>
    <w:rsid w:val="00712148"/>
    <w:rsid w:val="0072787E"/>
    <w:rsid w:val="00727AED"/>
    <w:rsid w:val="00736637"/>
    <w:rsid w:val="00767AB1"/>
    <w:rsid w:val="00770AC1"/>
    <w:rsid w:val="00774D8A"/>
    <w:rsid w:val="00776566"/>
    <w:rsid w:val="00782073"/>
    <w:rsid w:val="00796194"/>
    <w:rsid w:val="007A1ECB"/>
    <w:rsid w:val="007B4262"/>
    <w:rsid w:val="008103A8"/>
    <w:rsid w:val="008135C9"/>
    <w:rsid w:val="00844899"/>
    <w:rsid w:val="008513E4"/>
    <w:rsid w:val="00881A1C"/>
    <w:rsid w:val="008825F4"/>
    <w:rsid w:val="008B7593"/>
    <w:rsid w:val="008C5B09"/>
    <w:rsid w:val="008C7196"/>
    <w:rsid w:val="008E01CF"/>
    <w:rsid w:val="008E55EB"/>
    <w:rsid w:val="00921E7D"/>
    <w:rsid w:val="00950CDC"/>
    <w:rsid w:val="00957418"/>
    <w:rsid w:val="0096082C"/>
    <w:rsid w:val="00963208"/>
    <w:rsid w:val="00967ABC"/>
    <w:rsid w:val="00981D0A"/>
    <w:rsid w:val="009A7111"/>
    <w:rsid w:val="009D46F0"/>
    <w:rsid w:val="009F1216"/>
    <w:rsid w:val="00A21E87"/>
    <w:rsid w:val="00A65866"/>
    <w:rsid w:val="00A73E52"/>
    <w:rsid w:val="00AB2A2B"/>
    <w:rsid w:val="00AC1984"/>
    <w:rsid w:val="00AD632D"/>
    <w:rsid w:val="00B3223C"/>
    <w:rsid w:val="00B43BCF"/>
    <w:rsid w:val="00B72A40"/>
    <w:rsid w:val="00B83DF3"/>
    <w:rsid w:val="00B90313"/>
    <w:rsid w:val="00B91CA7"/>
    <w:rsid w:val="00BA20AF"/>
    <w:rsid w:val="00BB310F"/>
    <w:rsid w:val="00BD03C1"/>
    <w:rsid w:val="00BF0750"/>
    <w:rsid w:val="00C02B44"/>
    <w:rsid w:val="00C22340"/>
    <w:rsid w:val="00C715CE"/>
    <w:rsid w:val="00C74583"/>
    <w:rsid w:val="00CC478A"/>
    <w:rsid w:val="00CF22C8"/>
    <w:rsid w:val="00D1177D"/>
    <w:rsid w:val="00D178F0"/>
    <w:rsid w:val="00D2357B"/>
    <w:rsid w:val="00D5334B"/>
    <w:rsid w:val="00D64C08"/>
    <w:rsid w:val="00DD4C3A"/>
    <w:rsid w:val="00E14E31"/>
    <w:rsid w:val="00E22D7A"/>
    <w:rsid w:val="00E37D0B"/>
    <w:rsid w:val="00E64964"/>
    <w:rsid w:val="00EB69DF"/>
    <w:rsid w:val="00EC4D2A"/>
    <w:rsid w:val="00ED2963"/>
    <w:rsid w:val="00EF3DB5"/>
    <w:rsid w:val="00EF71F8"/>
    <w:rsid w:val="00F02E59"/>
    <w:rsid w:val="00F109DF"/>
    <w:rsid w:val="00F17491"/>
    <w:rsid w:val="00F47C86"/>
    <w:rsid w:val="00F720AD"/>
    <w:rsid w:val="00F836A6"/>
    <w:rsid w:val="00FC6B2E"/>
    <w:rsid w:val="00FF4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304DD"/>
  <w15:chartTrackingRefBased/>
  <w15:docId w15:val="{132D0E09-954F-4958-82DD-3C123FC6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F20"/>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526F20"/>
    <w:rPr>
      <w:rFonts w:ascii="Tahoma" w:hAnsi="Tahoma" w:cs="Tahoma"/>
      <w:sz w:val="18"/>
      <w:szCs w:val="18"/>
    </w:rPr>
  </w:style>
  <w:style w:type="paragraph" w:styleId="a5">
    <w:name w:val="Revision"/>
    <w:hidden/>
    <w:uiPriority w:val="99"/>
    <w:semiHidden/>
    <w:rsid w:val="00F17491"/>
    <w:pPr>
      <w:spacing w:after="0" w:line="240" w:lineRule="auto"/>
    </w:pPr>
  </w:style>
  <w:style w:type="paragraph" w:styleId="a6">
    <w:name w:val="footnote text"/>
    <w:aliases w:val="fn,fn Char,single space,Footnote Text Char Char Char Char Char Char,Footnote Text Char1,Footnote Text Char Char,Footnote,Fußnote,FSR footnote,lábléc,FOOTNOTES,Footnote Text Char2 Char,Footnote Text Char1 Char Char,Footnote Text"/>
    <w:basedOn w:val="a"/>
    <w:link w:val="a7"/>
    <w:uiPriority w:val="99"/>
    <w:unhideWhenUsed/>
    <w:rsid w:val="00AC1984"/>
    <w:pPr>
      <w:spacing w:after="0" w:line="240" w:lineRule="auto"/>
    </w:pPr>
    <w:rPr>
      <w:sz w:val="20"/>
      <w:szCs w:val="20"/>
    </w:rPr>
  </w:style>
  <w:style w:type="character" w:customStyle="1" w:styleId="a7">
    <w:name w:val="טקסט הערת שוליים תו"/>
    <w:aliases w:val="fn תו1,fn Char תו,single space תו,Footnote Text Char Char Char Char Char Char תו,Footnote Text Char1 תו,Footnote Text Char Char תו,Footnote תו,Fußnote תו,FSR footnote תו,lábléc תו,FOOTNOTES תו,Footnote Text Char2 Char תו"/>
    <w:basedOn w:val="a0"/>
    <w:link w:val="a6"/>
    <w:uiPriority w:val="99"/>
    <w:semiHidden/>
    <w:rsid w:val="00AC1984"/>
    <w:rPr>
      <w:sz w:val="20"/>
      <w:szCs w:val="20"/>
    </w:rPr>
  </w:style>
  <w:style w:type="character" w:styleId="a8">
    <w:name w:val="footnote reference"/>
    <w:aliases w:val="טקסט הערת שוליים חדש,Footnote Reference Number,Footnote Reference_LVL6,Footnote Reference_LVL61,Footnote Reference_LVL62,Footnote Reference_LVL63,Footnote Reference_LVL64,fr,SUPERS,EN Footnote Reference,number,Footnote Reference"/>
    <w:basedOn w:val="a0"/>
    <w:uiPriority w:val="99"/>
    <w:unhideWhenUsed/>
    <w:rsid w:val="00AC1984"/>
    <w:rPr>
      <w:vertAlign w:val="superscript"/>
    </w:rPr>
  </w:style>
  <w:style w:type="paragraph" w:styleId="a9">
    <w:name w:val="header"/>
    <w:basedOn w:val="a"/>
    <w:link w:val="aa"/>
    <w:uiPriority w:val="99"/>
    <w:unhideWhenUsed/>
    <w:rsid w:val="00B90313"/>
    <w:pPr>
      <w:tabs>
        <w:tab w:val="center" w:pos="4153"/>
        <w:tab w:val="right" w:pos="8306"/>
      </w:tabs>
      <w:spacing w:after="0" w:line="240" w:lineRule="auto"/>
    </w:pPr>
  </w:style>
  <w:style w:type="character" w:customStyle="1" w:styleId="aa">
    <w:name w:val="כותרת עליונה תו"/>
    <w:basedOn w:val="a0"/>
    <w:link w:val="a9"/>
    <w:uiPriority w:val="99"/>
    <w:rsid w:val="00B90313"/>
  </w:style>
  <w:style w:type="paragraph" w:styleId="ab">
    <w:name w:val="footer"/>
    <w:basedOn w:val="a"/>
    <w:link w:val="ac"/>
    <w:uiPriority w:val="99"/>
    <w:unhideWhenUsed/>
    <w:rsid w:val="00B90313"/>
    <w:pPr>
      <w:tabs>
        <w:tab w:val="center" w:pos="4153"/>
        <w:tab w:val="right" w:pos="8306"/>
      </w:tabs>
      <w:spacing w:after="0" w:line="240" w:lineRule="auto"/>
    </w:pPr>
  </w:style>
  <w:style w:type="character" w:customStyle="1" w:styleId="ac">
    <w:name w:val="כותרת תחתונה תו"/>
    <w:basedOn w:val="a0"/>
    <w:link w:val="ab"/>
    <w:uiPriority w:val="99"/>
    <w:rsid w:val="00B90313"/>
  </w:style>
  <w:style w:type="character" w:styleId="ad">
    <w:name w:val="Strong"/>
    <w:qFormat/>
    <w:rsid w:val="00E22D7A"/>
    <w:rPr>
      <w:rFonts w:ascii="David" w:hAnsi="David" w:cs="David" w:hint="default"/>
      <w:b/>
      <w:bCs/>
      <w:sz w:val="28"/>
      <w:szCs w:val="28"/>
    </w:rPr>
  </w:style>
  <w:style w:type="character" w:customStyle="1" w:styleId="1">
    <w:name w:val="טקסט הערת שוליים תו1"/>
    <w:aliases w:val="fn תו,fn Char תו1,single space תו1,Footnote Text Char Char Char Char Char Char תו1,Footnote Text Char1 תו1,Footnote Text Char Char תו1,Footnote תו1,Fußnote תו1,FSR footnote תו1,lábléc תו1,FOOTNOTES תו1,Footnote Text Char2 Char תו1"/>
    <w:basedOn w:val="a0"/>
    <w:uiPriority w:val="99"/>
    <w:rsid w:val="00E22D7A"/>
    <w:rPr>
      <w:rFonts w:ascii="Assistant" w:hAnsi="Assistant" w:cs="Assistant"/>
      <w:sz w:val="18"/>
      <w:szCs w:val="18"/>
    </w:rPr>
  </w:style>
  <w:style w:type="character" w:styleId="Hyperlink">
    <w:name w:val="Hyperlink"/>
    <w:aliases w:val="תוכן עניינים"/>
    <w:basedOn w:val="a0"/>
    <w:uiPriority w:val="99"/>
    <w:unhideWhenUsed/>
    <w:rsid w:val="00E22D7A"/>
    <w:rPr>
      <w:rFonts w:cs="David"/>
      <w:bCs w:val="0"/>
      <w:iCs w:val="0"/>
      <w:color w:val="0563C1" w:themeColor="hyperlink"/>
      <w:szCs w:val="24"/>
      <w:u w:val="single"/>
    </w:rPr>
  </w:style>
  <w:style w:type="character" w:styleId="ae">
    <w:name w:val="annotation reference"/>
    <w:basedOn w:val="a0"/>
    <w:uiPriority w:val="99"/>
    <w:semiHidden/>
    <w:unhideWhenUsed/>
    <w:rsid w:val="003B7320"/>
    <w:rPr>
      <w:sz w:val="16"/>
      <w:szCs w:val="16"/>
    </w:rPr>
  </w:style>
  <w:style w:type="paragraph" w:styleId="af">
    <w:name w:val="annotation text"/>
    <w:basedOn w:val="a"/>
    <w:link w:val="af0"/>
    <w:uiPriority w:val="99"/>
    <w:semiHidden/>
    <w:unhideWhenUsed/>
    <w:rsid w:val="003B7320"/>
    <w:pPr>
      <w:spacing w:line="240" w:lineRule="auto"/>
    </w:pPr>
    <w:rPr>
      <w:sz w:val="20"/>
      <w:szCs w:val="20"/>
    </w:rPr>
  </w:style>
  <w:style w:type="character" w:customStyle="1" w:styleId="af0">
    <w:name w:val="טקסט הערה תו"/>
    <w:basedOn w:val="a0"/>
    <w:link w:val="af"/>
    <w:uiPriority w:val="99"/>
    <w:semiHidden/>
    <w:rsid w:val="003B7320"/>
    <w:rPr>
      <w:sz w:val="20"/>
      <w:szCs w:val="20"/>
    </w:rPr>
  </w:style>
  <w:style w:type="paragraph" w:styleId="af1">
    <w:name w:val="annotation subject"/>
    <w:basedOn w:val="af"/>
    <w:next w:val="af"/>
    <w:link w:val="af2"/>
    <w:uiPriority w:val="99"/>
    <w:semiHidden/>
    <w:unhideWhenUsed/>
    <w:rsid w:val="003B7320"/>
    <w:rPr>
      <w:b/>
      <w:bCs/>
    </w:rPr>
  </w:style>
  <w:style w:type="character" w:customStyle="1" w:styleId="af2">
    <w:name w:val="נושא הערה תו"/>
    <w:basedOn w:val="af0"/>
    <w:link w:val="af1"/>
    <w:uiPriority w:val="99"/>
    <w:semiHidden/>
    <w:rsid w:val="003B7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6180">
      <w:bodyDiv w:val="1"/>
      <w:marLeft w:val="0"/>
      <w:marRight w:val="0"/>
      <w:marTop w:val="0"/>
      <w:marBottom w:val="0"/>
      <w:divBdr>
        <w:top w:val="none" w:sz="0" w:space="0" w:color="auto"/>
        <w:left w:val="none" w:sz="0" w:space="0" w:color="auto"/>
        <w:bottom w:val="none" w:sz="0" w:space="0" w:color="auto"/>
        <w:right w:val="none" w:sz="0" w:space="0" w:color="auto"/>
      </w:divBdr>
    </w:div>
    <w:div w:id="563490705">
      <w:bodyDiv w:val="1"/>
      <w:marLeft w:val="0"/>
      <w:marRight w:val="0"/>
      <w:marTop w:val="0"/>
      <w:marBottom w:val="0"/>
      <w:divBdr>
        <w:top w:val="none" w:sz="0" w:space="0" w:color="auto"/>
        <w:left w:val="none" w:sz="0" w:space="0" w:color="auto"/>
        <w:bottom w:val="none" w:sz="0" w:space="0" w:color="auto"/>
        <w:right w:val="none" w:sz="0" w:space="0" w:color="auto"/>
      </w:divBdr>
      <w:divsChild>
        <w:div w:id="1381319162">
          <w:marLeft w:val="0"/>
          <w:marRight w:val="0"/>
          <w:marTop w:val="0"/>
          <w:marBottom w:val="0"/>
          <w:divBdr>
            <w:top w:val="none" w:sz="0" w:space="0" w:color="auto"/>
            <w:left w:val="none" w:sz="0" w:space="0" w:color="auto"/>
            <w:bottom w:val="none" w:sz="0" w:space="0" w:color="auto"/>
            <w:right w:val="none" w:sz="0" w:space="0" w:color="auto"/>
          </w:divBdr>
        </w:div>
        <w:div w:id="792408533">
          <w:marLeft w:val="0"/>
          <w:marRight w:val="0"/>
          <w:marTop w:val="0"/>
          <w:marBottom w:val="0"/>
          <w:divBdr>
            <w:top w:val="none" w:sz="0" w:space="0" w:color="auto"/>
            <w:left w:val="none" w:sz="0" w:space="0" w:color="auto"/>
            <w:bottom w:val="none" w:sz="0" w:space="0" w:color="auto"/>
            <w:right w:val="none" w:sz="0" w:space="0" w:color="auto"/>
          </w:divBdr>
        </w:div>
        <w:div w:id="1126856357">
          <w:marLeft w:val="0"/>
          <w:marRight w:val="0"/>
          <w:marTop w:val="0"/>
          <w:marBottom w:val="0"/>
          <w:divBdr>
            <w:top w:val="none" w:sz="0" w:space="0" w:color="auto"/>
            <w:left w:val="none" w:sz="0" w:space="0" w:color="auto"/>
            <w:bottom w:val="none" w:sz="0" w:space="0" w:color="auto"/>
            <w:right w:val="none" w:sz="0" w:space="0" w:color="auto"/>
          </w:divBdr>
        </w:div>
        <w:div w:id="1227296392">
          <w:marLeft w:val="0"/>
          <w:marRight w:val="0"/>
          <w:marTop w:val="0"/>
          <w:marBottom w:val="0"/>
          <w:divBdr>
            <w:top w:val="none" w:sz="0" w:space="0" w:color="auto"/>
            <w:left w:val="none" w:sz="0" w:space="0" w:color="auto"/>
            <w:bottom w:val="none" w:sz="0" w:space="0" w:color="auto"/>
            <w:right w:val="none" w:sz="0" w:space="0" w:color="auto"/>
          </w:divBdr>
        </w:div>
        <w:div w:id="1998804539">
          <w:marLeft w:val="0"/>
          <w:marRight w:val="0"/>
          <w:marTop w:val="0"/>
          <w:marBottom w:val="0"/>
          <w:divBdr>
            <w:top w:val="none" w:sz="0" w:space="0" w:color="auto"/>
            <w:left w:val="none" w:sz="0" w:space="0" w:color="auto"/>
            <w:bottom w:val="none" w:sz="0" w:space="0" w:color="auto"/>
            <w:right w:val="none" w:sz="0" w:space="0" w:color="auto"/>
          </w:divBdr>
        </w:div>
        <w:div w:id="1234122110">
          <w:marLeft w:val="0"/>
          <w:marRight w:val="0"/>
          <w:marTop w:val="0"/>
          <w:marBottom w:val="0"/>
          <w:divBdr>
            <w:top w:val="none" w:sz="0" w:space="0" w:color="auto"/>
            <w:left w:val="none" w:sz="0" w:space="0" w:color="auto"/>
            <w:bottom w:val="none" w:sz="0" w:space="0" w:color="auto"/>
            <w:right w:val="none" w:sz="0" w:space="0" w:color="auto"/>
          </w:divBdr>
        </w:div>
        <w:div w:id="826244852">
          <w:marLeft w:val="0"/>
          <w:marRight w:val="0"/>
          <w:marTop w:val="0"/>
          <w:marBottom w:val="0"/>
          <w:divBdr>
            <w:top w:val="none" w:sz="0" w:space="0" w:color="auto"/>
            <w:left w:val="none" w:sz="0" w:space="0" w:color="auto"/>
            <w:bottom w:val="none" w:sz="0" w:space="0" w:color="auto"/>
            <w:right w:val="none" w:sz="0" w:space="0" w:color="auto"/>
          </w:divBdr>
        </w:div>
        <w:div w:id="2137337057">
          <w:marLeft w:val="0"/>
          <w:marRight w:val="0"/>
          <w:marTop w:val="0"/>
          <w:marBottom w:val="0"/>
          <w:divBdr>
            <w:top w:val="none" w:sz="0" w:space="0" w:color="auto"/>
            <w:left w:val="none" w:sz="0" w:space="0" w:color="auto"/>
            <w:bottom w:val="none" w:sz="0" w:space="0" w:color="auto"/>
            <w:right w:val="none" w:sz="0" w:space="0" w:color="auto"/>
          </w:divBdr>
        </w:div>
        <w:div w:id="1254976489">
          <w:marLeft w:val="0"/>
          <w:marRight w:val="0"/>
          <w:marTop w:val="0"/>
          <w:marBottom w:val="0"/>
          <w:divBdr>
            <w:top w:val="none" w:sz="0" w:space="0" w:color="auto"/>
            <w:left w:val="none" w:sz="0" w:space="0" w:color="auto"/>
            <w:bottom w:val="none" w:sz="0" w:space="0" w:color="auto"/>
            <w:right w:val="none" w:sz="0" w:space="0" w:color="auto"/>
          </w:divBdr>
        </w:div>
        <w:div w:id="1629622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F6170FF-4EC6-4A3C-B825-3959EF9B4EA9}"/>
</file>

<file path=customXml/itemProps2.xml><?xml version="1.0" encoding="utf-8"?>
<ds:datastoreItem xmlns:ds="http://schemas.openxmlformats.org/officeDocument/2006/customXml" ds:itemID="{6B205845-3C2D-4B49-9810-CA4F51390761}"/>
</file>

<file path=customXml/itemProps3.xml><?xml version="1.0" encoding="utf-8"?>
<ds:datastoreItem xmlns:ds="http://schemas.openxmlformats.org/officeDocument/2006/customXml" ds:itemID="{3CB89C2E-B0BC-4E6C-91AA-1E3E85539535}"/>
</file>

<file path=customXml/itemProps4.xml><?xml version="1.0" encoding="utf-8"?>
<ds:datastoreItem xmlns:ds="http://schemas.openxmlformats.org/officeDocument/2006/customXml" ds:itemID="{1555A465-04AB-493E-99BD-5917F70A0AD6}"/>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1747</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 שמעוני</dc:creator>
  <cp:keywords/>
  <dc:description/>
  <cp:lastModifiedBy>לירון דהן</cp:lastModifiedBy>
  <cp:revision>7</cp:revision>
  <dcterms:created xsi:type="dcterms:W3CDTF">2022-11-16T08:01:00Z</dcterms:created>
  <dcterms:modified xsi:type="dcterms:W3CDTF">2022-11-16T08:02:00Z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