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1F" w:rsidRPr="00592C79" w:rsidRDefault="005A521F" w:rsidP="005A521F">
      <w:pPr>
        <w:rPr>
          <w:rFonts w:asciiTheme="minorBidi" w:hAnsiTheme="minorBidi"/>
          <w:b/>
          <w:bCs/>
          <w:sz w:val="24"/>
          <w:szCs w:val="24"/>
          <w:rtl/>
          <w:lang w:bidi="ar-SA"/>
        </w:rPr>
      </w:pPr>
    </w:p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51561D" w:rsidTr="00FD5581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21F" w:rsidRPr="00592C79" w:rsidRDefault="00497C6F" w:rsidP="005A521F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592C7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5A521F" w:rsidRPr="00592C79" w:rsidRDefault="00497C6F" w:rsidP="005A521F">
            <w:pPr>
              <w:spacing w:after="0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21F" w:rsidRPr="00592C79" w:rsidRDefault="00497C6F" w:rsidP="005A521F">
            <w:pPr>
              <w:spacing w:after="0" w:line="360" w:lineRule="auto"/>
              <w:jc w:val="center"/>
              <w:rPr>
                <w:rFonts w:asciiTheme="minorBidi" w:eastAsia="Calibri" w:hAnsiTheme="minorBidi"/>
                <w:sz w:val="24"/>
                <w:szCs w:val="24"/>
              </w:rPr>
            </w:pPr>
            <w:r w:rsidRPr="00592C79">
              <w:rPr>
                <w:rFonts w:asciiTheme="minorBidi" w:eastAsia="Calibr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21F" w:rsidRPr="00592C79" w:rsidRDefault="00497C6F" w:rsidP="005A521F">
            <w:pPr>
              <w:spacing w:after="0"/>
              <w:jc w:val="center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592C79">
              <w:rPr>
                <w:rFonts w:asciiTheme="minorBidi" w:eastAsia="Calibri" w:hAnsiTheme="minorBidi"/>
                <w:sz w:val="24"/>
                <w:szCs w:val="24"/>
                <w:highlight w:val="green"/>
                <w:rtl/>
              </w:rPr>
              <w:t>‏</w:t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ירושלים, </w:t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begin"/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 </w:instrText>
            </w:r>
            <w:r w:rsidRPr="00592C79">
              <w:rPr>
                <w:rFonts w:asciiTheme="minorBidi" w:eastAsia="Calibri" w:hAnsiTheme="minorBidi"/>
                <w:sz w:val="24"/>
                <w:szCs w:val="24"/>
              </w:rPr>
              <w:instrText>DATE</w:instrText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 \@ "</w:instrText>
            </w:r>
            <w:r w:rsidRPr="00592C79">
              <w:rPr>
                <w:rFonts w:asciiTheme="minorBidi" w:eastAsia="Calibri" w:hAnsiTheme="minorBidi"/>
                <w:sz w:val="24"/>
                <w:szCs w:val="24"/>
              </w:rPr>
              <w:instrText>d MMMM, yyyy" \h</w:instrText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 </w:instrText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eastAsia="Calibri" w:hAnsiTheme="minorBidi"/>
                <w:noProof/>
                <w:sz w:val="24"/>
                <w:szCs w:val="24"/>
                <w:rtl/>
              </w:rPr>
              <w:t>‏ט"ז סיון, תשפ"ו</w:t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end"/>
            </w:r>
          </w:p>
          <w:p w:rsidR="005A521F" w:rsidRPr="00592C79" w:rsidRDefault="00497C6F" w:rsidP="005A521F">
            <w:pPr>
              <w:spacing w:after="0"/>
              <w:jc w:val="center"/>
              <w:rPr>
                <w:rFonts w:asciiTheme="minorBidi" w:eastAsia="Calibri" w:hAnsiTheme="minorBidi"/>
                <w:sz w:val="24"/>
                <w:szCs w:val="24"/>
                <w:highlight w:val="green"/>
              </w:rPr>
            </w:pP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begin"/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 </w:instrText>
            </w:r>
            <w:r w:rsidRPr="00592C79">
              <w:rPr>
                <w:rFonts w:asciiTheme="minorBidi" w:eastAsia="Calibri" w:hAnsiTheme="minorBidi"/>
                <w:sz w:val="24"/>
                <w:szCs w:val="24"/>
              </w:rPr>
              <w:instrText>DATE</w:instrText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 \@ "</w:instrText>
            </w:r>
            <w:r w:rsidRPr="00592C79">
              <w:rPr>
                <w:rFonts w:asciiTheme="minorBidi" w:eastAsia="Calibri" w:hAnsiTheme="minorBidi"/>
                <w:sz w:val="24"/>
                <w:szCs w:val="24"/>
              </w:rPr>
              <w:instrText>d MMMM, yyyy</w:instrText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" </w:instrText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eastAsia="Calibri" w:hAnsiTheme="minorBidi"/>
                <w:noProof/>
                <w:sz w:val="24"/>
                <w:szCs w:val="24"/>
                <w:rtl/>
              </w:rPr>
              <w:t>‏1 יוני, 2026</w:t>
            </w:r>
            <w:r w:rsidRPr="00592C79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end"/>
            </w:r>
          </w:p>
        </w:tc>
      </w:tr>
    </w:tbl>
    <w:p w:rsidR="005A521F" w:rsidRPr="00592C79" w:rsidRDefault="00497C6F" w:rsidP="005A521F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sz w:val="24"/>
          <w:szCs w:val="24"/>
          <w:rtl/>
          <w:lang w:bidi="ar-SA"/>
        </w:rPr>
        <w:t>بيان صحفي:</w:t>
      </w:r>
    </w:p>
    <w:p w:rsidR="00592C79" w:rsidRPr="00592C79" w:rsidRDefault="00497C6F" w:rsidP="00DA6B30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>م</w:t>
      </w:r>
      <w:r w:rsidR="00F55EFD">
        <w:rPr>
          <w:rFonts w:asciiTheme="minorBidi" w:hAnsiTheme="minorBidi" w:hint="cs"/>
          <w:b/>
          <w:bCs/>
          <w:sz w:val="28"/>
          <w:szCs w:val="28"/>
          <w:rtl/>
          <w:lang w:val="en-GB" w:bidi="ar-SA"/>
        </w:rPr>
        <w:t>ُ</w:t>
      </w: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قتطف من </w:t>
      </w:r>
      <w:r w:rsidR="00DA6B30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 xml:space="preserve">تقرير </w:t>
      </w: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مراجعة </w:t>
      </w:r>
      <w:r w:rsidR="00DA6B30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النظام المصرفي في إسرائيل ل</w:t>
      </w: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عام 2025 </w:t>
      </w:r>
      <w:r w:rsidR="00DA6B30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الذي سي</w:t>
      </w:r>
      <w:r w:rsidR="00F55EFD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ُ</w:t>
      </w:r>
      <w:r w:rsidR="00DA6B30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نشر قريباً</w:t>
      </w: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: </w:t>
      </w:r>
      <w:r w:rsidR="00DA6B30">
        <w:rPr>
          <w:rFonts w:asciiTheme="minorBidi" w:hAnsiTheme="minorBidi"/>
          <w:b/>
          <w:bCs/>
          <w:sz w:val="28"/>
          <w:szCs w:val="28"/>
          <w:rtl/>
          <w:lang w:bidi="ar-SA"/>
        </w:rPr>
        <w:t>تطو</w:t>
      </w: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ر الائتمان في قطاعي البناء </w:t>
      </w: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>والعقارات</w:t>
      </w:r>
    </w:p>
    <w:p w:rsidR="00592C79" w:rsidRPr="00592C79" w:rsidRDefault="00497C6F" w:rsidP="008A32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rtl/>
        </w:rPr>
      </w:pPr>
      <w:bookmarkStart w:id="0" w:name="_GoBack"/>
      <w:r w:rsidRPr="00592C79">
        <w:rPr>
          <w:rFonts w:asciiTheme="minorBidi" w:hAnsiTheme="minorBidi"/>
          <w:rtl/>
          <w:lang w:bidi="ar-SA"/>
        </w:rPr>
        <w:t xml:space="preserve">يشكل الائتمان الممنوح لقطاعي البناء والعقارات </w:t>
      </w:r>
      <w:r w:rsidR="008A3290">
        <w:rPr>
          <w:rFonts w:asciiTheme="minorBidi" w:hAnsiTheme="minorBidi" w:hint="cs"/>
          <w:rtl/>
          <w:lang w:bidi="ar-SA"/>
        </w:rPr>
        <w:t xml:space="preserve">في إسرائيل </w:t>
      </w:r>
      <w:r w:rsidRPr="00592C79">
        <w:rPr>
          <w:rFonts w:asciiTheme="minorBidi" w:hAnsiTheme="minorBidi"/>
          <w:rtl/>
          <w:lang w:bidi="ar-SA"/>
        </w:rPr>
        <w:t xml:space="preserve">نسبة كبيرة من إجمالي الائتمان الممنوح </w:t>
      </w:r>
      <w:r w:rsidR="008A3290">
        <w:rPr>
          <w:rFonts w:asciiTheme="minorBidi" w:hAnsiTheme="minorBidi" w:hint="cs"/>
          <w:rtl/>
          <w:lang w:bidi="ar-SA"/>
        </w:rPr>
        <w:t xml:space="preserve">للمصالح التجارية </w:t>
      </w:r>
      <w:r w:rsidR="008A3290" w:rsidRPr="00592C79">
        <w:rPr>
          <w:rFonts w:asciiTheme="minorBidi" w:hAnsiTheme="minorBidi"/>
          <w:rtl/>
          <w:lang w:bidi="ar-SA"/>
        </w:rPr>
        <w:t>(حوالي</w:t>
      </w:r>
      <w:r w:rsidR="008A3290">
        <w:rPr>
          <w:rFonts w:asciiTheme="minorBidi" w:hAnsiTheme="minorBidi"/>
          <w:rtl/>
          <w:lang w:bidi="ar-SA"/>
        </w:rPr>
        <w:t xml:space="preserve"> 39%)</w:t>
      </w:r>
      <w:r w:rsidRPr="00592C79">
        <w:rPr>
          <w:rFonts w:asciiTheme="minorBidi" w:hAnsiTheme="minorBidi"/>
          <w:rtl/>
          <w:lang w:bidi="ar-SA"/>
        </w:rPr>
        <w:t>، ومن إجمالي الائتمان الممنوح للجمهور (حوالي 21%).</w:t>
      </w:r>
    </w:p>
    <w:p w:rsidR="00592C79" w:rsidRPr="00592C79" w:rsidRDefault="00497C6F" w:rsidP="00F55E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rtl/>
        </w:rPr>
      </w:pPr>
      <w:r w:rsidRPr="00592C79">
        <w:rPr>
          <w:rFonts w:asciiTheme="minorBidi" w:hAnsiTheme="minorBidi"/>
          <w:rtl/>
          <w:lang w:bidi="ar-SA"/>
        </w:rPr>
        <w:t xml:space="preserve">في عام 2025، واصل الائتمان الممنوح لقطاعي البناء والعقارات في </w:t>
      </w:r>
      <w:r w:rsidR="00F55EFD">
        <w:rPr>
          <w:rFonts w:asciiTheme="minorBidi" w:hAnsiTheme="minorBidi" w:hint="cs"/>
          <w:rtl/>
          <w:lang w:bidi="ar-SA"/>
        </w:rPr>
        <w:t>ال</w:t>
      </w:r>
      <w:r w:rsidRPr="00592C79">
        <w:rPr>
          <w:rFonts w:asciiTheme="minorBidi" w:hAnsiTheme="minorBidi"/>
          <w:rtl/>
          <w:lang w:bidi="ar-SA"/>
        </w:rPr>
        <w:t xml:space="preserve">مجموعات </w:t>
      </w:r>
      <w:r w:rsidR="00F55EFD">
        <w:rPr>
          <w:rFonts w:asciiTheme="minorBidi" w:hAnsiTheme="minorBidi" w:hint="cs"/>
          <w:rtl/>
          <w:lang w:bidi="ar-SA"/>
        </w:rPr>
        <w:t>ال</w:t>
      </w:r>
      <w:r w:rsidRPr="00592C79">
        <w:rPr>
          <w:rFonts w:asciiTheme="minorBidi" w:hAnsiTheme="minorBidi"/>
          <w:rtl/>
          <w:lang w:bidi="ar-SA"/>
        </w:rPr>
        <w:t>مصرفية</w:t>
      </w:r>
      <w:r w:rsidR="00F55EFD">
        <w:rPr>
          <w:rFonts w:asciiTheme="minorBidi" w:hAnsiTheme="minorBidi" w:hint="cs"/>
          <w:rtl/>
          <w:lang w:bidi="ar-SA"/>
        </w:rPr>
        <w:t xml:space="preserve"> الخمس الكبرى</w:t>
      </w:r>
      <w:r w:rsidRPr="00592C79">
        <w:rPr>
          <w:rFonts w:asciiTheme="minorBidi" w:hAnsiTheme="minorBidi"/>
          <w:rtl/>
          <w:lang w:bidi="ar-SA"/>
        </w:rPr>
        <w:t xml:space="preserve"> نموه بمعدل مرتفع (حوالي 14%). وقد صاحب هذا النمو ارتفاعٌ طفيف في مخاطر الائتمان التي تواجه القطاع وذلك في ظل انخفاض الطلب على الشقق الجديدة في عام 2025، وارتفاع مخزون الشقق الجديدة غير الم</w:t>
      </w:r>
      <w:r w:rsidR="00F55EFD">
        <w:rPr>
          <w:rFonts w:asciiTheme="minorBidi" w:hAnsiTheme="minorBidi" w:hint="cs"/>
          <w:rtl/>
          <w:lang w:bidi="ar-SA"/>
        </w:rPr>
        <w:t>ُ</w:t>
      </w:r>
      <w:r w:rsidRPr="00592C79">
        <w:rPr>
          <w:rFonts w:asciiTheme="minorBidi" w:hAnsiTheme="minorBidi"/>
          <w:rtl/>
          <w:lang w:bidi="ar-SA"/>
        </w:rPr>
        <w:t>باعة إلى مستوى قياسي، وتراجع طفيف في مؤشرات م</w:t>
      </w:r>
      <w:r w:rsidRPr="00592C79">
        <w:rPr>
          <w:rFonts w:asciiTheme="minorBidi" w:hAnsiTheme="minorBidi"/>
          <w:rtl/>
          <w:lang w:bidi="ar-SA"/>
        </w:rPr>
        <w:t>خاطر الائتمان الرئيسية.</w:t>
      </w:r>
    </w:p>
    <w:p w:rsidR="00592C79" w:rsidRPr="00592C79" w:rsidRDefault="00497C6F" w:rsidP="00F55EFD">
      <w:pPr>
        <w:pStyle w:val="ListParagraph"/>
        <w:numPr>
          <w:ilvl w:val="0"/>
          <w:numId w:val="1"/>
        </w:numPr>
        <w:tabs>
          <w:tab w:val="left" w:pos="2315"/>
        </w:tabs>
        <w:spacing w:line="360" w:lineRule="auto"/>
        <w:jc w:val="both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  <w:lang w:bidi="ar-SA"/>
        </w:rPr>
        <w:t>على</w:t>
      </w:r>
      <w:r w:rsidRPr="00592C79">
        <w:rPr>
          <w:rFonts w:asciiTheme="minorBidi" w:eastAsia="Calibri" w:hAnsiTheme="minorBidi"/>
          <w:rtl/>
          <w:lang w:bidi="ar-SA"/>
        </w:rPr>
        <w:t xml:space="preserve"> ضوء هذه التطورات، تواصل </w:t>
      </w:r>
      <w:r>
        <w:rPr>
          <w:rFonts w:asciiTheme="minorBidi" w:eastAsia="Calibri" w:hAnsiTheme="minorBidi" w:hint="cs"/>
          <w:rtl/>
          <w:lang w:bidi="ar-SA"/>
        </w:rPr>
        <w:t>هيئة</w:t>
      </w:r>
      <w:r w:rsidRPr="00592C79">
        <w:rPr>
          <w:rFonts w:asciiTheme="minorBidi" w:eastAsia="Calibri" w:hAnsiTheme="minorBidi"/>
          <w:rtl/>
          <w:lang w:bidi="ar-SA"/>
        </w:rPr>
        <w:t xml:space="preserve"> الرقابة </w:t>
      </w:r>
      <w:r>
        <w:rPr>
          <w:rFonts w:asciiTheme="minorBidi" w:eastAsia="Calibri" w:hAnsiTheme="minorBidi" w:hint="cs"/>
          <w:rtl/>
          <w:lang w:bidi="ar-SA"/>
        </w:rPr>
        <w:t>على البنوك</w:t>
      </w:r>
      <w:r w:rsidRPr="00592C79">
        <w:rPr>
          <w:rFonts w:asciiTheme="minorBidi" w:eastAsia="Calibri" w:hAnsiTheme="minorBidi"/>
          <w:rtl/>
          <w:lang w:bidi="ar-SA"/>
        </w:rPr>
        <w:t xml:space="preserve"> </w:t>
      </w:r>
      <w:r>
        <w:rPr>
          <w:rFonts w:asciiTheme="minorBidi" w:eastAsia="Calibri" w:hAnsiTheme="minorBidi" w:hint="cs"/>
          <w:rtl/>
          <w:lang w:bidi="ar-SA"/>
        </w:rPr>
        <w:t>متابعة</w:t>
      </w:r>
      <w:r w:rsidRPr="00592C79">
        <w:rPr>
          <w:rFonts w:asciiTheme="minorBidi" w:eastAsia="Calibri" w:hAnsiTheme="minorBidi"/>
          <w:rtl/>
          <w:lang w:bidi="ar-SA"/>
        </w:rPr>
        <w:t xml:space="preserve"> تطورات الائتمان الممنوح </w:t>
      </w:r>
      <w:r>
        <w:rPr>
          <w:rFonts w:asciiTheme="minorBidi" w:eastAsia="Calibri" w:hAnsiTheme="minorBidi" w:hint="cs"/>
          <w:rtl/>
          <w:lang w:bidi="ar-SA"/>
        </w:rPr>
        <w:t>لهذا القطاع</w:t>
      </w:r>
      <w:r w:rsidRPr="00592C79">
        <w:rPr>
          <w:rFonts w:asciiTheme="minorBidi" w:eastAsia="Calibri" w:hAnsiTheme="minorBidi"/>
          <w:rtl/>
          <w:lang w:bidi="ar-SA"/>
        </w:rPr>
        <w:t xml:space="preserve"> عن كثب، وإجراء رصد مستمر للمخاطر الناشئة </w:t>
      </w:r>
      <w:r w:rsidR="00F55EFD">
        <w:rPr>
          <w:rFonts w:asciiTheme="minorBidi" w:eastAsia="Calibri" w:hAnsiTheme="minorBidi" w:hint="cs"/>
          <w:rtl/>
          <w:lang w:bidi="ar-SA"/>
        </w:rPr>
        <w:t>فيه</w:t>
      </w:r>
      <w:r w:rsidRPr="00592C79">
        <w:rPr>
          <w:rFonts w:asciiTheme="minorBidi" w:eastAsia="Calibri" w:hAnsiTheme="minorBidi"/>
          <w:rtl/>
          <w:lang w:bidi="ar-SA"/>
        </w:rPr>
        <w:t xml:space="preserve"> وفق</w:t>
      </w:r>
      <w:r w:rsidR="00F55EFD">
        <w:rPr>
          <w:rFonts w:asciiTheme="minorBidi" w:eastAsia="Calibri" w:hAnsiTheme="minorBidi"/>
          <w:rtl/>
          <w:lang w:bidi="ar-SA"/>
        </w:rPr>
        <w:t>اً</w:t>
      </w:r>
      <w:r w:rsidRPr="00592C79">
        <w:rPr>
          <w:rFonts w:asciiTheme="minorBidi" w:eastAsia="Calibri" w:hAnsiTheme="minorBidi"/>
          <w:rtl/>
          <w:lang w:bidi="ar-SA"/>
        </w:rPr>
        <w:t xml:space="preserve"> </w:t>
      </w:r>
      <w:r>
        <w:rPr>
          <w:rFonts w:asciiTheme="minorBidi" w:eastAsia="Calibri" w:hAnsiTheme="minorBidi" w:hint="cs"/>
          <w:rtl/>
          <w:lang w:bidi="ar-SA"/>
        </w:rPr>
        <w:t>ل</w:t>
      </w:r>
      <w:r w:rsidRPr="00592C79">
        <w:rPr>
          <w:rFonts w:asciiTheme="minorBidi" w:eastAsia="Calibri" w:hAnsiTheme="minorBidi"/>
          <w:rtl/>
          <w:lang w:bidi="ar-SA"/>
        </w:rPr>
        <w:t>مجالات النشاط</w:t>
      </w:r>
      <w:r>
        <w:rPr>
          <w:rFonts w:asciiTheme="minorBidi" w:eastAsia="Calibri" w:hAnsiTheme="minorBidi" w:hint="cs"/>
          <w:rtl/>
          <w:lang w:bidi="ar-SA"/>
        </w:rPr>
        <w:t xml:space="preserve"> المختلفة</w:t>
      </w:r>
      <w:r w:rsidRPr="00592C79">
        <w:rPr>
          <w:rFonts w:asciiTheme="minorBidi" w:eastAsia="Calibri" w:hAnsiTheme="minorBidi"/>
          <w:rtl/>
          <w:lang w:bidi="ar-SA"/>
        </w:rPr>
        <w:t xml:space="preserve">، وإلزام البنوك بالحفاظ على إدارة صارمة لمخاطر الائتمان بما </w:t>
      </w:r>
      <w:r w:rsidRPr="00592C79">
        <w:rPr>
          <w:rFonts w:asciiTheme="minorBidi" w:eastAsia="Calibri" w:hAnsiTheme="minorBidi"/>
          <w:rtl/>
          <w:lang w:bidi="ar-SA"/>
        </w:rPr>
        <w:t>يتوافق مع الممارسات المقبولة والمناسبة</w:t>
      </w:r>
      <w:r w:rsidR="00F55EFD">
        <w:rPr>
          <w:rFonts w:asciiTheme="minorBidi" w:eastAsia="Calibri" w:hAnsiTheme="minorBidi" w:hint="cs"/>
          <w:rtl/>
          <w:lang w:bidi="ar-SA"/>
        </w:rPr>
        <w:t xml:space="preserve"> </w:t>
      </w:r>
      <w:r w:rsidR="00F55EFD" w:rsidRPr="00592C79">
        <w:rPr>
          <w:rFonts w:asciiTheme="minorBidi" w:eastAsia="Calibri" w:hAnsiTheme="minorBidi"/>
          <w:rtl/>
          <w:lang w:bidi="ar-SA"/>
        </w:rPr>
        <w:t>في القطاع</w:t>
      </w:r>
      <w:r w:rsidRPr="00592C79">
        <w:rPr>
          <w:rFonts w:asciiTheme="minorBidi" w:eastAsia="Calibri" w:hAnsiTheme="minorBidi"/>
          <w:rtl/>
          <w:lang w:bidi="ar-SA"/>
        </w:rPr>
        <w:t>.</w:t>
      </w:r>
    </w:p>
    <w:p w:rsidR="00592C79" w:rsidRPr="00592C79" w:rsidRDefault="00497C6F" w:rsidP="00F55EFD">
      <w:pPr>
        <w:pStyle w:val="ListParagraph"/>
        <w:numPr>
          <w:ilvl w:val="0"/>
          <w:numId w:val="1"/>
        </w:numPr>
        <w:tabs>
          <w:tab w:val="left" w:pos="2315"/>
        </w:tabs>
        <w:spacing w:line="360" w:lineRule="auto"/>
        <w:jc w:val="both"/>
        <w:rPr>
          <w:rFonts w:asciiTheme="minorBidi" w:eastAsia="Calibri" w:hAnsiTheme="minorBidi"/>
        </w:rPr>
      </w:pPr>
      <w:r w:rsidRPr="00592C79">
        <w:rPr>
          <w:rFonts w:asciiTheme="minorBidi" w:eastAsia="Calibri" w:hAnsiTheme="minorBidi"/>
          <w:rtl/>
          <w:lang w:bidi="ar-SA"/>
        </w:rPr>
        <w:t>في عام 2025، سُجّل نمو معتدل بنسبة 6% تقريب</w:t>
      </w:r>
      <w:r w:rsidR="00F55EFD">
        <w:rPr>
          <w:rFonts w:asciiTheme="minorBidi" w:eastAsia="Calibri" w:hAnsiTheme="minorBidi"/>
          <w:rtl/>
          <w:lang w:bidi="ar-SA"/>
        </w:rPr>
        <w:t>اً</w:t>
      </w:r>
      <w:r w:rsidRPr="00592C79">
        <w:rPr>
          <w:rFonts w:asciiTheme="minorBidi" w:eastAsia="Calibri" w:hAnsiTheme="minorBidi"/>
          <w:rtl/>
          <w:lang w:bidi="ar-SA"/>
        </w:rPr>
        <w:t xml:space="preserve"> في رصيد الائتمان المخصص للأراضي في </w:t>
      </w:r>
      <w:r w:rsidR="00F55EFD">
        <w:rPr>
          <w:rFonts w:asciiTheme="minorBidi" w:eastAsia="Calibri" w:hAnsiTheme="minorBidi" w:hint="cs"/>
          <w:rtl/>
          <w:lang w:bidi="ar-SA"/>
        </w:rPr>
        <w:t>ال</w:t>
      </w:r>
      <w:r w:rsidRPr="00592C79">
        <w:rPr>
          <w:rFonts w:asciiTheme="minorBidi" w:eastAsia="Calibri" w:hAnsiTheme="minorBidi"/>
          <w:rtl/>
          <w:lang w:bidi="ar-SA"/>
        </w:rPr>
        <w:t xml:space="preserve">مجموعات </w:t>
      </w:r>
      <w:r w:rsidR="00F55EFD">
        <w:rPr>
          <w:rFonts w:asciiTheme="minorBidi" w:eastAsia="Calibri" w:hAnsiTheme="minorBidi" w:hint="cs"/>
          <w:rtl/>
          <w:lang w:bidi="ar-SA"/>
        </w:rPr>
        <w:t>ال</w:t>
      </w:r>
      <w:r w:rsidRPr="00592C79">
        <w:rPr>
          <w:rFonts w:asciiTheme="minorBidi" w:eastAsia="Calibri" w:hAnsiTheme="minorBidi"/>
          <w:rtl/>
          <w:lang w:bidi="ar-SA"/>
        </w:rPr>
        <w:t>مصرفية</w:t>
      </w:r>
      <w:r w:rsidR="00F55EFD">
        <w:rPr>
          <w:rFonts w:asciiTheme="minorBidi" w:eastAsia="Calibri" w:hAnsiTheme="minorBidi" w:hint="cs"/>
          <w:rtl/>
          <w:lang w:bidi="ar-SA"/>
        </w:rPr>
        <w:t xml:space="preserve"> الخمس الكبرى</w:t>
      </w:r>
      <w:r w:rsidRPr="00592C79">
        <w:rPr>
          <w:rFonts w:asciiTheme="minorBidi" w:eastAsia="Calibri" w:hAnsiTheme="minorBidi"/>
          <w:rtl/>
          <w:lang w:bidi="ar-SA"/>
        </w:rPr>
        <w:t>، ليبلغ إجمالي</w:t>
      </w:r>
      <w:r w:rsidR="000E07A6">
        <w:rPr>
          <w:rFonts w:asciiTheme="minorBidi" w:eastAsia="Calibri" w:hAnsiTheme="minorBidi" w:hint="cs"/>
          <w:rtl/>
          <w:lang w:bidi="ar-SA"/>
        </w:rPr>
        <w:t xml:space="preserve"> الرصيد</w:t>
      </w:r>
      <w:r w:rsidRPr="00592C79">
        <w:rPr>
          <w:rFonts w:asciiTheme="minorBidi" w:eastAsia="Calibri" w:hAnsiTheme="minorBidi"/>
          <w:rtl/>
          <w:lang w:bidi="ar-SA"/>
        </w:rPr>
        <w:t xml:space="preserve"> حوالي 104 مليارات شيكل. يأتي هذا النمو عقب تباطؤ </w:t>
      </w:r>
      <w:r w:rsidR="000E07A6">
        <w:rPr>
          <w:rFonts w:asciiTheme="minorBidi" w:eastAsia="Calibri" w:hAnsiTheme="minorBidi" w:hint="cs"/>
          <w:rtl/>
          <w:lang w:bidi="ar-SA"/>
        </w:rPr>
        <w:t xml:space="preserve">هذا </w:t>
      </w:r>
      <w:r w:rsidRPr="00592C79">
        <w:rPr>
          <w:rFonts w:asciiTheme="minorBidi" w:eastAsia="Calibri" w:hAnsiTheme="minorBidi"/>
          <w:rtl/>
          <w:lang w:bidi="ar-SA"/>
        </w:rPr>
        <w:t xml:space="preserve">الائتمان </w:t>
      </w:r>
      <w:r w:rsidR="000E07A6">
        <w:rPr>
          <w:rFonts w:asciiTheme="minorBidi" w:eastAsia="Calibri" w:hAnsiTheme="minorBidi" w:hint="cs"/>
          <w:rtl/>
          <w:lang w:bidi="ar-SA"/>
        </w:rPr>
        <w:t>خلال</w:t>
      </w:r>
      <w:r w:rsidRPr="00592C79">
        <w:rPr>
          <w:rFonts w:asciiTheme="minorBidi" w:eastAsia="Calibri" w:hAnsiTheme="minorBidi"/>
          <w:rtl/>
          <w:lang w:bidi="ar-SA"/>
        </w:rPr>
        <w:t xml:space="preserve"> الفتر</w:t>
      </w:r>
      <w:r w:rsidRPr="00592C79">
        <w:rPr>
          <w:rFonts w:asciiTheme="minorBidi" w:eastAsia="Calibri" w:hAnsiTheme="minorBidi"/>
          <w:rtl/>
          <w:lang w:bidi="ar-SA"/>
        </w:rPr>
        <w:t>ة 2023-2024.</w:t>
      </w:r>
    </w:p>
    <w:p w:rsidR="00592C79" w:rsidRPr="000E07A6" w:rsidRDefault="00497C6F" w:rsidP="00F55EFD">
      <w:pPr>
        <w:pStyle w:val="ListParagraph"/>
        <w:numPr>
          <w:ilvl w:val="0"/>
          <w:numId w:val="1"/>
        </w:numPr>
        <w:tabs>
          <w:tab w:val="left" w:pos="2315"/>
        </w:tabs>
        <w:spacing w:line="360" w:lineRule="auto"/>
        <w:jc w:val="both"/>
        <w:rPr>
          <w:rFonts w:asciiTheme="minorBidi" w:eastAsia="Calibri" w:hAnsiTheme="minorBidi"/>
        </w:rPr>
      </w:pPr>
      <w:r w:rsidRPr="00592C79">
        <w:rPr>
          <w:rFonts w:asciiTheme="minorBidi" w:eastAsia="Calibri" w:hAnsiTheme="minorBidi"/>
          <w:rtl/>
          <w:lang w:bidi="ar-SA"/>
        </w:rPr>
        <w:t>شهد عام 2025 ارتفاع</w:t>
      </w:r>
      <w:r w:rsidR="00F55EFD">
        <w:rPr>
          <w:rFonts w:asciiTheme="minorBidi" w:eastAsia="Calibri" w:hAnsiTheme="minorBidi"/>
          <w:rtl/>
          <w:lang w:bidi="ar-SA"/>
        </w:rPr>
        <w:t>اً</w:t>
      </w:r>
      <w:r w:rsidRPr="00592C79">
        <w:rPr>
          <w:rFonts w:asciiTheme="minorBidi" w:eastAsia="Calibri" w:hAnsiTheme="minorBidi"/>
          <w:rtl/>
          <w:lang w:bidi="ar-SA"/>
        </w:rPr>
        <w:t xml:space="preserve"> حاد</w:t>
      </w:r>
      <w:r w:rsidR="00F55EFD">
        <w:rPr>
          <w:rFonts w:asciiTheme="minorBidi" w:eastAsia="Calibri" w:hAnsiTheme="minorBidi"/>
          <w:rtl/>
          <w:lang w:bidi="ar-SA"/>
        </w:rPr>
        <w:t>اً</w:t>
      </w:r>
      <w:r w:rsidRPr="00592C79">
        <w:rPr>
          <w:rFonts w:asciiTheme="minorBidi" w:eastAsia="Calibri" w:hAnsiTheme="minorBidi"/>
          <w:rtl/>
          <w:lang w:bidi="ar-SA"/>
        </w:rPr>
        <w:t xml:space="preserve"> بنسبة 40% تقريب</w:t>
      </w:r>
      <w:r w:rsidR="00F55EFD">
        <w:rPr>
          <w:rFonts w:asciiTheme="minorBidi" w:eastAsia="Calibri" w:hAnsiTheme="minorBidi"/>
          <w:rtl/>
          <w:lang w:bidi="ar-SA"/>
        </w:rPr>
        <w:t>اً</w:t>
      </w:r>
      <w:r w:rsidRPr="00592C79">
        <w:rPr>
          <w:rFonts w:asciiTheme="minorBidi" w:eastAsia="Calibri" w:hAnsiTheme="minorBidi"/>
          <w:rtl/>
          <w:lang w:bidi="ar-SA"/>
        </w:rPr>
        <w:t xml:space="preserve"> في القروض الم</w:t>
      </w:r>
      <w:r w:rsidR="00F55EFD">
        <w:rPr>
          <w:rFonts w:asciiTheme="minorBidi" w:eastAsia="Calibri" w:hAnsiTheme="minorBidi" w:hint="cs"/>
          <w:rtl/>
          <w:lang w:bidi="ar-SA"/>
        </w:rPr>
        <w:t>ُ</w:t>
      </w:r>
      <w:r w:rsidRPr="00592C79">
        <w:rPr>
          <w:rFonts w:asciiTheme="minorBidi" w:eastAsia="Calibri" w:hAnsiTheme="minorBidi"/>
          <w:rtl/>
          <w:lang w:bidi="ar-SA"/>
        </w:rPr>
        <w:t xml:space="preserve">خصصة لتمويل مشاريع البناء السكني، حيث ارتفعت من </w:t>
      </w:r>
      <w:r>
        <w:rPr>
          <w:rFonts w:asciiTheme="minorBidi" w:eastAsia="Calibri" w:hAnsiTheme="minorBidi" w:hint="cs"/>
          <w:rtl/>
          <w:lang w:bidi="ar-SA"/>
        </w:rPr>
        <w:t>نحو</w:t>
      </w:r>
      <w:r w:rsidRPr="00592C79">
        <w:rPr>
          <w:rFonts w:asciiTheme="minorBidi" w:eastAsia="Calibri" w:hAnsiTheme="minorBidi"/>
          <w:rtl/>
          <w:lang w:bidi="ar-SA"/>
        </w:rPr>
        <w:t xml:space="preserve"> 49 مليار شيكل في نهاية عام 2024 إلى حوالي 69 مليار شيكل في نهاية عام 2025. </w:t>
      </w:r>
      <w:r>
        <w:rPr>
          <w:rFonts w:asciiTheme="minorBidi" w:eastAsia="Calibri" w:hAnsiTheme="minorBidi" w:hint="cs"/>
          <w:rtl/>
          <w:lang w:bidi="ar-SA"/>
        </w:rPr>
        <w:t>ي</w:t>
      </w:r>
      <w:r w:rsidR="00F55EFD">
        <w:rPr>
          <w:rFonts w:asciiTheme="minorBidi" w:eastAsia="Calibri" w:hAnsiTheme="minorBidi" w:hint="cs"/>
          <w:rtl/>
          <w:lang w:bidi="ar-SA"/>
        </w:rPr>
        <w:t>ُ</w:t>
      </w:r>
      <w:r>
        <w:rPr>
          <w:rFonts w:asciiTheme="minorBidi" w:eastAsia="Calibri" w:hAnsiTheme="minorBidi" w:hint="cs"/>
          <w:rtl/>
          <w:lang w:bidi="ar-SA"/>
        </w:rPr>
        <w:t>عتبر ذلك</w:t>
      </w:r>
      <w:r w:rsidRPr="00592C79">
        <w:rPr>
          <w:rFonts w:asciiTheme="minorBidi" w:eastAsia="Calibri" w:hAnsiTheme="minorBidi"/>
          <w:rtl/>
          <w:lang w:bidi="ar-SA"/>
        </w:rPr>
        <w:t xml:space="preserve"> استمرار</w:t>
      </w:r>
      <w:r w:rsidR="00F55EFD">
        <w:rPr>
          <w:rFonts w:asciiTheme="minorBidi" w:eastAsia="Calibri" w:hAnsiTheme="minorBidi"/>
          <w:rtl/>
          <w:lang w:bidi="ar-SA"/>
        </w:rPr>
        <w:t>اً</w:t>
      </w:r>
      <w:r w:rsidRPr="00592C79">
        <w:rPr>
          <w:rFonts w:asciiTheme="minorBidi" w:eastAsia="Calibri" w:hAnsiTheme="minorBidi"/>
          <w:rtl/>
          <w:lang w:bidi="ar-SA"/>
        </w:rPr>
        <w:t xml:space="preserve"> للاتجاه التصاعدي الذي شهده هذا </w:t>
      </w:r>
      <w:r>
        <w:rPr>
          <w:rFonts w:asciiTheme="minorBidi" w:eastAsia="Calibri" w:hAnsiTheme="minorBidi" w:hint="cs"/>
          <w:rtl/>
          <w:lang w:bidi="ar-SA"/>
        </w:rPr>
        <w:t>الائ</w:t>
      </w:r>
      <w:r>
        <w:rPr>
          <w:rFonts w:asciiTheme="minorBidi" w:eastAsia="Calibri" w:hAnsiTheme="minorBidi" w:hint="cs"/>
          <w:rtl/>
          <w:lang w:bidi="ar-SA"/>
        </w:rPr>
        <w:t>تمان</w:t>
      </w:r>
      <w:r w:rsidRPr="00592C79">
        <w:rPr>
          <w:rFonts w:asciiTheme="minorBidi" w:eastAsia="Calibri" w:hAnsiTheme="minorBidi"/>
          <w:rtl/>
          <w:lang w:bidi="ar-SA"/>
        </w:rPr>
        <w:t xml:space="preserve"> خلال عامي 2023 و2024. يُعزى ازدياد احتياجات المطورين التمويلية لدعم مشاريع البناء السكني في عام 2025 من بين أمور أخرى، إلى </w:t>
      </w:r>
      <w:r w:rsidR="00F55EFD">
        <w:rPr>
          <w:rFonts w:asciiTheme="minorBidi" w:eastAsia="Calibri" w:hAnsiTheme="minorBidi" w:hint="cs"/>
          <w:rtl/>
          <w:lang w:bidi="ar-SA"/>
        </w:rPr>
        <w:t>تراجع</w:t>
      </w:r>
      <w:r w:rsidRPr="00592C79">
        <w:rPr>
          <w:rFonts w:asciiTheme="minorBidi" w:eastAsia="Calibri" w:hAnsiTheme="minorBidi"/>
          <w:rtl/>
          <w:lang w:bidi="ar-SA"/>
        </w:rPr>
        <w:t xml:space="preserve"> عدد معاملات شراء الشقق الجديدة، وارتفاع تكاليف البناء، وحملات التحفيز التي يقدمها المطورون للمشترين، والتي تتضمن في بعض ال</w:t>
      </w:r>
      <w:r w:rsidRPr="00592C79">
        <w:rPr>
          <w:rFonts w:asciiTheme="minorBidi" w:eastAsia="Calibri" w:hAnsiTheme="minorBidi"/>
          <w:rtl/>
          <w:lang w:bidi="ar-SA"/>
        </w:rPr>
        <w:t>حالات تأجيل</w:t>
      </w:r>
      <w:r w:rsidR="00F55EFD">
        <w:rPr>
          <w:rFonts w:asciiTheme="minorBidi" w:eastAsia="Calibri" w:hAnsiTheme="minorBidi"/>
          <w:rtl/>
          <w:lang w:bidi="ar-SA"/>
        </w:rPr>
        <w:t>اً</w:t>
      </w:r>
      <w:r w:rsidRPr="00592C79">
        <w:rPr>
          <w:rFonts w:asciiTheme="minorBidi" w:eastAsia="Calibri" w:hAnsiTheme="minorBidi"/>
          <w:rtl/>
          <w:lang w:bidi="ar-SA"/>
        </w:rPr>
        <w:t xml:space="preserve"> كبير</w:t>
      </w:r>
      <w:r w:rsidR="00F55EFD">
        <w:rPr>
          <w:rFonts w:asciiTheme="minorBidi" w:eastAsia="Calibri" w:hAnsiTheme="minorBidi"/>
          <w:rtl/>
          <w:lang w:bidi="ar-SA"/>
        </w:rPr>
        <w:t>اً</w:t>
      </w:r>
      <w:r w:rsidRPr="00592C79">
        <w:rPr>
          <w:rFonts w:asciiTheme="minorBidi" w:eastAsia="Calibri" w:hAnsiTheme="minorBidi"/>
          <w:rtl/>
          <w:lang w:bidi="ar-SA"/>
        </w:rPr>
        <w:t xml:space="preserve"> في سداد أقساط الشقق. نتيجة لذلك، انخفض متوسط ​​نسبة استيعاب التمويل</w:t>
      </w:r>
      <w:r>
        <w:rPr>
          <w:rFonts w:asciiTheme="minorBidi" w:eastAsia="Times New Roman" w:hAnsiTheme="minorBidi"/>
          <w:kern w:val="28"/>
          <w:vertAlign w:val="superscript"/>
          <w:rtl/>
        </w:rPr>
        <w:footnoteReference w:id="1"/>
      </w:r>
      <w:r w:rsidR="005A521F" w:rsidRPr="00592C79">
        <w:rPr>
          <w:rFonts w:asciiTheme="minorBidi" w:eastAsia="Calibri" w:hAnsiTheme="minorBidi"/>
          <w:rtl/>
        </w:rPr>
        <w:t xml:space="preserve"> </w:t>
      </w:r>
      <w:r w:rsidRPr="00592C79">
        <w:rPr>
          <w:rFonts w:asciiTheme="minorBidi" w:eastAsia="Calibri" w:hAnsiTheme="minorBidi"/>
          <w:rtl/>
          <w:lang w:bidi="ar-SA"/>
        </w:rPr>
        <w:t>في مشاريع البناء السكني في عام 2025 بنحو 12 نقطة مئوية ليصل إلى حوالي 58%، على الرغم من أن هذه النسبة لا تزال تُشير إلى هامش أمان واسع نسبي</w:t>
      </w:r>
      <w:r w:rsidR="00F55EFD">
        <w:rPr>
          <w:rFonts w:asciiTheme="minorBidi" w:eastAsia="Calibri" w:hAnsiTheme="minorBidi"/>
          <w:rtl/>
          <w:lang w:bidi="ar-SA"/>
        </w:rPr>
        <w:t>اً</w:t>
      </w:r>
      <w:r w:rsidRPr="00592C79">
        <w:rPr>
          <w:rFonts w:asciiTheme="minorBidi" w:eastAsia="Calibri" w:hAnsiTheme="minorBidi"/>
          <w:rtl/>
          <w:lang w:bidi="ar-SA"/>
        </w:rPr>
        <w:t xml:space="preserve">. </w:t>
      </w:r>
      <w:r>
        <w:rPr>
          <w:rFonts w:asciiTheme="minorBidi" w:eastAsia="Calibri" w:hAnsiTheme="minorBidi" w:hint="cs"/>
          <w:rtl/>
          <w:lang w:bidi="ar-SA"/>
        </w:rPr>
        <w:t xml:space="preserve">في </w:t>
      </w:r>
      <w:r w:rsidRPr="00592C79">
        <w:rPr>
          <w:rFonts w:asciiTheme="minorBidi" w:eastAsia="Calibri" w:hAnsiTheme="minorBidi"/>
          <w:rtl/>
          <w:lang w:bidi="ar-SA"/>
        </w:rPr>
        <w:t>عام 2025، كانت هناك</w:t>
      </w:r>
      <w:r>
        <w:rPr>
          <w:rFonts w:asciiTheme="minorBidi" w:eastAsia="Calibri" w:hAnsiTheme="minorBidi" w:hint="cs"/>
          <w:rtl/>
          <w:lang w:bidi="ar-SA"/>
        </w:rPr>
        <w:t xml:space="preserve"> أيضاً</w:t>
      </w:r>
      <w:r w:rsidRPr="00592C79">
        <w:rPr>
          <w:rFonts w:asciiTheme="minorBidi" w:eastAsia="Calibri" w:hAnsiTheme="minorBidi"/>
          <w:rtl/>
          <w:lang w:bidi="ar-SA"/>
        </w:rPr>
        <w:t xml:space="preserve"> زيادة (بنسبة 9 نقاط مئوية تقريب</w:t>
      </w:r>
      <w:r w:rsidR="00F55EFD">
        <w:rPr>
          <w:rFonts w:asciiTheme="minorBidi" w:eastAsia="Calibri" w:hAnsiTheme="minorBidi"/>
          <w:rtl/>
          <w:lang w:bidi="ar-SA"/>
        </w:rPr>
        <w:t>اً</w:t>
      </w:r>
      <w:r w:rsidRPr="00592C79">
        <w:rPr>
          <w:rFonts w:asciiTheme="minorBidi" w:eastAsia="Calibri" w:hAnsiTheme="minorBidi"/>
          <w:rtl/>
          <w:lang w:bidi="ar-SA"/>
        </w:rPr>
        <w:t xml:space="preserve">) في حصة التعرض </w:t>
      </w:r>
      <w:r>
        <w:rPr>
          <w:rFonts w:asciiTheme="minorBidi" w:eastAsia="Calibri" w:hAnsiTheme="minorBidi" w:hint="cs"/>
          <w:rtl/>
          <w:lang w:bidi="ar-SA"/>
        </w:rPr>
        <w:t xml:space="preserve">الإجمالي </w:t>
      </w:r>
      <w:r w:rsidRPr="00592C79">
        <w:rPr>
          <w:rFonts w:asciiTheme="minorBidi" w:eastAsia="Calibri" w:hAnsiTheme="minorBidi"/>
          <w:rtl/>
          <w:lang w:bidi="ar-SA"/>
        </w:rPr>
        <w:t xml:space="preserve">في </w:t>
      </w:r>
      <w:r>
        <w:rPr>
          <w:rFonts w:asciiTheme="minorBidi" w:eastAsia="Calibri" w:hAnsiTheme="minorBidi" w:hint="cs"/>
          <w:rtl/>
          <w:lang w:bidi="ar-SA"/>
        </w:rPr>
        <w:t>ال</w:t>
      </w:r>
      <w:r w:rsidRPr="00592C79">
        <w:rPr>
          <w:rFonts w:asciiTheme="minorBidi" w:eastAsia="Calibri" w:hAnsiTheme="minorBidi"/>
          <w:rtl/>
          <w:lang w:bidi="ar-SA"/>
        </w:rPr>
        <w:t xml:space="preserve">مجموعات </w:t>
      </w:r>
      <w:r>
        <w:rPr>
          <w:rFonts w:asciiTheme="minorBidi" w:eastAsia="Calibri" w:hAnsiTheme="minorBidi" w:hint="cs"/>
          <w:rtl/>
          <w:lang w:bidi="ar-SA"/>
        </w:rPr>
        <w:t>ال</w:t>
      </w:r>
      <w:r w:rsidRPr="00592C79">
        <w:rPr>
          <w:rFonts w:asciiTheme="minorBidi" w:eastAsia="Calibri" w:hAnsiTheme="minorBidi"/>
          <w:rtl/>
          <w:lang w:bidi="ar-SA"/>
        </w:rPr>
        <w:t>مصرفية</w:t>
      </w:r>
      <w:r>
        <w:rPr>
          <w:rFonts w:asciiTheme="minorBidi" w:eastAsia="Calibri" w:hAnsiTheme="minorBidi" w:hint="cs"/>
          <w:rtl/>
          <w:lang w:bidi="ar-SA"/>
        </w:rPr>
        <w:t xml:space="preserve"> الخمس الكبرى</w:t>
      </w:r>
      <w:r w:rsidRPr="00592C79">
        <w:rPr>
          <w:rFonts w:asciiTheme="minorBidi" w:eastAsia="Calibri" w:hAnsiTheme="minorBidi"/>
          <w:rtl/>
          <w:lang w:bidi="ar-SA"/>
        </w:rPr>
        <w:t xml:space="preserve"> للمشاريع التي يكون فيها معدل التنفيذ الهندسي أعلى من معدل المبيعات</w:t>
      </w:r>
      <w:r>
        <w:rPr>
          <w:rStyle w:val="FootnoteReference"/>
          <w:rFonts w:asciiTheme="minorBidi" w:eastAsia="Calibri" w:hAnsiTheme="minorBidi"/>
          <w:rtl/>
        </w:rPr>
        <w:footnoteReference w:id="2"/>
      </w:r>
      <w:r>
        <w:rPr>
          <w:rFonts w:asciiTheme="minorBidi" w:eastAsia="Calibri" w:hAnsiTheme="minorBidi"/>
          <w:rtl/>
        </w:rPr>
        <w:t xml:space="preserve"> </w:t>
      </w:r>
      <w:r w:rsidRPr="000E07A6">
        <w:rPr>
          <w:rFonts w:asciiTheme="minorBidi" w:eastAsia="Calibri" w:hAnsiTheme="minorBidi"/>
          <w:rtl/>
          <w:lang w:bidi="ar-SA"/>
        </w:rPr>
        <w:t>- إلى حوالي 44 بالمائة في نهاية عام 2025.</w:t>
      </w:r>
    </w:p>
    <w:bookmarkEnd w:id="0"/>
    <w:p w:rsidR="003E05EC" w:rsidRPr="00592C79" w:rsidRDefault="003E05EC">
      <w:pPr>
        <w:rPr>
          <w:rFonts w:asciiTheme="minorBidi" w:hAnsiTheme="minorBidi"/>
        </w:rPr>
      </w:pPr>
    </w:p>
    <w:sectPr w:rsidR="003E05EC" w:rsidRPr="00592C79" w:rsidSect="00FA27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7C6F">
      <w:pPr>
        <w:spacing w:after="0" w:line="240" w:lineRule="auto"/>
      </w:pPr>
      <w:r>
        <w:separator/>
      </w:r>
    </w:p>
  </w:endnote>
  <w:endnote w:type="continuationSeparator" w:id="0">
    <w:p w:rsidR="00000000" w:rsidRDefault="0049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3A" w:rsidRDefault="00497C6F" w:rsidP="005A521F">
      <w:pPr>
        <w:spacing w:after="0" w:line="240" w:lineRule="auto"/>
      </w:pPr>
      <w:r>
        <w:separator/>
      </w:r>
    </w:p>
  </w:footnote>
  <w:footnote w:type="continuationSeparator" w:id="0">
    <w:p w:rsidR="00366B3A" w:rsidRDefault="00497C6F" w:rsidP="005A521F">
      <w:pPr>
        <w:spacing w:after="0" w:line="240" w:lineRule="auto"/>
      </w:pPr>
      <w:r>
        <w:continuationSeparator/>
      </w:r>
    </w:p>
  </w:footnote>
  <w:footnote w:id="1">
    <w:p w:rsidR="005A521F" w:rsidRPr="003D5328" w:rsidRDefault="00497C6F" w:rsidP="00606DAE">
      <w:pPr>
        <w:pStyle w:val="FootnoteText"/>
        <w:spacing w:line="240" w:lineRule="auto"/>
        <w:rPr>
          <w:sz w:val="18"/>
          <w:szCs w:val="18"/>
          <w:rtl/>
        </w:rPr>
      </w:pPr>
      <w:r w:rsidRPr="003D5328">
        <w:rPr>
          <w:rStyle w:val="FootnoteReference"/>
          <w:rFonts w:ascii="Assistant" w:hAnsi="Assistant" w:cs="Assistant"/>
        </w:rPr>
        <w:footnoteRef/>
      </w:r>
      <w:r w:rsidRPr="003D5328">
        <w:rPr>
          <w:sz w:val="18"/>
          <w:szCs w:val="18"/>
          <w:rtl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تعبر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606DAE">
        <w:rPr>
          <w:rFonts w:ascii="Assistant" w:hAnsi="Assistant" w:cs="Arial" w:hint="cs"/>
          <w:sz w:val="18"/>
          <w:szCs w:val="18"/>
          <w:rtl/>
          <w:lang w:bidi="ar-SA"/>
        </w:rPr>
        <w:t>نسبة استيعاب التمويل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عن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الحد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الأقصى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لمعدل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الانخفاض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المحتمل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في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أسعار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بيع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الشقق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دون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أن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يتحمل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البنك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الخسائر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الناجمة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عن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المشروع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>.</w:t>
      </w:r>
    </w:p>
  </w:footnote>
  <w:footnote w:id="2">
    <w:p w:rsidR="005A521F" w:rsidRPr="0035793F" w:rsidRDefault="00497C6F" w:rsidP="00606DAE">
      <w:pPr>
        <w:pStyle w:val="FootnoteText"/>
        <w:spacing w:line="240" w:lineRule="auto"/>
        <w:rPr>
          <w:rFonts w:ascii="Assistant" w:hAnsi="Assistant" w:cs="Assistant"/>
          <w:sz w:val="18"/>
          <w:szCs w:val="18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تعتبر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الفجوة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بين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معدل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تنفيذ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المشاريع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الهندسية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ومعدل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المبيعات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مؤشراً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على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مستوى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المخاطر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في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مشروع</w:t>
      </w:r>
      <w:r w:rsidR="000E07A6" w:rsidRPr="000E07A6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0E07A6" w:rsidRPr="000E07A6">
        <w:rPr>
          <w:rFonts w:ascii="Assistant" w:hAnsi="Assistant" w:cs="Arial" w:hint="cs"/>
          <w:sz w:val="18"/>
          <w:szCs w:val="18"/>
          <w:rtl/>
          <w:lang w:bidi="ar-SA"/>
        </w:rPr>
        <w:t>البناء</w:t>
      </w:r>
      <w:r>
        <w:rPr>
          <w:rFonts w:ascii="Assistant" w:hAnsi="Assistant" w:cs="Assistant" w:hint="cs"/>
          <w:sz w:val="18"/>
          <w:szCs w:val="1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3FFE"/>
    <w:multiLevelType w:val="hybridMultilevel"/>
    <w:tmpl w:val="15BE8DBA"/>
    <w:lvl w:ilvl="0" w:tplc="CDE0BDF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75072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5477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5012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6EB7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384C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22D8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1001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CC0D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3F"/>
    <w:rsid w:val="00050AA1"/>
    <w:rsid w:val="00066C04"/>
    <w:rsid w:val="000D699D"/>
    <w:rsid w:val="000E07A6"/>
    <w:rsid w:val="00125DC0"/>
    <w:rsid w:val="0013258C"/>
    <w:rsid w:val="001B29B9"/>
    <w:rsid w:val="0035793F"/>
    <w:rsid w:val="00366B3A"/>
    <w:rsid w:val="00372822"/>
    <w:rsid w:val="003912D5"/>
    <w:rsid w:val="003C2838"/>
    <w:rsid w:val="003D5328"/>
    <w:rsid w:val="003E05EC"/>
    <w:rsid w:val="0043782F"/>
    <w:rsid w:val="00497C6F"/>
    <w:rsid w:val="0051561D"/>
    <w:rsid w:val="00536F7B"/>
    <w:rsid w:val="00572E7D"/>
    <w:rsid w:val="00592C79"/>
    <w:rsid w:val="005A521F"/>
    <w:rsid w:val="005C1E1B"/>
    <w:rsid w:val="00606DAE"/>
    <w:rsid w:val="0063573F"/>
    <w:rsid w:val="006479D6"/>
    <w:rsid w:val="0068047A"/>
    <w:rsid w:val="006848C8"/>
    <w:rsid w:val="006A70AC"/>
    <w:rsid w:val="006A7C22"/>
    <w:rsid w:val="008A3290"/>
    <w:rsid w:val="008B6BE3"/>
    <w:rsid w:val="009002B2"/>
    <w:rsid w:val="00924F91"/>
    <w:rsid w:val="009554E0"/>
    <w:rsid w:val="00A0362B"/>
    <w:rsid w:val="00AB011A"/>
    <w:rsid w:val="00AD49BB"/>
    <w:rsid w:val="00B25D00"/>
    <w:rsid w:val="00C8554F"/>
    <w:rsid w:val="00D36A9A"/>
    <w:rsid w:val="00DA6B30"/>
    <w:rsid w:val="00DC337E"/>
    <w:rsid w:val="00ED2AC7"/>
    <w:rsid w:val="00F55EFD"/>
    <w:rsid w:val="00F726A6"/>
    <w:rsid w:val="00F80107"/>
    <w:rsid w:val="00FA2761"/>
    <w:rsid w:val="00FC3B9A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A75E33-4E7C-0D4D-84D6-7FC944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1F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5A521F"/>
    <w:pPr>
      <w:ind w:left="720"/>
      <w:contextualSpacing/>
    </w:p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Testo_note"/>
    <w:basedOn w:val="Normal"/>
    <w:link w:val="FootnoteTextChar"/>
    <w:uiPriority w:val="99"/>
    <w:rsid w:val="005A521F"/>
    <w:pPr>
      <w:tabs>
        <w:tab w:val="left" w:pos="567"/>
        <w:tab w:val="left" w:pos="1134"/>
        <w:tab w:val="left" w:pos="1814"/>
        <w:tab w:val="left" w:pos="2665"/>
      </w:tabs>
      <w:spacing w:after="0" w:line="360" w:lineRule="auto"/>
      <w:jc w:val="both"/>
    </w:pPr>
    <w:rPr>
      <w:rFonts w:ascii="Times New Roman" w:eastAsia="Times New Roman" w:hAnsi="Times New Roman" w:cs="David"/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Testo_note Char"/>
    <w:basedOn w:val="DefaultParagraphFont"/>
    <w:link w:val="FootnoteText"/>
    <w:uiPriority w:val="99"/>
    <w:rsid w:val="005A521F"/>
    <w:rPr>
      <w:rFonts w:ascii="Times New Roman" w:eastAsia="Times New Roman" w:hAnsi="Times New Roman" w:cs="David"/>
      <w:sz w:val="20"/>
      <w:szCs w:val="20"/>
    </w:rPr>
  </w:style>
  <w:style w:type="character" w:styleId="FootnoteReference">
    <w:name w:val="footnote reference"/>
    <w:aliases w:val="Footnote Reference_0,Footnote Reference Number,Footnote Reference_LVL6,Footnote Reference_LVL61,Footnote Reference_LVL62,Footnote Reference_LVL63,Footnote Reference_LVL64,fr,SUPERS,EN Footnote Reference,number,טקסט הערת שוליים חדש"/>
    <w:uiPriority w:val="99"/>
    <w:rsid w:val="005A521F"/>
    <w:rPr>
      <w:vertAlign w:val="superscript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locked/>
    <w:rsid w:val="005A521F"/>
  </w:style>
  <w:style w:type="paragraph" w:styleId="BalloonText">
    <w:name w:val="Balloon Text"/>
    <w:basedOn w:val="Normal"/>
    <w:link w:val="BalloonTextChar"/>
    <w:uiPriority w:val="99"/>
    <w:semiHidden/>
    <w:unhideWhenUsed/>
    <w:rsid w:val="0059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BOI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לירון בן עמוס</dc:creator>
  <cp:lastModifiedBy>רוסול דכוור</cp:lastModifiedBy>
  <cp:revision>2</cp:revision>
  <dcterms:created xsi:type="dcterms:W3CDTF">2026-06-01T09:34:00Z</dcterms:created>
  <dcterms:modified xsi:type="dcterms:W3CDTF">2026-06-01T09:34:00Z</dcterms:modified>
</cp:coreProperties>
</file>