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99709A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2FB7DA72" wp14:editId="3B441E08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1A2" w:rsidRPr="00F30DEA" w:rsidRDefault="00D921A2" w:rsidP="00E76124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 w:rsidRPr="00F30DEA">
              <w:rPr>
                <w:rFonts w:hint="cs"/>
                <w:rtl/>
              </w:rPr>
              <w:t>ירושלים</w:t>
            </w:r>
            <w:r w:rsidR="002F0DC3">
              <w:rPr>
                <w:rFonts w:hint="cs"/>
                <w:rtl/>
              </w:rPr>
              <w:t xml:space="preserve">, </w:t>
            </w:r>
            <w:r w:rsidR="00BB5A50">
              <w:rPr>
                <w:rFonts w:hint="cs"/>
                <w:rtl/>
              </w:rPr>
              <w:t>א'</w:t>
            </w:r>
            <w:r w:rsidR="00797E9F">
              <w:rPr>
                <w:rFonts w:hint="cs"/>
                <w:rtl/>
              </w:rPr>
              <w:t xml:space="preserve"> ב</w:t>
            </w:r>
            <w:r w:rsidR="00E76124">
              <w:rPr>
                <w:rFonts w:hint="cs"/>
                <w:rtl/>
              </w:rPr>
              <w:t>סיוון</w:t>
            </w:r>
            <w:r w:rsidRPr="00F30DEA">
              <w:rPr>
                <w:rtl/>
              </w:rPr>
              <w:t xml:space="preserve"> </w:t>
            </w:r>
            <w:r w:rsidRPr="00F30DEA">
              <w:rPr>
                <w:rFonts w:hint="cs"/>
                <w:rtl/>
              </w:rPr>
              <w:t>ה</w:t>
            </w:r>
            <w:r w:rsidRPr="00F30DEA">
              <w:rPr>
                <w:rtl/>
              </w:rPr>
              <w:t>תשע"</w:t>
            </w:r>
            <w:r w:rsidR="00BB5A50">
              <w:rPr>
                <w:rFonts w:hint="cs"/>
                <w:rtl/>
              </w:rPr>
              <w:t>ו</w:t>
            </w:r>
          </w:p>
          <w:p w:rsidR="00D921A2" w:rsidRPr="00DF107C" w:rsidRDefault="00EF74A8" w:rsidP="00EF74A8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7</w:t>
            </w:r>
            <w:r w:rsidR="00444713">
              <w:rPr>
                <w:rFonts w:hint="cs"/>
                <w:rtl/>
              </w:rPr>
              <w:t xml:space="preserve"> </w:t>
            </w:r>
            <w:r w:rsidR="00E76124">
              <w:rPr>
                <w:rFonts w:hint="cs"/>
                <w:rtl/>
              </w:rPr>
              <w:t>ביוני</w:t>
            </w:r>
            <w:r w:rsidR="00444713">
              <w:rPr>
                <w:rFonts w:hint="cs"/>
                <w:rtl/>
              </w:rPr>
              <w:t xml:space="preserve"> </w:t>
            </w:r>
            <w:r w:rsidR="00E76124">
              <w:rPr>
                <w:rFonts w:hint="cs"/>
                <w:rtl/>
              </w:rPr>
              <w:t>2016</w:t>
            </w:r>
            <w:r w:rsidR="00444713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762073" w:rsidRDefault="0078645B" w:rsidP="00762073">
      <w:pPr>
        <w:pStyle w:val="af2"/>
        <w:rPr>
          <w:rStyle w:val="af1"/>
          <w:rtl/>
        </w:rPr>
      </w:pPr>
      <w:r w:rsidRPr="00762073">
        <w:rPr>
          <w:rStyle w:val="af1"/>
          <w:rFonts w:hint="cs"/>
          <w:rtl/>
        </w:rPr>
        <w:t xml:space="preserve">התפתחויות </w:t>
      </w:r>
      <w:r w:rsidR="00E724A2" w:rsidRPr="00762073">
        <w:rPr>
          <w:rStyle w:val="af1"/>
          <w:rFonts w:hint="cs"/>
          <w:rtl/>
        </w:rPr>
        <w:t>בתיק הנכסים</w:t>
      </w:r>
      <w:r w:rsidR="00883782" w:rsidRPr="00762073">
        <w:rPr>
          <w:rStyle w:val="af1"/>
          <w:rFonts w:hint="cs"/>
          <w:rtl/>
        </w:rPr>
        <w:t xml:space="preserve"> הפיננסיים</w:t>
      </w:r>
      <w:r w:rsidR="00B35B70" w:rsidRPr="00762073">
        <w:rPr>
          <w:rStyle w:val="af1"/>
          <w:rFonts w:hint="cs"/>
          <w:rtl/>
        </w:rPr>
        <w:t xml:space="preserve"> של הציבור</w:t>
      </w:r>
      <w:r w:rsidR="003B437B" w:rsidRPr="00762073">
        <w:rPr>
          <w:rStyle w:val="af1"/>
          <w:rFonts w:hint="cs"/>
          <w:rtl/>
        </w:rPr>
        <w:t xml:space="preserve"> ברביע </w:t>
      </w:r>
      <w:r w:rsidR="002F6225" w:rsidRPr="00762073">
        <w:rPr>
          <w:rStyle w:val="af1"/>
          <w:rFonts w:hint="cs"/>
          <w:rtl/>
        </w:rPr>
        <w:t>הראשון</w:t>
      </w:r>
      <w:r w:rsidR="009530C6" w:rsidRPr="00762073">
        <w:rPr>
          <w:rStyle w:val="af1"/>
          <w:rFonts w:hint="cs"/>
          <w:rtl/>
        </w:rPr>
        <w:t xml:space="preserve"> </w:t>
      </w:r>
      <w:r w:rsidR="009F3982" w:rsidRPr="00762073">
        <w:rPr>
          <w:rStyle w:val="af1"/>
          <w:rFonts w:hint="cs"/>
          <w:rtl/>
        </w:rPr>
        <w:t xml:space="preserve">של </w:t>
      </w:r>
      <w:r w:rsidR="009530C6" w:rsidRPr="00762073">
        <w:rPr>
          <w:rStyle w:val="af1"/>
          <w:rFonts w:hint="cs"/>
          <w:rtl/>
        </w:rPr>
        <w:t xml:space="preserve">שנת </w:t>
      </w:r>
      <w:r w:rsidR="002F6225" w:rsidRPr="00762073">
        <w:rPr>
          <w:rStyle w:val="af1"/>
          <w:rFonts w:hint="cs"/>
          <w:rtl/>
        </w:rPr>
        <w:t>2016</w:t>
      </w:r>
      <w:r w:rsidR="00EF74A8" w:rsidRPr="00762073">
        <w:rPr>
          <w:rStyle w:val="af1"/>
          <w:rFonts w:hint="cs"/>
          <w:rtl/>
        </w:rPr>
        <w:br/>
      </w:r>
    </w:p>
    <w:p w:rsidR="00091F3F" w:rsidRPr="00FA3EEF" w:rsidRDefault="002F6225" w:rsidP="003C6456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  <w:rtl/>
        </w:rPr>
      </w:pPr>
      <w:r w:rsidRPr="002F6225">
        <w:rPr>
          <w:b/>
          <w:bCs/>
          <w:rtl/>
        </w:rPr>
        <w:t xml:space="preserve">ברביע הראשון של שנת 2016 </w:t>
      </w:r>
      <w:r w:rsidR="003C6456">
        <w:rPr>
          <w:rFonts w:hint="cs"/>
          <w:b/>
          <w:bCs/>
          <w:rtl/>
        </w:rPr>
        <w:t xml:space="preserve">נותר </w:t>
      </w:r>
      <w:r w:rsidRPr="002F6225">
        <w:rPr>
          <w:b/>
          <w:bCs/>
          <w:rtl/>
        </w:rPr>
        <w:t>שווי</w:t>
      </w:r>
      <w:r w:rsidR="003C6456">
        <w:rPr>
          <w:rFonts w:hint="cs"/>
          <w:b/>
          <w:bCs/>
          <w:rtl/>
        </w:rPr>
        <w:t>ו של</w:t>
      </w:r>
      <w:r w:rsidRPr="002F6225">
        <w:rPr>
          <w:b/>
          <w:bCs/>
          <w:rtl/>
        </w:rPr>
        <w:t xml:space="preserve"> תיק הנכסים כמעט ללא שינוי</w:t>
      </w:r>
      <w:r w:rsidRPr="002F6225">
        <w:rPr>
          <w:rFonts w:hint="cs"/>
          <w:b/>
          <w:bCs/>
          <w:rtl/>
        </w:rPr>
        <w:t xml:space="preserve"> </w:t>
      </w:r>
      <w:r w:rsidR="004D6685" w:rsidRPr="004D6685">
        <w:rPr>
          <w:rFonts w:hint="cs"/>
          <w:b/>
          <w:bCs/>
          <w:rtl/>
        </w:rPr>
        <w:t>(</w:t>
      </w:r>
      <w:r w:rsidR="00CB5476">
        <w:rPr>
          <w:rFonts w:hint="cs"/>
          <w:b/>
          <w:bCs/>
          <w:rtl/>
        </w:rPr>
        <w:t xml:space="preserve">לעומת סוף הרביע </w:t>
      </w:r>
      <w:r>
        <w:rPr>
          <w:rFonts w:hint="cs"/>
          <w:b/>
          <w:bCs/>
          <w:rtl/>
        </w:rPr>
        <w:t>הרביעי</w:t>
      </w:r>
      <w:r w:rsidR="003C6456">
        <w:rPr>
          <w:rFonts w:hint="cs"/>
          <w:b/>
          <w:bCs/>
          <w:rtl/>
        </w:rPr>
        <w:t xml:space="preserve"> של</w:t>
      </w:r>
      <w:r>
        <w:rPr>
          <w:rFonts w:hint="cs"/>
          <w:b/>
          <w:bCs/>
          <w:rtl/>
        </w:rPr>
        <w:t xml:space="preserve"> 2015</w:t>
      </w:r>
      <w:r w:rsidR="004D6685" w:rsidRPr="004D6685">
        <w:rPr>
          <w:rFonts w:hint="cs"/>
          <w:b/>
          <w:bCs/>
          <w:rtl/>
        </w:rPr>
        <w:t xml:space="preserve">) ועמד </w:t>
      </w:r>
      <w:r w:rsidR="003C6456">
        <w:rPr>
          <w:rFonts w:hint="cs"/>
          <w:b/>
          <w:bCs/>
          <w:rtl/>
        </w:rPr>
        <w:t>בסופו</w:t>
      </w:r>
      <w:r w:rsidR="004D6685" w:rsidRPr="004D6685">
        <w:rPr>
          <w:rFonts w:hint="cs"/>
          <w:b/>
          <w:bCs/>
          <w:rtl/>
        </w:rPr>
        <w:t xml:space="preserve"> על כ- 3.</w:t>
      </w:r>
      <w:r>
        <w:rPr>
          <w:rFonts w:hint="cs"/>
          <w:b/>
          <w:bCs/>
          <w:rtl/>
        </w:rPr>
        <w:t>31</w:t>
      </w:r>
      <w:r w:rsidR="004D6685" w:rsidRPr="004D6685">
        <w:rPr>
          <w:rFonts w:hint="cs"/>
          <w:b/>
          <w:bCs/>
          <w:rtl/>
        </w:rPr>
        <w:t xml:space="preserve"> טריליוני </w:t>
      </w:r>
      <w:r w:rsidR="004D6685">
        <w:rPr>
          <w:rFonts w:hint="cs"/>
          <w:b/>
          <w:bCs/>
          <w:rtl/>
        </w:rPr>
        <w:t>ש"ח.</w:t>
      </w:r>
      <w:r w:rsidR="00091F3F" w:rsidRPr="009F776D">
        <w:rPr>
          <w:rFonts w:hint="cs"/>
          <w:b/>
          <w:bCs/>
          <w:rtl/>
        </w:rPr>
        <w:t xml:space="preserve"> </w:t>
      </w:r>
    </w:p>
    <w:p w:rsidR="00862B40" w:rsidRDefault="003C6456" w:rsidP="008558CB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היציבות</w:t>
      </w:r>
      <w:r w:rsidR="002F6225">
        <w:rPr>
          <w:rFonts w:hint="cs"/>
          <w:b/>
          <w:bCs/>
          <w:rtl/>
        </w:rPr>
        <w:t xml:space="preserve"> </w:t>
      </w:r>
      <w:r w:rsidR="009069AE" w:rsidRPr="00862B40">
        <w:rPr>
          <w:rFonts w:hint="cs"/>
          <w:b/>
          <w:bCs/>
          <w:rtl/>
        </w:rPr>
        <w:t xml:space="preserve">בשווי התיק ברביע </w:t>
      </w:r>
      <w:r w:rsidR="002F6225">
        <w:rPr>
          <w:rFonts w:hint="cs"/>
          <w:b/>
          <w:bCs/>
          <w:rtl/>
        </w:rPr>
        <w:t>הראשון</w:t>
      </w:r>
      <w:r w:rsidR="009069AE" w:rsidRPr="00862B40">
        <w:rPr>
          <w:rFonts w:hint="cs"/>
          <w:b/>
          <w:bCs/>
          <w:rtl/>
        </w:rPr>
        <w:t xml:space="preserve"> </w:t>
      </w:r>
      <w:r w:rsidR="002F6225" w:rsidRPr="002F6225">
        <w:rPr>
          <w:b/>
          <w:bCs/>
          <w:rtl/>
        </w:rPr>
        <w:t>נבע</w:t>
      </w:r>
      <w:r>
        <w:rPr>
          <w:rFonts w:hint="cs"/>
          <w:b/>
          <w:bCs/>
          <w:rtl/>
        </w:rPr>
        <w:t>ה</w:t>
      </w:r>
      <w:r w:rsidR="002F6225" w:rsidRPr="002F6225">
        <w:rPr>
          <w:b/>
          <w:bCs/>
          <w:rtl/>
        </w:rPr>
        <w:t xml:space="preserve"> מהעלייה ביתרת המזומן והפיקדונות ובאג"ח חברות סחיר, אשר קוזזה כמעט במלואה ע"י הירידה בשווי המניות בארץ </w:t>
      </w:r>
      <w:r w:rsidR="008558CB">
        <w:rPr>
          <w:rFonts w:hint="cs"/>
          <w:b/>
          <w:bCs/>
          <w:rtl/>
        </w:rPr>
        <w:t>ו</w:t>
      </w:r>
      <w:r w:rsidR="002F6225">
        <w:rPr>
          <w:b/>
          <w:bCs/>
          <w:rtl/>
        </w:rPr>
        <w:t>בחו"ל</w:t>
      </w:r>
      <w:r w:rsidR="002F6225">
        <w:rPr>
          <w:rFonts w:hint="cs"/>
          <w:b/>
          <w:bCs/>
          <w:rtl/>
        </w:rPr>
        <w:t>.</w:t>
      </w:r>
    </w:p>
    <w:p w:rsidR="00710306" w:rsidRPr="00710306" w:rsidRDefault="002F6225" w:rsidP="003A0736">
      <w:pPr>
        <w:pStyle w:val="ae"/>
        <w:numPr>
          <w:ilvl w:val="0"/>
          <w:numId w:val="8"/>
        </w:numPr>
        <w:spacing w:line="360" w:lineRule="auto"/>
        <w:rPr>
          <w:b/>
          <w:bCs/>
          <w:rtl/>
        </w:rPr>
      </w:pPr>
      <w:r w:rsidRPr="002F6225">
        <w:rPr>
          <w:b/>
          <w:bCs/>
          <w:rtl/>
        </w:rPr>
        <w:t>שווי יתרת התיק המנוהל ע"י המשקיעים המוסדיים</w:t>
      </w:r>
      <w:r w:rsidR="003A0736">
        <w:rPr>
          <w:b/>
          <w:bCs/>
          <w:rtl/>
        </w:rPr>
        <w:t xml:space="preserve"> עלה ברביע הראשון של שנת 2016 ב</w:t>
      </w:r>
      <w:r w:rsidRPr="002F6225">
        <w:rPr>
          <w:b/>
          <w:bCs/>
          <w:rtl/>
        </w:rPr>
        <w:t xml:space="preserve">-0.9% (12 מיליארדי ש"ח), ועמד </w:t>
      </w:r>
      <w:r>
        <w:rPr>
          <w:b/>
          <w:bCs/>
          <w:rtl/>
        </w:rPr>
        <w:t>בסופו על כ-1.37 טריליון ש"ח</w:t>
      </w:r>
      <w:r w:rsidR="00710306" w:rsidRPr="00710306">
        <w:rPr>
          <w:rFonts w:hint="cs"/>
          <w:b/>
          <w:bCs/>
          <w:rtl/>
        </w:rPr>
        <w:t xml:space="preserve">. </w:t>
      </w:r>
      <w:r w:rsidR="009076D4">
        <w:rPr>
          <w:rFonts w:hint="cs"/>
          <w:b/>
          <w:bCs/>
          <w:rtl/>
        </w:rPr>
        <w:t xml:space="preserve">עיקר </w:t>
      </w:r>
      <w:r>
        <w:rPr>
          <w:rFonts w:hint="cs"/>
          <w:b/>
          <w:bCs/>
          <w:rtl/>
        </w:rPr>
        <w:t>העלייה</w:t>
      </w:r>
      <w:r w:rsidR="00710306" w:rsidRPr="00710306">
        <w:rPr>
          <w:rFonts w:hint="cs"/>
          <w:b/>
          <w:bCs/>
          <w:rtl/>
        </w:rPr>
        <w:t xml:space="preserve"> </w:t>
      </w:r>
      <w:r w:rsidRPr="002F6225">
        <w:rPr>
          <w:b/>
          <w:bCs/>
          <w:rtl/>
        </w:rPr>
        <w:t>נרשמה בשווי האג"ח הממשלתי</w:t>
      </w:r>
      <w:r w:rsidR="003C6456">
        <w:rPr>
          <w:rFonts w:hint="cs"/>
          <w:b/>
          <w:bCs/>
          <w:rtl/>
        </w:rPr>
        <w:t>ות</w:t>
      </w:r>
      <w:r w:rsidRPr="002F6225">
        <w:rPr>
          <w:b/>
          <w:bCs/>
          <w:rtl/>
        </w:rPr>
        <w:t xml:space="preserve">, </w:t>
      </w:r>
      <w:r w:rsidR="003A0736">
        <w:rPr>
          <w:rFonts w:hint="cs"/>
          <w:b/>
          <w:bCs/>
          <w:rtl/>
        </w:rPr>
        <w:t xml:space="preserve">והאג"ח </w:t>
      </w:r>
      <w:r w:rsidRPr="002F6225">
        <w:rPr>
          <w:b/>
          <w:bCs/>
          <w:rtl/>
        </w:rPr>
        <w:t>הפרטי</w:t>
      </w:r>
      <w:r w:rsidR="003C6456">
        <w:rPr>
          <w:rFonts w:hint="cs"/>
          <w:b/>
          <w:bCs/>
          <w:rtl/>
        </w:rPr>
        <w:t>ות בארץ</w:t>
      </w:r>
      <w:r w:rsidR="0024359D">
        <w:rPr>
          <w:b/>
          <w:bCs/>
          <w:rtl/>
        </w:rPr>
        <w:t xml:space="preserve"> ובחו"ל</w:t>
      </w:r>
      <w:r w:rsidRPr="002F6225">
        <w:rPr>
          <w:b/>
          <w:bCs/>
          <w:rtl/>
        </w:rPr>
        <w:t xml:space="preserve">. עלייה זו קוזזה חלקית ע"י </w:t>
      </w:r>
      <w:r w:rsidR="0024359D">
        <w:rPr>
          <w:rFonts w:hint="cs"/>
          <w:b/>
          <w:bCs/>
          <w:rtl/>
        </w:rPr>
        <w:t>ירידה</w:t>
      </w:r>
      <w:r w:rsidR="003C6456" w:rsidRPr="002F6225">
        <w:rPr>
          <w:b/>
          <w:bCs/>
          <w:rtl/>
        </w:rPr>
        <w:t xml:space="preserve"> </w:t>
      </w:r>
      <w:r w:rsidRPr="002F6225">
        <w:rPr>
          <w:b/>
          <w:bCs/>
          <w:rtl/>
        </w:rPr>
        <w:t xml:space="preserve">בשווי המניות בחו"ל </w:t>
      </w:r>
      <w:r w:rsidR="003C6456">
        <w:rPr>
          <w:rFonts w:hint="cs"/>
          <w:b/>
          <w:bCs/>
          <w:rtl/>
        </w:rPr>
        <w:t>ו</w:t>
      </w:r>
      <w:r w:rsidR="003A0736">
        <w:rPr>
          <w:rFonts w:hint="cs"/>
          <w:b/>
          <w:bCs/>
          <w:rtl/>
        </w:rPr>
        <w:t>ב</w:t>
      </w:r>
      <w:r>
        <w:rPr>
          <w:b/>
          <w:bCs/>
          <w:rtl/>
        </w:rPr>
        <w:t>מק"מ</w:t>
      </w:r>
      <w:r>
        <w:rPr>
          <w:rFonts w:hint="cs"/>
          <w:b/>
          <w:bCs/>
          <w:rtl/>
        </w:rPr>
        <w:t>.</w:t>
      </w:r>
    </w:p>
    <w:p w:rsidR="00F03CB5" w:rsidRPr="00E317EA" w:rsidRDefault="00F03CB5" w:rsidP="002F6225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בר</w:t>
      </w:r>
      <w:r w:rsidRPr="00F03CB5">
        <w:rPr>
          <w:rFonts w:hint="cs"/>
          <w:b/>
          <w:bCs/>
          <w:rtl/>
        </w:rPr>
        <w:t xml:space="preserve">ביע </w:t>
      </w:r>
      <w:r w:rsidR="002F6225">
        <w:rPr>
          <w:rFonts w:hint="cs"/>
          <w:b/>
          <w:bCs/>
          <w:rtl/>
        </w:rPr>
        <w:t>הראשון</w:t>
      </w:r>
      <w:r w:rsidRPr="00F03CB5">
        <w:rPr>
          <w:rFonts w:hint="cs"/>
          <w:b/>
          <w:bCs/>
          <w:rtl/>
        </w:rPr>
        <w:t xml:space="preserve"> של שנת </w:t>
      </w:r>
      <w:r w:rsidR="002F6225">
        <w:rPr>
          <w:rFonts w:hint="cs"/>
          <w:b/>
          <w:bCs/>
          <w:rtl/>
        </w:rPr>
        <w:t>2016</w:t>
      </w:r>
      <w:r w:rsidRPr="00F03CB5">
        <w:rPr>
          <w:rFonts w:hint="cs"/>
          <w:b/>
          <w:bCs/>
          <w:rtl/>
        </w:rPr>
        <w:t xml:space="preserve">, </w:t>
      </w:r>
      <w:r w:rsidR="004D6685">
        <w:rPr>
          <w:rFonts w:hint="cs"/>
          <w:b/>
          <w:bCs/>
          <w:rtl/>
        </w:rPr>
        <w:t>נמשכה</w:t>
      </w:r>
      <w:r w:rsidRPr="00F03CB5">
        <w:rPr>
          <w:rFonts w:hint="cs"/>
          <w:b/>
          <w:bCs/>
          <w:rtl/>
        </w:rPr>
        <w:t xml:space="preserve"> מגמת הפדיונות נטו </w:t>
      </w:r>
      <w:r w:rsidR="006726B2">
        <w:rPr>
          <w:rFonts w:hint="cs"/>
          <w:b/>
          <w:bCs/>
          <w:rtl/>
        </w:rPr>
        <w:t>ב</w:t>
      </w:r>
      <w:r w:rsidRPr="00F03CB5">
        <w:rPr>
          <w:rFonts w:hint="cs"/>
          <w:b/>
          <w:bCs/>
          <w:rtl/>
        </w:rPr>
        <w:t>קרנות הכספיות (</w:t>
      </w:r>
      <w:r w:rsidR="00CB5476">
        <w:rPr>
          <w:rFonts w:hint="cs"/>
          <w:b/>
          <w:bCs/>
          <w:rtl/>
        </w:rPr>
        <w:t>פדיון בסך</w:t>
      </w:r>
      <w:r w:rsidRPr="00F03CB5">
        <w:rPr>
          <w:rFonts w:hint="cs"/>
          <w:b/>
          <w:bCs/>
          <w:rtl/>
        </w:rPr>
        <w:t xml:space="preserve"> </w:t>
      </w:r>
      <w:r w:rsidR="002F6225">
        <w:rPr>
          <w:rFonts w:hint="cs"/>
          <w:b/>
          <w:bCs/>
          <w:rtl/>
        </w:rPr>
        <w:t>11.6</w:t>
      </w:r>
      <w:r w:rsidRPr="00F03CB5">
        <w:rPr>
          <w:rFonts w:hint="cs"/>
          <w:b/>
          <w:bCs/>
          <w:rtl/>
        </w:rPr>
        <w:t xml:space="preserve"> מיליארדי </w:t>
      </w:r>
      <w:r w:rsidR="00FD22C6">
        <w:rPr>
          <w:rFonts w:hint="cs"/>
          <w:b/>
          <w:bCs/>
          <w:rtl/>
        </w:rPr>
        <w:t>ש</w:t>
      </w:r>
      <w:r w:rsidR="00FD22C6">
        <w:rPr>
          <w:b/>
          <w:bCs/>
          <w:rtl/>
        </w:rPr>
        <w:t>"</w:t>
      </w:r>
      <w:r w:rsidR="00FD22C6">
        <w:rPr>
          <w:rFonts w:hint="cs"/>
          <w:b/>
          <w:bCs/>
          <w:rtl/>
        </w:rPr>
        <w:t>ח</w:t>
      </w:r>
      <w:r w:rsidR="00DD70A6">
        <w:rPr>
          <w:rFonts w:hint="cs"/>
          <w:b/>
          <w:bCs/>
          <w:rtl/>
        </w:rPr>
        <w:t xml:space="preserve">, </w:t>
      </w:r>
      <w:r w:rsidR="002F6225">
        <w:rPr>
          <w:rFonts w:hint="cs"/>
          <w:b/>
          <w:bCs/>
          <w:rtl/>
        </w:rPr>
        <w:t>5.1</w:t>
      </w:r>
      <w:r w:rsidR="00DD70A6">
        <w:rPr>
          <w:rFonts w:hint="cs"/>
          <w:b/>
          <w:bCs/>
          <w:rtl/>
        </w:rPr>
        <w:t>%-).</w:t>
      </w:r>
    </w:p>
    <w:p w:rsidR="00AD1F1B" w:rsidRPr="00AD1F1B" w:rsidRDefault="00AD1F1B" w:rsidP="00AD1F1B">
      <w:pPr>
        <w:pStyle w:val="ae"/>
        <w:spacing w:line="360" w:lineRule="auto"/>
        <w:jc w:val="both"/>
        <w:rPr>
          <w:b/>
          <w:bCs/>
          <w:rtl/>
        </w:rPr>
      </w:pPr>
    </w:p>
    <w:p w:rsidR="002A7E7B" w:rsidRPr="00762073" w:rsidRDefault="002A7E7B" w:rsidP="00762073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762073">
        <w:rPr>
          <w:rStyle w:val="10"/>
          <w:rFonts w:hint="cs"/>
          <w:rtl/>
        </w:rPr>
        <w:t>סך תיק הנכסים</w:t>
      </w:r>
    </w:p>
    <w:p w:rsidR="001F3A15" w:rsidRDefault="0027468F" w:rsidP="00762073">
      <w:pPr>
        <w:spacing w:line="360" w:lineRule="auto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601389">
        <w:rPr>
          <w:rFonts w:hint="cs"/>
          <w:b/>
          <w:bCs/>
          <w:rtl/>
        </w:rPr>
        <w:t>הראשון</w:t>
      </w:r>
      <w:r w:rsidR="008F4C5E">
        <w:rPr>
          <w:rFonts w:hint="cs"/>
          <w:b/>
          <w:bCs/>
          <w:rtl/>
        </w:rPr>
        <w:t xml:space="preserve"> של שנת</w:t>
      </w:r>
      <w:r w:rsidR="0049743C" w:rsidRPr="009F776D">
        <w:rPr>
          <w:rFonts w:hint="cs"/>
          <w:b/>
          <w:bCs/>
          <w:rtl/>
        </w:rPr>
        <w:t xml:space="preserve"> </w:t>
      </w:r>
      <w:r w:rsidR="001F2087">
        <w:rPr>
          <w:rFonts w:hint="cs"/>
          <w:b/>
          <w:bCs/>
          <w:rtl/>
        </w:rPr>
        <w:t>2016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3C6456" w:rsidRPr="0024359D">
        <w:rPr>
          <w:rFonts w:hint="cs"/>
          <w:rtl/>
        </w:rPr>
        <w:t>נותר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 </w:t>
      </w:r>
      <w:r w:rsidR="001F2087">
        <w:rPr>
          <w:rFonts w:hint="cs"/>
          <w:rtl/>
        </w:rPr>
        <w:t>כמעט ללא שינוי</w:t>
      </w:r>
      <w:r w:rsidR="001F2087" w:rsidRPr="00C75BF9">
        <w:rPr>
          <w:rFonts w:hint="cs"/>
          <w:rtl/>
        </w:rPr>
        <w:t xml:space="preserve"> </w:t>
      </w:r>
      <w:r w:rsidR="0049743C">
        <w:rPr>
          <w:rFonts w:hint="cs"/>
          <w:rtl/>
        </w:rPr>
        <w:t xml:space="preserve">ועמד </w:t>
      </w:r>
      <w:r w:rsidR="003C6456">
        <w:rPr>
          <w:rFonts w:hint="cs"/>
          <w:rtl/>
        </w:rPr>
        <w:t>בסופו</w:t>
      </w:r>
      <w:r w:rsidR="0049743C">
        <w:rPr>
          <w:rFonts w:hint="cs"/>
          <w:rtl/>
        </w:rPr>
        <w:t xml:space="preserve"> על כ- </w:t>
      </w:r>
      <w:r w:rsidR="008F4C5E">
        <w:rPr>
          <w:rFonts w:hint="cs"/>
          <w:rtl/>
        </w:rPr>
        <w:t>3.</w:t>
      </w:r>
      <w:r w:rsidR="001F2087">
        <w:rPr>
          <w:rFonts w:hint="cs"/>
          <w:rtl/>
        </w:rPr>
        <w:t>31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F3982">
        <w:rPr>
          <w:rFonts w:hint="cs"/>
          <w:rtl/>
        </w:rPr>
        <w:t>.</w:t>
      </w:r>
      <w:r w:rsidR="00313272">
        <w:rPr>
          <w:rFonts w:hint="cs"/>
          <w:b/>
          <w:bCs/>
          <w:rtl/>
        </w:rPr>
        <w:t xml:space="preserve"> </w:t>
      </w:r>
    </w:p>
    <w:p w:rsidR="001E6A6C" w:rsidRDefault="003C6456" w:rsidP="00762073">
      <w:pPr>
        <w:spacing w:line="360" w:lineRule="auto"/>
        <w:rPr>
          <w:rtl/>
        </w:rPr>
      </w:pPr>
      <w:r>
        <w:rPr>
          <w:rFonts w:hint="cs"/>
          <w:rtl/>
        </w:rPr>
        <w:t>היציבות</w:t>
      </w:r>
      <w:r w:rsidR="008C152B">
        <w:rPr>
          <w:rFonts w:hint="cs"/>
          <w:rtl/>
        </w:rPr>
        <w:t xml:space="preserve"> ברביע זה</w:t>
      </w:r>
      <w:r w:rsidR="00256235" w:rsidRPr="00C75BF9">
        <w:rPr>
          <w:rFonts w:hint="cs"/>
          <w:rtl/>
        </w:rPr>
        <w:t xml:space="preserve">, </w:t>
      </w:r>
      <w:r w:rsidR="002F6225">
        <w:rPr>
          <w:rFonts w:hint="cs"/>
          <w:rtl/>
        </w:rPr>
        <w:t>נבע</w:t>
      </w:r>
      <w:r>
        <w:rPr>
          <w:rFonts w:hint="cs"/>
          <w:rtl/>
        </w:rPr>
        <w:t>ה</w:t>
      </w:r>
      <w:r w:rsidR="00BE1545">
        <w:rPr>
          <w:rFonts w:hint="cs"/>
          <w:rtl/>
        </w:rPr>
        <w:t xml:space="preserve"> </w:t>
      </w:r>
      <w:r w:rsidR="001F2087">
        <w:rPr>
          <w:rFonts w:hint="cs"/>
          <w:rtl/>
        </w:rPr>
        <w:t>מ</w:t>
      </w:r>
      <w:r w:rsidR="001F2087" w:rsidRPr="009076D4">
        <w:rPr>
          <w:rFonts w:hint="cs"/>
          <w:rtl/>
        </w:rPr>
        <w:t xml:space="preserve">עלייה </w:t>
      </w:r>
      <w:r w:rsidR="001F2087">
        <w:rPr>
          <w:rFonts w:hint="cs"/>
          <w:rtl/>
        </w:rPr>
        <w:t>ביתרת</w:t>
      </w:r>
      <w:r w:rsidR="001F2087" w:rsidRPr="009076D4">
        <w:rPr>
          <w:rFonts w:hint="cs"/>
          <w:rtl/>
        </w:rPr>
        <w:t xml:space="preserve"> המזומן והפיקדונות (כ-</w:t>
      </w:r>
      <w:r w:rsidR="001F2087">
        <w:rPr>
          <w:rFonts w:hint="cs"/>
          <w:rtl/>
        </w:rPr>
        <w:t>22.7</w:t>
      </w:r>
      <w:r w:rsidR="001F2087" w:rsidRPr="009076D4">
        <w:rPr>
          <w:rFonts w:hint="cs"/>
          <w:rtl/>
        </w:rPr>
        <w:t xml:space="preserve"> מיליארדי ש"ח, 2%)</w:t>
      </w:r>
      <w:r w:rsidR="001F2087">
        <w:rPr>
          <w:rFonts w:hint="cs"/>
          <w:rtl/>
        </w:rPr>
        <w:t xml:space="preserve"> ובאג"ח חברות סחיר (11.3 מיליארדי ש"ח, 4.2%), </w:t>
      </w:r>
      <w:r w:rsidR="001F2087" w:rsidRPr="009076D4">
        <w:rPr>
          <w:rFonts w:hint="cs"/>
          <w:rtl/>
        </w:rPr>
        <w:t>אשר קוזז</w:t>
      </w:r>
      <w:r>
        <w:rPr>
          <w:rFonts w:hint="cs"/>
          <w:rtl/>
        </w:rPr>
        <w:t>ו</w:t>
      </w:r>
      <w:r w:rsidR="001F2087" w:rsidRPr="009076D4">
        <w:rPr>
          <w:rFonts w:hint="cs"/>
          <w:rtl/>
        </w:rPr>
        <w:t xml:space="preserve"> </w:t>
      </w:r>
      <w:r w:rsidR="001F2087">
        <w:rPr>
          <w:rFonts w:hint="cs"/>
          <w:rtl/>
        </w:rPr>
        <w:t>כמעט במלוא</w:t>
      </w:r>
      <w:r>
        <w:rPr>
          <w:rFonts w:hint="cs"/>
          <w:rtl/>
        </w:rPr>
        <w:t>ן</w:t>
      </w:r>
      <w:r w:rsidR="001F2087" w:rsidRPr="009076D4">
        <w:rPr>
          <w:rFonts w:hint="cs"/>
          <w:rtl/>
        </w:rPr>
        <w:t xml:space="preserve"> ע"י </w:t>
      </w:r>
      <w:r w:rsidR="00E5543B">
        <w:rPr>
          <w:rFonts w:hint="cs"/>
          <w:rtl/>
        </w:rPr>
        <w:t xml:space="preserve">הירידה </w:t>
      </w:r>
      <w:r w:rsidR="00894FBB">
        <w:rPr>
          <w:rFonts w:hint="cs"/>
          <w:rtl/>
        </w:rPr>
        <w:t>בשווי</w:t>
      </w:r>
      <w:r w:rsidR="0040499D">
        <w:rPr>
          <w:rFonts w:hint="cs"/>
          <w:rtl/>
        </w:rPr>
        <w:t xml:space="preserve"> המניות בארץ (כ- </w:t>
      </w:r>
      <w:r w:rsidR="001F2087">
        <w:rPr>
          <w:rFonts w:hint="cs"/>
          <w:rtl/>
        </w:rPr>
        <w:t>15</w:t>
      </w:r>
      <w:r w:rsidR="0040499D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40499D">
        <w:rPr>
          <w:rFonts w:hint="cs"/>
          <w:rtl/>
        </w:rPr>
        <w:t xml:space="preserve">, </w:t>
      </w:r>
      <w:r w:rsidR="001F2087">
        <w:rPr>
          <w:rFonts w:hint="cs"/>
          <w:rtl/>
        </w:rPr>
        <w:t>3.1</w:t>
      </w:r>
      <w:r w:rsidR="0040499D">
        <w:rPr>
          <w:rFonts w:hint="cs"/>
          <w:rtl/>
        </w:rPr>
        <w:t>%</w:t>
      </w:r>
      <w:r w:rsidR="00862B40">
        <w:rPr>
          <w:rFonts w:hint="cs"/>
          <w:rtl/>
        </w:rPr>
        <w:t>) ו</w:t>
      </w:r>
      <w:r w:rsidR="001F2087">
        <w:rPr>
          <w:rFonts w:hint="cs"/>
          <w:rtl/>
        </w:rPr>
        <w:t>בהשקעות בחו"ל</w:t>
      </w:r>
      <w:r w:rsidR="00862B40">
        <w:rPr>
          <w:rFonts w:hint="cs"/>
          <w:rtl/>
        </w:rPr>
        <w:t xml:space="preserve"> (כ-</w:t>
      </w:r>
      <w:r w:rsidR="001F2087">
        <w:rPr>
          <w:rFonts w:hint="cs"/>
          <w:rtl/>
        </w:rPr>
        <w:t>19.3</w:t>
      </w:r>
      <w:r w:rsidR="00862B40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862B40">
        <w:rPr>
          <w:rFonts w:hint="cs"/>
          <w:rtl/>
        </w:rPr>
        <w:t xml:space="preserve">, </w:t>
      </w:r>
      <w:r w:rsidR="00D66AA7">
        <w:rPr>
          <w:rFonts w:hint="cs"/>
          <w:rtl/>
        </w:rPr>
        <w:t>4.1</w:t>
      </w:r>
      <w:r w:rsidR="00862B40" w:rsidRPr="009076D4">
        <w:rPr>
          <w:rFonts w:hint="cs"/>
          <w:rtl/>
        </w:rPr>
        <w:t>%)</w:t>
      </w:r>
      <w:r w:rsidR="00D66AA7">
        <w:rPr>
          <w:rFonts w:hint="cs"/>
          <w:rtl/>
        </w:rPr>
        <w:t>.</w:t>
      </w:r>
    </w:p>
    <w:p w:rsidR="002A7E7B" w:rsidRDefault="00181A28" w:rsidP="00762073">
      <w:pPr>
        <w:spacing w:line="360" w:lineRule="auto"/>
        <w:rPr>
          <w:b/>
          <w:bCs/>
          <w:highlight w:val="yellow"/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307811">
        <w:rPr>
          <w:rFonts w:hint="cs"/>
          <w:rtl/>
        </w:rPr>
        <w:t>ירד</w:t>
      </w:r>
      <w:r w:rsidR="00803998" w:rsidRPr="00803998">
        <w:rPr>
          <w:rFonts w:hint="cs"/>
          <w:rtl/>
        </w:rPr>
        <w:t xml:space="preserve"> במהלך הרביע בכ-</w:t>
      </w:r>
      <w:r w:rsidR="00D66AA7">
        <w:rPr>
          <w:rFonts w:hint="cs"/>
          <w:rtl/>
        </w:rPr>
        <w:t xml:space="preserve">2.9 </w:t>
      </w:r>
      <w:r w:rsidR="00803998" w:rsidRPr="00803998">
        <w:rPr>
          <w:rFonts w:hint="cs"/>
          <w:rtl/>
        </w:rPr>
        <w:t xml:space="preserve">נקודות האחוז </w:t>
      </w:r>
      <w:r w:rsidR="003C6456" w:rsidRPr="00803998">
        <w:rPr>
          <w:rFonts w:hint="cs"/>
          <w:rtl/>
        </w:rPr>
        <w:t>ו</w:t>
      </w:r>
      <w:r w:rsidR="003C6456">
        <w:rPr>
          <w:rFonts w:hint="cs"/>
          <w:rtl/>
        </w:rPr>
        <w:t>הגיע</w:t>
      </w:r>
      <w:r w:rsidR="003C6456" w:rsidRPr="00803998">
        <w:rPr>
          <w:rFonts w:hint="cs"/>
          <w:rtl/>
        </w:rPr>
        <w:t xml:space="preserve"> </w:t>
      </w:r>
      <w:r w:rsidR="001F3A15" w:rsidRPr="00803998">
        <w:rPr>
          <w:rFonts w:hint="cs"/>
          <w:rtl/>
        </w:rPr>
        <w:t xml:space="preserve">בסוף </w:t>
      </w:r>
      <w:r w:rsidR="00D66AA7">
        <w:rPr>
          <w:rFonts w:hint="cs"/>
          <w:rtl/>
        </w:rPr>
        <w:t>מרץ</w:t>
      </w:r>
      <w:r w:rsidR="001F3A15" w:rsidRPr="00803998">
        <w:rPr>
          <w:rFonts w:hint="cs"/>
          <w:rtl/>
        </w:rPr>
        <w:t xml:space="preserve"> </w:t>
      </w:r>
      <w:r w:rsidR="003C6456" w:rsidRPr="00803998">
        <w:rPr>
          <w:rFonts w:hint="cs"/>
          <w:rtl/>
        </w:rPr>
        <w:t>201</w:t>
      </w:r>
      <w:r w:rsidR="003C6456">
        <w:rPr>
          <w:rFonts w:hint="cs"/>
          <w:rtl/>
        </w:rPr>
        <w:t>6</w:t>
      </w:r>
      <w:r w:rsidR="001F3A15" w:rsidRPr="00803998">
        <w:rPr>
          <w:rFonts w:hint="cs"/>
          <w:rtl/>
        </w:rPr>
        <w:t xml:space="preserve"> </w:t>
      </w:r>
      <w:r w:rsidR="003C6456">
        <w:rPr>
          <w:rFonts w:hint="cs"/>
          <w:rtl/>
        </w:rPr>
        <w:t>ל</w:t>
      </w:r>
      <w:r w:rsidR="001F3A15" w:rsidRPr="00803998">
        <w:rPr>
          <w:rFonts w:hint="cs"/>
          <w:rtl/>
        </w:rPr>
        <w:t>כ-</w:t>
      </w:r>
      <w:r w:rsidR="00D66AA7">
        <w:rPr>
          <w:rFonts w:hint="cs"/>
          <w:rtl/>
        </w:rPr>
        <w:t>285.3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 ו-3)</w:t>
      </w:r>
      <w:r w:rsidR="001F3A15">
        <w:rPr>
          <w:rFonts w:hint="cs"/>
          <w:rtl/>
        </w:rPr>
        <w:t xml:space="preserve"> </w:t>
      </w:r>
      <w:r w:rsidR="003C6456">
        <w:rPr>
          <w:rFonts w:hint="cs"/>
          <w:rtl/>
        </w:rPr>
        <w:t xml:space="preserve">ובכך השלים </w:t>
      </w:r>
      <w:r w:rsidR="00DE3CCE">
        <w:rPr>
          <w:rFonts w:hint="cs"/>
          <w:rtl/>
        </w:rPr>
        <w:t>ירידה</w:t>
      </w:r>
      <w:r w:rsidR="00D66AA7">
        <w:rPr>
          <w:rFonts w:hint="cs"/>
          <w:rtl/>
        </w:rPr>
        <w:t xml:space="preserve"> מצטברת</w:t>
      </w:r>
      <w:r w:rsidR="00DE3CCE">
        <w:rPr>
          <w:rFonts w:hint="cs"/>
          <w:rtl/>
        </w:rPr>
        <w:t xml:space="preserve"> של כ- </w:t>
      </w:r>
      <w:r w:rsidR="00D66AA7">
        <w:rPr>
          <w:rFonts w:hint="cs"/>
          <w:rtl/>
        </w:rPr>
        <w:t xml:space="preserve">15.1 </w:t>
      </w:r>
      <w:r w:rsidR="00DE3CCE">
        <w:rPr>
          <w:rFonts w:hint="cs"/>
          <w:rtl/>
        </w:rPr>
        <w:t xml:space="preserve">נקודות האחוז </w:t>
      </w:r>
      <w:r w:rsidR="00D66AA7">
        <w:rPr>
          <w:rFonts w:hint="cs"/>
          <w:rtl/>
        </w:rPr>
        <w:t>בארבע</w:t>
      </w:r>
      <w:r w:rsidR="003C6456">
        <w:rPr>
          <w:rFonts w:hint="cs"/>
          <w:rtl/>
        </w:rPr>
        <w:t>ת</w:t>
      </w:r>
      <w:r w:rsidR="00D66AA7">
        <w:rPr>
          <w:rFonts w:hint="cs"/>
          <w:rtl/>
        </w:rPr>
        <w:t xml:space="preserve"> </w:t>
      </w:r>
      <w:r w:rsidR="003C6456">
        <w:rPr>
          <w:rFonts w:hint="cs"/>
          <w:rtl/>
        </w:rPr>
        <w:t>ה</w:t>
      </w:r>
      <w:r w:rsidR="00D66AA7">
        <w:rPr>
          <w:rFonts w:hint="cs"/>
          <w:rtl/>
        </w:rPr>
        <w:t>רביעים האחרונים</w:t>
      </w:r>
      <w:r w:rsidRPr="00DE3CCE">
        <w:rPr>
          <w:rFonts w:hint="cs"/>
          <w:rtl/>
        </w:rPr>
        <w:t xml:space="preserve">. </w:t>
      </w:r>
      <w:r w:rsidR="00C527A7" w:rsidRPr="00DE3CCE">
        <w:rPr>
          <w:rFonts w:hint="cs"/>
          <w:rtl/>
        </w:rPr>
        <w:t>ירידה זו נבעה</w:t>
      </w:r>
      <w:r w:rsidR="00B81428" w:rsidRPr="00DE3CCE">
        <w:rPr>
          <w:rFonts w:hint="cs"/>
          <w:rtl/>
        </w:rPr>
        <w:t xml:space="preserve"> משילוב של </w:t>
      </w:r>
      <w:r w:rsidR="003C6456">
        <w:rPr>
          <w:rFonts w:hint="cs"/>
          <w:rtl/>
        </w:rPr>
        <w:t>יציבות</w:t>
      </w:r>
      <w:r w:rsidR="00B81428" w:rsidRPr="00DE3CCE">
        <w:rPr>
          <w:rFonts w:hint="cs"/>
          <w:rtl/>
        </w:rPr>
        <w:t xml:space="preserve"> </w:t>
      </w:r>
      <w:r w:rsidR="00C527A7" w:rsidRPr="00DE3CCE">
        <w:rPr>
          <w:rFonts w:hint="cs"/>
          <w:rtl/>
        </w:rPr>
        <w:t>ב</w:t>
      </w:r>
      <w:r w:rsidR="00B81428" w:rsidRPr="00DE3CCE">
        <w:rPr>
          <w:rFonts w:hint="cs"/>
          <w:rtl/>
        </w:rPr>
        <w:t xml:space="preserve">שווי תיק הנכסים </w:t>
      </w:r>
      <w:r w:rsidR="00C527A7" w:rsidRPr="00DE3CCE">
        <w:rPr>
          <w:rFonts w:hint="cs"/>
          <w:rtl/>
        </w:rPr>
        <w:t>ו</w:t>
      </w:r>
      <w:r w:rsidR="00B81428" w:rsidRPr="00DE3CCE">
        <w:rPr>
          <w:rFonts w:hint="cs"/>
          <w:rtl/>
        </w:rPr>
        <w:t>עלייה בתמ"ג.</w:t>
      </w:r>
      <w:r w:rsidR="00B81428">
        <w:rPr>
          <w:rFonts w:hint="cs"/>
          <w:rtl/>
        </w:rPr>
        <w:t xml:space="preserve"> </w:t>
      </w:r>
      <w:r w:rsidR="009C0C19">
        <w:rPr>
          <w:b/>
          <w:bCs/>
          <w:noProof/>
          <w:lang w:eastAsia="en-US"/>
        </w:rPr>
        <w:lastRenderedPageBreak/>
        <w:drawing>
          <wp:inline distT="0" distB="0" distL="0" distR="0" wp14:anchorId="376AE49B" wp14:editId="1AD0DAD0">
            <wp:extent cx="5277600" cy="3220329"/>
            <wp:effectExtent l="0" t="0" r="0" b="0"/>
            <wp:docPr id="12" name="תמונה 12" descr="יתרת תיק הנכסים הפיננסיים שבידי הציבור" title="יתרת תיק הנכסים הפיננסיים שבידי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6236" w:rsidRPr="00B26236">
        <w:rPr>
          <w:noProof/>
          <w:lang w:eastAsia="en-US"/>
        </w:rPr>
        <w:t xml:space="preserve"> </w:t>
      </w:r>
      <w:r w:rsidR="00B26236" w:rsidRPr="00B26236">
        <w:rPr>
          <w:noProof/>
          <w:lang w:eastAsia="en-US"/>
        </w:rPr>
        <w:drawing>
          <wp:inline distT="0" distB="0" distL="0" distR="0" wp14:anchorId="5967227F" wp14:editId="64A3402B">
            <wp:extent cx="5278120" cy="2592632"/>
            <wp:effectExtent l="0" t="0" r="0" b="0"/>
            <wp:docPr id="1" name="תמונה 1" descr="התפלגות תיק הנכסים של הציבור" title="התפלגות 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9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d"/>
        <w:bidiVisual/>
        <w:tblW w:w="9502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D82901" w:rsidRPr="00207B9F" w:rsidTr="00527BC9">
        <w:tc>
          <w:tcPr>
            <w:tcW w:w="4751" w:type="dxa"/>
          </w:tcPr>
          <w:p w:rsidR="00D82901" w:rsidRPr="00207B9F" w:rsidRDefault="00D66AA7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4624" behindDoc="0" locked="0" layoutInCell="1" allowOverlap="1" wp14:anchorId="6AF6CC0F" wp14:editId="18FF474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-3810</wp:posOffset>
                  </wp:positionV>
                  <wp:extent cx="2879725" cy="1882775"/>
                  <wp:effectExtent l="0" t="0" r="0" b="3175"/>
                  <wp:wrapSquare wrapText="bothSides"/>
                  <wp:docPr id="9" name="תמונה 9" descr="התפתחות תיק הנכסים הפיננסיים של הציבור לעומת התוצר" title="התפתחות תיק הנכסים הפיננסיים של הציבור לעומת ה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82901" w:rsidRPr="00207B9F" w:rsidRDefault="00D66AA7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3600" behindDoc="0" locked="0" layoutInCell="1" allowOverlap="1" wp14:anchorId="145E0A98" wp14:editId="76C92B9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</wp:posOffset>
                  </wp:positionV>
                  <wp:extent cx="2879725" cy="1882775"/>
                  <wp:effectExtent l="0" t="0" r="0" b="3175"/>
                  <wp:wrapSquare wrapText="bothSides"/>
                  <wp:docPr id="8" name="תמונה 8" descr="יחס תיק הנכסים הפיננסיים של הציבור לתוצר" title="יחס תיק הנכסים הפיננסיים של הציבור ל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0A5D" w:rsidRDefault="005E0A5D" w:rsidP="004F63C0">
      <w:pPr>
        <w:spacing w:line="360" w:lineRule="auto"/>
        <w:jc w:val="both"/>
        <w:rPr>
          <w:b/>
          <w:bCs/>
          <w:rtl/>
        </w:rPr>
      </w:pPr>
    </w:p>
    <w:p w:rsidR="000C6D4D" w:rsidRDefault="00F33FF6" w:rsidP="00762073">
      <w:pPr>
        <w:spacing w:line="360" w:lineRule="auto"/>
        <w:rPr>
          <w:rtl/>
        </w:rPr>
      </w:pPr>
      <w:r w:rsidRPr="00762073">
        <w:rPr>
          <w:rStyle w:val="10"/>
          <w:rFonts w:hint="cs"/>
          <w:rtl/>
        </w:rPr>
        <w:t>הרכב תיק הנכסים</w:t>
      </w:r>
      <w:r>
        <w:rPr>
          <w:rFonts w:hint="cs"/>
          <w:rtl/>
        </w:rPr>
        <w:t xml:space="preserve"> </w:t>
      </w:r>
      <w:r w:rsidR="008C152B">
        <w:rPr>
          <w:rtl/>
        </w:rPr>
        <w:t>–</w:t>
      </w:r>
      <w:r>
        <w:rPr>
          <w:rFonts w:hint="cs"/>
          <w:rtl/>
        </w:rPr>
        <w:t xml:space="preserve"> </w:t>
      </w:r>
      <w:r w:rsidR="001A0A07">
        <w:rPr>
          <w:rFonts w:hint="cs"/>
          <w:rtl/>
        </w:rPr>
        <w:t>מתחילת</w:t>
      </w:r>
      <w:r w:rsidR="008C152B">
        <w:rPr>
          <w:rFonts w:hint="cs"/>
          <w:rtl/>
        </w:rPr>
        <w:t xml:space="preserve"> שנת </w:t>
      </w:r>
      <w:r w:rsidR="000F6CAC">
        <w:rPr>
          <w:rFonts w:hint="cs"/>
          <w:rtl/>
        </w:rPr>
        <w:t xml:space="preserve">2016 </w:t>
      </w:r>
      <w:r w:rsidR="000C6D4D">
        <w:rPr>
          <w:rFonts w:hint="cs"/>
          <w:rtl/>
        </w:rPr>
        <w:t xml:space="preserve">חלה </w:t>
      </w:r>
      <w:r w:rsidR="009413FA">
        <w:rPr>
          <w:rFonts w:hint="cs"/>
          <w:rtl/>
        </w:rPr>
        <w:t>ירידה</w:t>
      </w:r>
      <w:r w:rsidR="000C6D4D">
        <w:rPr>
          <w:rFonts w:hint="cs"/>
          <w:rtl/>
        </w:rPr>
        <w:t xml:space="preserve"> של כ</w:t>
      </w:r>
      <w:r w:rsidR="001A0A07">
        <w:rPr>
          <w:rFonts w:hint="cs"/>
          <w:rtl/>
        </w:rPr>
        <w:t xml:space="preserve">- </w:t>
      </w:r>
      <w:r w:rsidR="009C0C19">
        <w:rPr>
          <w:rFonts w:hint="cs"/>
          <w:rtl/>
        </w:rPr>
        <w:t>0.8</w:t>
      </w:r>
      <w:r w:rsidR="001A0A07">
        <w:rPr>
          <w:rFonts w:hint="cs"/>
          <w:rtl/>
        </w:rPr>
        <w:t xml:space="preserve"> </w:t>
      </w:r>
      <w:r w:rsidR="008C152B">
        <w:rPr>
          <w:rFonts w:hint="cs"/>
          <w:rtl/>
        </w:rPr>
        <w:t>נקוד</w:t>
      </w:r>
      <w:r w:rsidR="001A0A07">
        <w:rPr>
          <w:rFonts w:hint="cs"/>
          <w:rtl/>
        </w:rPr>
        <w:t>ו</w:t>
      </w:r>
      <w:r w:rsidR="008C152B">
        <w:rPr>
          <w:rFonts w:hint="cs"/>
          <w:rtl/>
        </w:rPr>
        <w:t>ת</w:t>
      </w:r>
      <w:r w:rsidR="000C6D4D">
        <w:rPr>
          <w:rFonts w:hint="cs"/>
          <w:rtl/>
        </w:rPr>
        <w:t xml:space="preserve"> האחוז במשקל הנכסים </w:t>
      </w:r>
      <w:r w:rsidR="009413FA">
        <w:rPr>
          <w:rFonts w:hint="cs"/>
          <w:rtl/>
        </w:rPr>
        <w:t>הסחירים</w:t>
      </w:r>
      <w:r w:rsidR="00205C1F">
        <w:rPr>
          <w:rFonts w:hint="cs"/>
          <w:rtl/>
        </w:rPr>
        <w:t xml:space="preserve">, זאת </w:t>
      </w:r>
      <w:r w:rsidR="009413FA">
        <w:rPr>
          <w:rFonts w:hint="cs"/>
          <w:rtl/>
        </w:rPr>
        <w:t xml:space="preserve">בעיקר </w:t>
      </w:r>
      <w:r w:rsidR="00205C1F">
        <w:rPr>
          <w:rFonts w:hint="cs"/>
          <w:rtl/>
        </w:rPr>
        <w:t xml:space="preserve">על רקע </w:t>
      </w:r>
      <w:r w:rsidR="009413FA">
        <w:rPr>
          <w:rFonts w:hint="cs"/>
          <w:rtl/>
        </w:rPr>
        <w:t xml:space="preserve">ירידות השערים בבורסות </w:t>
      </w:r>
      <w:r w:rsidR="009C0C19">
        <w:rPr>
          <w:rFonts w:hint="cs"/>
          <w:rtl/>
        </w:rPr>
        <w:t>בארץ ו</w:t>
      </w:r>
      <w:r w:rsidR="00205C1F">
        <w:rPr>
          <w:rFonts w:hint="cs"/>
          <w:rtl/>
        </w:rPr>
        <w:t xml:space="preserve">בעולם. </w:t>
      </w:r>
      <w:r w:rsidR="009C0C19">
        <w:rPr>
          <w:rFonts w:hint="cs"/>
          <w:rtl/>
        </w:rPr>
        <w:t>כמו כן</w:t>
      </w:r>
      <w:r w:rsidR="003B0B89">
        <w:rPr>
          <w:rFonts w:hint="cs"/>
          <w:rtl/>
        </w:rPr>
        <w:t xml:space="preserve">, חלה </w:t>
      </w:r>
      <w:r w:rsidR="009C0C19">
        <w:rPr>
          <w:rFonts w:hint="cs"/>
          <w:rtl/>
        </w:rPr>
        <w:t>ירידה</w:t>
      </w:r>
      <w:r w:rsidR="009413FA">
        <w:rPr>
          <w:rFonts w:hint="cs"/>
          <w:rtl/>
        </w:rPr>
        <w:t xml:space="preserve"> </w:t>
      </w:r>
      <w:r w:rsidR="009C0C19">
        <w:rPr>
          <w:rFonts w:hint="cs"/>
          <w:rtl/>
        </w:rPr>
        <w:t xml:space="preserve">של כ- 0.5 נקודות האחוז </w:t>
      </w:r>
      <w:r w:rsidR="00205C1F">
        <w:rPr>
          <w:rFonts w:hint="cs"/>
          <w:rtl/>
        </w:rPr>
        <w:t xml:space="preserve">במשקל הנכסים </w:t>
      </w:r>
      <w:r w:rsidR="003B0B89">
        <w:rPr>
          <w:rFonts w:hint="cs"/>
          <w:rtl/>
        </w:rPr>
        <w:t xml:space="preserve">במט"ח </w:t>
      </w:r>
      <w:r w:rsidR="009413FA">
        <w:rPr>
          <w:rFonts w:hint="cs"/>
          <w:rtl/>
        </w:rPr>
        <w:t>והזרים</w:t>
      </w:r>
      <w:r w:rsidR="002F6225">
        <w:rPr>
          <w:rFonts w:hint="cs"/>
          <w:rtl/>
        </w:rPr>
        <w:t>,</w:t>
      </w:r>
      <w:r w:rsidR="003B0B89">
        <w:rPr>
          <w:rFonts w:hint="cs"/>
          <w:rtl/>
        </w:rPr>
        <w:t xml:space="preserve"> אשר נבעה בעיקר </w:t>
      </w:r>
      <w:r w:rsidR="009413FA">
        <w:rPr>
          <w:rFonts w:hint="cs"/>
          <w:rtl/>
        </w:rPr>
        <w:t>מהחלשות</w:t>
      </w:r>
      <w:r w:rsidR="003B0B89">
        <w:rPr>
          <w:rFonts w:hint="cs"/>
          <w:rtl/>
        </w:rPr>
        <w:t xml:space="preserve"> השקל מול הדולר.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9C0C19" w:rsidP="00AE0F69">
      <w:pPr>
        <w:spacing w:line="360" w:lineRule="auto"/>
        <w:jc w:val="center"/>
        <w:rPr>
          <w:rtl/>
        </w:rPr>
      </w:pPr>
      <w:r w:rsidRPr="009C0C19">
        <w:rPr>
          <w:noProof/>
          <w:lang w:eastAsia="en-US"/>
        </w:rPr>
        <w:drawing>
          <wp:inline distT="0" distB="0" distL="0" distR="0" wp14:anchorId="1E9AB09A" wp14:editId="2F75CEF3">
            <wp:extent cx="5278120" cy="1688510"/>
            <wp:effectExtent l="0" t="0" r="0" b="6985"/>
            <wp:docPr id="13" name="תמונה 13" descr="סחירות וסיכון בתיק הנכסים של הציבור (משקל באחוזים)" title="סחירות וסיכון בתיק הנכסים של הציבור (משקל באחוז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1A095A" w:rsidRPr="00762073" w:rsidRDefault="001A095A" w:rsidP="00762073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762073">
        <w:rPr>
          <w:rStyle w:val="10"/>
          <w:rFonts w:hint="cs"/>
          <w:rtl/>
        </w:rPr>
        <w:t>התפלגות תיק ניירות הערך לפי מכשירים עיקריים</w:t>
      </w:r>
    </w:p>
    <w:p w:rsidR="000D6B53" w:rsidRDefault="000D6B53" w:rsidP="000D22CB">
      <w:pPr>
        <w:spacing w:line="360" w:lineRule="auto"/>
        <w:jc w:val="both"/>
        <w:rPr>
          <w:b/>
          <w:bCs/>
          <w:rtl/>
        </w:rPr>
      </w:pPr>
    </w:p>
    <w:p w:rsidR="00C7577B" w:rsidRDefault="004F43F0" w:rsidP="00AE0F69">
      <w:pPr>
        <w:spacing w:line="360" w:lineRule="auto"/>
        <w:jc w:val="center"/>
        <w:rPr>
          <w:b/>
          <w:bCs/>
          <w:rtl/>
        </w:rPr>
      </w:pPr>
      <w:r w:rsidRPr="004F43F0">
        <w:rPr>
          <w:noProof/>
          <w:lang w:eastAsia="en-US"/>
        </w:rPr>
        <w:drawing>
          <wp:inline distT="0" distB="0" distL="0" distR="0" wp14:anchorId="6C84FB14" wp14:editId="44A117C4">
            <wp:extent cx="5278120" cy="1939587"/>
            <wp:effectExtent l="0" t="0" r="0" b="3810"/>
            <wp:docPr id="7" name="תמונה 7" descr="שווי הנכסים בתיק ני&quot;ע אומדן השינוי הכמותי" title="שווי הנכסים בתיק ני&quot;ע 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762073">
      <w:pPr>
        <w:pStyle w:val="1"/>
        <w:rPr>
          <w:color w:val="FF0000"/>
          <w:rtl/>
        </w:rPr>
      </w:pPr>
      <w:r w:rsidRPr="00353174">
        <w:rPr>
          <w:rFonts w:hint="cs"/>
          <w:rtl/>
        </w:rPr>
        <w:t>מניות בארץ</w:t>
      </w:r>
      <w:r w:rsidR="00B604AD" w:rsidRPr="00353174">
        <w:rPr>
          <w:rFonts w:hint="cs"/>
          <w:rtl/>
        </w:rPr>
        <w:t xml:space="preserve"> </w:t>
      </w:r>
    </w:p>
    <w:p w:rsidR="004B184A" w:rsidRDefault="00A42E4B" w:rsidP="00CF4AEF">
      <w:pPr>
        <w:spacing w:line="360" w:lineRule="auto"/>
        <w:jc w:val="both"/>
        <w:rPr>
          <w:rtl/>
        </w:rPr>
      </w:pPr>
      <w:r w:rsidRPr="004E5982">
        <w:rPr>
          <w:rFonts w:hint="cs"/>
          <w:b/>
          <w:bCs/>
          <w:rtl/>
        </w:rPr>
        <w:t xml:space="preserve">ברביע </w:t>
      </w:r>
      <w:r w:rsidR="00C16220">
        <w:rPr>
          <w:rFonts w:hint="cs"/>
          <w:b/>
          <w:bCs/>
          <w:rtl/>
        </w:rPr>
        <w:t>הראשון</w:t>
      </w:r>
      <w:r w:rsidRPr="004E5982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2016</w:t>
      </w:r>
      <w:r w:rsidR="00D82456" w:rsidRPr="004E5982">
        <w:rPr>
          <w:rFonts w:hint="cs"/>
          <w:rtl/>
        </w:rPr>
        <w:t xml:space="preserve"> </w:t>
      </w:r>
      <w:r w:rsidR="0041231E">
        <w:rPr>
          <w:rFonts w:hint="cs"/>
          <w:rtl/>
        </w:rPr>
        <w:t>ירדה</w:t>
      </w:r>
      <w:r w:rsidR="0049743C" w:rsidRPr="004E5982">
        <w:rPr>
          <w:rFonts w:hint="cs"/>
          <w:rtl/>
        </w:rPr>
        <w:t xml:space="preserve"> יתרת המניות</w:t>
      </w:r>
      <w:r w:rsidRPr="004E5982">
        <w:rPr>
          <w:rFonts w:hint="cs"/>
          <w:rtl/>
        </w:rPr>
        <w:t xml:space="preserve"> בארץ</w:t>
      </w:r>
      <w:r w:rsidR="0049743C" w:rsidRPr="004E5982">
        <w:rPr>
          <w:rFonts w:hint="cs"/>
          <w:rtl/>
        </w:rPr>
        <w:t xml:space="preserve"> </w:t>
      </w:r>
      <w:r w:rsidR="00BA0C83" w:rsidRPr="004E5982">
        <w:rPr>
          <w:rFonts w:hint="cs"/>
          <w:rtl/>
        </w:rPr>
        <w:t xml:space="preserve">בתיק הנכסים </w:t>
      </w:r>
      <w:r w:rsidR="0049743C" w:rsidRPr="004E5982">
        <w:rPr>
          <w:rFonts w:hint="cs"/>
          <w:rtl/>
        </w:rPr>
        <w:t>בכ-</w:t>
      </w:r>
      <w:r w:rsidR="00C16220">
        <w:rPr>
          <w:rFonts w:hint="cs"/>
          <w:rtl/>
        </w:rPr>
        <w:t>15</w:t>
      </w:r>
      <w:r w:rsidR="0049743C" w:rsidRPr="004E5982">
        <w:rPr>
          <w:rFonts w:hint="cs"/>
          <w:rtl/>
        </w:rPr>
        <w:t xml:space="preserve"> מיליארדי </w:t>
      </w:r>
      <w:r w:rsidR="00FD22C6" w:rsidRPr="004E5982">
        <w:rPr>
          <w:rFonts w:hint="cs"/>
          <w:rtl/>
        </w:rPr>
        <w:t>ש</w:t>
      </w:r>
      <w:r w:rsidR="00FD22C6" w:rsidRPr="004E5982">
        <w:rPr>
          <w:rtl/>
        </w:rPr>
        <w:t>"</w:t>
      </w:r>
      <w:r w:rsidR="00FD22C6" w:rsidRPr="004E5982">
        <w:rPr>
          <w:rFonts w:hint="cs"/>
          <w:rtl/>
        </w:rPr>
        <w:t>ח</w:t>
      </w:r>
      <w:r w:rsidR="00B9472B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(</w:t>
      </w:r>
      <w:r w:rsidR="00C16220">
        <w:rPr>
          <w:rFonts w:hint="cs"/>
          <w:rtl/>
        </w:rPr>
        <w:t>3.1</w:t>
      </w:r>
      <w:r w:rsidR="0049743C" w:rsidRPr="004E5982">
        <w:rPr>
          <w:rFonts w:hint="cs"/>
          <w:rtl/>
        </w:rPr>
        <w:t>%</w:t>
      </w:r>
      <w:r w:rsidR="00093D73">
        <w:rPr>
          <w:rFonts w:hint="cs"/>
          <w:rtl/>
        </w:rPr>
        <w:t>-</w:t>
      </w:r>
      <w:r w:rsidR="0049743C" w:rsidRPr="004E5982">
        <w:rPr>
          <w:rFonts w:hint="cs"/>
          <w:rtl/>
        </w:rPr>
        <w:t xml:space="preserve">) ועמדה בסוף חודש </w:t>
      </w:r>
      <w:r w:rsidR="00C16220">
        <w:rPr>
          <w:rFonts w:hint="cs"/>
          <w:rtl/>
        </w:rPr>
        <w:t>מרץ</w:t>
      </w:r>
      <w:r w:rsidR="005E0A5D" w:rsidRPr="004E5982">
        <w:rPr>
          <w:rFonts w:hint="cs"/>
          <w:rtl/>
        </w:rPr>
        <w:t xml:space="preserve"> על כ-</w:t>
      </w:r>
      <w:r w:rsidR="00C16220">
        <w:rPr>
          <w:rFonts w:hint="cs"/>
          <w:rtl/>
        </w:rPr>
        <w:t>477.4</w:t>
      </w:r>
      <w:r w:rsidR="005E0A5D" w:rsidRPr="004E5982">
        <w:rPr>
          <w:rFonts w:hint="cs"/>
          <w:rtl/>
        </w:rPr>
        <w:t xml:space="preserve"> </w:t>
      </w:r>
      <w:r w:rsidR="0049743C" w:rsidRPr="004E5982">
        <w:rPr>
          <w:rFonts w:hint="cs"/>
          <w:rtl/>
        </w:rPr>
        <w:t>מיליארדים</w:t>
      </w:r>
      <w:r w:rsidR="00C16220">
        <w:rPr>
          <w:rFonts w:hint="cs"/>
          <w:rtl/>
        </w:rPr>
        <w:t xml:space="preserve">. </w:t>
      </w:r>
      <w:r w:rsidR="000F6CAC">
        <w:rPr>
          <w:rFonts w:hint="cs"/>
          <w:rtl/>
        </w:rPr>
        <w:t>זאת בהמשך לירידה מצטברת של כ- 52.5 מיליארדים ביתרת המניות בשני הרביעים הקודמים. הירידה ברביע הנוכחי היא</w:t>
      </w:r>
      <w:r w:rsidR="00C16220">
        <w:rPr>
          <w:rFonts w:hint="cs"/>
          <w:rtl/>
        </w:rPr>
        <w:t xml:space="preserve"> כתוצאה</w:t>
      </w:r>
      <w:r w:rsidR="0041231E">
        <w:rPr>
          <w:rFonts w:hint="cs"/>
          <w:rtl/>
        </w:rPr>
        <w:t xml:space="preserve"> </w:t>
      </w:r>
      <w:r w:rsidR="00C16220">
        <w:rPr>
          <w:rFonts w:hint="cs"/>
          <w:rtl/>
        </w:rPr>
        <w:t>מ</w:t>
      </w:r>
      <w:r w:rsidR="0041231E">
        <w:rPr>
          <w:rFonts w:hint="cs"/>
          <w:rtl/>
        </w:rPr>
        <w:t>ירידת</w:t>
      </w:r>
      <w:r w:rsidR="003E433E">
        <w:rPr>
          <w:rFonts w:hint="cs"/>
          <w:rtl/>
        </w:rPr>
        <w:t xml:space="preserve"> </w:t>
      </w:r>
      <w:r w:rsidR="0041231E">
        <w:rPr>
          <w:rFonts w:hint="cs"/>
          <w:rtl/>
        </w:rPr>
        <w:t>ה</w:t>
      </w:r>
      <w:r w:rsidR="003E433E">
        <w:rPr>
          <w:rFonts w:hint="cs"/>
          <w:rtl/>
        </w:rPr>
        <w:t>מחירים בבורסה בת"א</w:t>
      </w:r>
      <w:r w:rsidR="00C16220">
        <w:rPr>
          <w:rFonts w:hint="cs"/>
          <w:rtl/>
        </w:rPr>
        <w:t xml:space="preserve"> שקוזזה בחלקה ע"י השקעות נטו</w:t>
      </w:r>
      <w:r w:rsidR="003E433E">
        <w:rPr>
          <w:rFonts w:hint="cs"/>
          <w:rtl/>
        </w:rPr>
        <w:t>.</w:t>
      </w:r>
      <w:r w:rsidR="0041231E">
        <w:rPr>
          <w:rFonts w:hint="cs"/>
          <w:rtl/>
        </w:rPr>
        <w:t xml:space="preserve"> 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762073">
      <w:pPr>
        <w:pStyle w:val="1"/>
        <w:rPr>
          <w:rtl/>
        </w:rPr>
      </w:pPr>
      <w:r w:rsidRPr="00954D48">
        <w:rPr>
          <w:rFonts w:hint="cs"/>
          <w:rtl/>
        </w:rPr>
        <w:t xml:space="preserve">אג"ח </w:t>
      </w:r>
    </w:p>
    <w:p w:rsidR="005E0A5D" w:rsidRDefault="00935917" w:rsidP="00C16220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C16220">
        <w:rPr>
          <w:rFonts w:hint="cs"/>
          <w:b/>
          <w:bCs/>
          <w:rtl/>
        </w:rPr>
        <w:t>הראשון</w:t>
      </w:r>
      <w:r w:rsidRPr="00471557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2016</w:t>
      </w:r>
      <w:r w:rsidRPr="00471557">
        <w:rPr>
          <w:rFonts w:hint="cs"/>
          <w:rtl/>
        </w:rPr>
        <w:t xml:space="preserve"> </w:t>
      </w:r>
      <w:r w:rsidR="00042E5F">
        <w:rPr>
          <w:rFonts w:hint="cs"/>
          <w:rtl/>
        </w:rPr>
        <w:t>עלה</w:t>
      </w:r>
      <w:r w:rsidR="00870087" w:rsidRPr="00471557">
        <w:rPr>
          <w:rFonts w:hint="cs"/>
          <w:rtl/>
        </w:rPr>
        <w:t xml:space="preserve"> שווי 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>
        <w:rPr>
          <w:rFonts w:hint="cs"/>
          <w:rtl/>
        </w:rPr>
        <w:t xml:space="preserve">בכ- </w:t>
      </w:r>
      <w:r w:rsidR="00C16220">
        <w:rPr>
          <w:rFonts w:hint="cs"/>
          <w:rtl/>
        </w:rPr>
        <w:t>11.3</w:t>
      </w:r>
      <w:r w:rsidR="00042E5F">
        <w:rPr>
          <w:rFonts w:hint="cs"/>
          <w:rtl/>
        </w:rPr>
        <w:t xml:space="preserve"> מיליארדי ש"ח</w:t>
      </w:r>
      <w:r w:rsidR="0049743C" w:rsidRPr="00471557">
        <w:rPr>
          <w:rFonts w:hint="cs"/>
          <w:rtl/>
        </w:rPr>
        <w:t xml:space="preserve"> ועמד בסוף </w:t>
      </w:r>
      <w:r w:rsidR="00C16220">
        <w:rPr>
          <w:rFonts w:hint="cs"/>
          <w:rtl/>
        </w:rPr>
        <w:t>מרץ</w:t>
      </w:r>
      <w:r w:rsidR="0049743C" w:rsidRPr="00471557">
        <w:rPr>
          <w:rFonts w:hint="cs"/>
          <w:rtl/>
        </w:rPr>
        <w:t xml:space="preserve"> על כ-</w:t>
      </w:r>
      <w:r w:rsidR="00C16220">
        <w:rPr>
          <w:rFonts w:hint="cs"/>
          <w:rtl/>
        </w:rPr>
        <w:t>281.3</w:t>
      </w:r>
      <w:r w:rsidR="0049743C" w:rsidRPr="00471557">
        <w:rPr>
          <w:rFonts w:hint="cs"/>
          <w:rtl/>
        </w:rPr>
        <w:t xml:space="preserve"> מיליארדי</w:t>
      </w:r>
      <w:r w:rsidR="00D82456" w:rsidRPr="00471557">
        <w:rPr>
          <w:rFonts w:hint="cs"/>
          <w:rtl/>
        </w:rPr>
        <w:t>ם</w:t>
      </w:r>
      <w:r w:rsidR="00017A8F">
        <w:rPr>
          <w:rFonts w:hint="cs"/>
          <w:rtl/>
        </w:rPr>
        <w:t>.</w:t>
      </w:r>
      <w:r w:rsidR="00042E5F">
        <w:rPr>
          <w:rFonts w:hint="cs"/>
          <w:rtl/>
        </w:rPr>
        <w:t xml:space="preserve"> </w:t>
      </w:r>
      <w:r w:rsidR="00042E5F" w:rsidRPr="00D352AA">
        <w:rPr>
          <w:rFonts w:hint="cs"/>
          <w:rtl/>
        </w:rPr>
        <w:t xml:space="preserve">העלייה נבעה </w:t>
      </w:r>
      <w:r w:rsidR="00D352AA" w:rsidRPr="00D352AA">
        <w:rPr>
          <w:rFonts w:hint="cs"/>
          <w:rtl/>
        </w:rPr>
        <w:t>בעיקר מ</w:t>
      </w:r>
      <w:r w:rsidR="00042E5F" w:rsidRPr="00D352AA">
        <w:rPr>
          <w:rFonts w:hint="cs"/>
          <w:rtl/>
        </w:rPr>
        <w:t xml:space="preserve">השקעות נטו </w:t>
      </w:r>
      <w:r w:rsidR="00214AFF" w:rsidRPr="00D352AA">
        <w:rPr>
          <w:rFonts w:hint="cs"/>
          <w:rtl/>
        </w:rPr>
        <w:t>ו</w:t>
      </w:r>
      <w:r w:rsidR="00D352AA" w:rsidRPr="00D352AA">
        <w:rPr>
          <w:rFonts w:hint="cs"/>
          <w:rtl/>
        </w:rPr>
        <w:t>כן מ</w:t>
      </w:r>
      <w:r w:rsidR="00042E5F" w:rsidRPr="00D352AA">
        <w:rPr>
          <w:rFonts w:hint="cs"/>
          <w:rtl/>
        </w:rPr>
        <w:t>עליית מחירים</w:t>
      </w:r>
      <w:r w:rsidR="00214AFF" w:rsidRPr="00D352AA">
        <w:rPr>
          <w:rFonts w:hint="cs"/>
          <w:rtl/>
        </w:rPr>
        <w:t>.</w:t>
      </w:r>
      <w:r w:rsidR="00042E5F" w:rsidRPr="00D352AA">
        <w:rPr>
          <w:rFonts w:hint="cs"/>
          <w:rtl/>
        </w:rPr>
        <w:t xml:space="preserve"> </w:t>
      </w:r>
    </w:p>
    <w:p w:rsidR="00017A8F" w:rsidRPr="00017A8F" w:rsidRDefault="00F36A26" w:rsidP="00065EE2">
      <w:pPr>
        <w:spacing w:line="360" w:lineRule="auto"/>
        <w:jc w:val="both"/>
        <w:rPr>
          <w:rtl/>
        </w:rPr>
      </w:pPr>
      <w:r w:rsidRPr="00017A8F">
        <w:rPr>
          <w:rFonts w:hint="cs"/>
          <w:rtl/>
        </w:rPr>
        <w:t xml:space="preserve">ביתרת תיק </w:t>
      </w:r>
      <w:r>
        <w:rPr>
          <w:rFonts w:hint="cs"/>
          <w:rtl/>
        </w:rPr>
        <w:t>ה</w:t>
      </w:r>
      <w:r w:rsidRPr="00017A8F">
        <w:rPr>
          <w:rFonts w:hint="cs"/>
          <w:rtl/>
        </w:rPr>
        <w:t>אג"ח הממשלתיות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093D73">
        <w:rPr>
          <w:rFonts w:hint="cs"/>
          <w:rtl/>
        </w:rPr>
        <w:t>עלייה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065EE2">
        <w:rPr>
          <w:rFonts w:hint="cs"/>
          <w:rtl/>
        </w:rPr>
        <w:t xml:space="preserve">7.5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065EE2">
        <w:rPr>
          <w:rFonts w:hint="cs"/>
          <w:rtl/>
        </w:rPr>
        <w:t>1</w:t>
      </w:r>
      <w:r w:rsidR="0091110A" w:rsidRPr="00017A8F">
        <w:rPr>
          <w:rFonts w:hint="cs"/>
          <w:rtl/>
        </w:rPr>
        <w:t>%)</w:t>
      </w:r>
      <w:r w:rsidR="00093D73">
        <w:rPr>
          <w:rFonts w:hint="cs"/>
          <w:rtl/>
        </w:rPr>
        <w:t xml:space="preserve"> ומנגד חלה ירידה של כ- </w:t>
      </w:r>
      <w:r w:rsidR="00065EE2">
        <w:rPr>
          <w:rFonts w:hint="cs"/>
          <w:rtl/>
        </w:rPr>
        <w:t>12</w:t>
      </w:r>
      <w:r w:rsidR="00093D73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093D73">
        <w:rPr>
          <w:rFonts w:hint="cs"/>
          <w:rtl/>
        </w:rPr>
        <w:t xml:space="preserve"> (</w:t>
      </w:r>
      <w:r w:rsidR="00065EE2">
        <w:rPr>
          <w:rFonts w:hint="cs"/>
          <w:rtl/>
        </w:rPr>
        <w:t>16.8</w:t>
      </w:r>
      <w:r w:rsidR="00093D73">
        <w:rPr>
          <w:rFonts w:hint="cs"/>
          <w:rtl/>
        </w:rPr>
        <w:t xml:space="preserve">%-) </w:t>
      </w:r>
      <w:r w:rsidR="00093D73" w:rsidRPr="00D352AA">
        <w:rPr>
          <w:rFonts w:hint="cs"/>
          <w:rtl/>
        </w:rPr>
        <w:t>בשווי יתרות המק"מ.</w:t>
      </w:r>
    </w:p>
    <w:p w:rsidR="00E102DB" w:rsidRDefault="00E102DB" w:rsidP="00A94847">
      <w:pPr>
        <w:spacing w:line="360" w:lineRule="auto"/>
        <w:rPr>
          <w:b/>
          <w:bCs/>
          <w:rtl/>
        </w:rPr>
      </w:pPr>
    </w:p>
    <w:p w:rsidR="00FC2BC0" w:rsidRDefault="001F3A15" w:rsidP="00762073">
      <w:pPr>
        <w:pStyle w:val="1"/>
        <w:rPr>
          <w:rtl/>
        </w:rPr>
      </w:pPr>
      <w:r w:rsidRPr="001F3A15">
        <w:rPr>
          <w:rFonts w:hint="cs"/>
          <w:rtl/>
        </w:rPr>
        <w:t>מזומן ופיקדונות</w:t>
      </w:r>
    </w:p>
    <w:p w:rsidR="00762073" w:rsidRDefault="00CA4805" w:rsidP="00762073">
      <w:p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065EE2">
        <w:rPr>
          <w:rFonts w:hint="cs"/>
          <w:rtl/>
        </w:rPr>
        <w:t>הראשון</w:t>
      </w:r>
      <w:r w:rsidR="001F3A15" w:rsidRPr="001F3A15">
        <w:rPr>
          <w:rFonts w:hint="cs"/>
          <w:rtl/>
        </w:rPr>
        <w:t xml:space="preserve"> ב- </w:t>
      </w:r>
      <w:r w:rsidR="00065EE2">
        <w:rPr>
          <w:rFonts w:hint="cs"/>
          <w:rtl/>
        </w:rPr>
        <w:t>22.7</w:t>
      </w:r>
      <w:r w:rsidR="001F3A15" w:rsidRPr="001F3A15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E536D2">
        <w:rPr>
          <w:rFonts w:hint="cs"/>
          <w:rtl/>
        </w:rPr>
        <w:t>2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 xml:space="preserve">, זאת בהמשך </w:t>
      </w:r>
      <w:r w:rsidR="00065EE2">
        <w:rPr>
          <w:rFonts w:hint="cs"/>
          <w:rtl/>
        </w:rPr>
        <w:t>למגמת העלייה בשנים האחרונות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0F6CAC">
        <w:rPr>
          <w:rFonts w:hint="cs"/>
          <w:rtl/>
        </w:rPr>
        <w:t>כמחצית</w:t>
      </w:r>
      <w:r w:rsidR="00B811C5">
        <w:rPr>
          <w:rFonts w:hint="cs"/>
          <w:rtl/>
        </w:rPr>
        <w:t xml:space="preserve"> </w:t>
      </w:r>
      <w:r w:rsidR="000F6CAC">
        <w:rPr>
          <w:rFonts w:hint="cs"/>
          <w:rtl/>
        </w:rPr>
        <w:t>מ</w:t>
      </w:r>
      <w:r w:rsidR="00B811C5">
        <w:rPr>
          <w:rFonts w:hint="cs"/>
          <w:rtl/>
        </w:rPr>
        <w:t xml:space="preserve">העלייה </w:t>
      </w:r>
      <w:r w:rsidR="00A71EAF">
        <w:rPr>
          <w:rFonts w:hint="cs"/>
          <w:rtl/>
        </w:rPr>
        <w:t xml:space="preserve">במהלך הרביע, </w:t>
      </w:r>
      <w:r w:rsidR="00B811C5" w:rsidRPr="00D57E32">
        <w:rPr>
          <w:rFonts w:hint="cs"/>
          <w:rtl/>
        </w:rPr>
        <w:t xml:space="preserve">נבע </w:t>
      </w:r>
      <w:r w:rsidR="001F3A15" w:rsidRPr="00D57E32">
        <w:rPr>
          <w:rFonts w:hint="cs"/>
          <w:rtl/>
        </w:rPr>
        <w:t xml:space="preserve">מהגדלת יתרות </w:t>
      </w:r>
      <w:r w:rsidR="00D57E32" w:rsidRPr="00D57E32">
        <w:rPr>
          <w:rFonts w:hint="cs"/>
          <w:rtl/>
        </w:rPr>
        <w:t>הפיקדונו</w:t>
      </w:r>
      <w:r w:rsidR="00D57E32" w:rsidRPr="00D57E32">
        <w:rPr>
          <w:rFonts w:hint="eastAsia"/>
          <w:rtl/>
        </w:rPr>
        <w:t>ת</w:t>
      </w:r>
      <w:r w:rsidR="000F6CAC">
        <w:rPr>
          <w:rFonts w:hint="cs"/>
          <w:rtl/>
        </w:rPr>
        <w:t xml:space="preserve"> הלא צמודים.</w:t>
      </w:r>
      <w:r w:rsidR="00762073">
        <w:rPr>
          <w:rtl/>
        </w:rPr>
        <w:br w:type="page"/>
      </w:r>
    </w:p>
    <w:p w:rsidR="00E94957" w:rsidRDefault="00E94957" w:rsidP="00762073">
      <w:pPr>
        <w:pStyle w:val="1"/>
        <w:rPr>
          <w:rtl/>
        </w:rPr>
      </w:pPr>
      <w:r w:rsidRPr="0040667A">
        <w:rPr>
          <w:rFonts w:hint="cs"/>
          <w:rtl/>
        </w:rPr>
        <w:lastRenderedPageBreak/>
        <w:t>תיק הנכסים בחו"ל</w:t>
      </w:r>
    </w:p>
    <w:p w:rsidR="0049743C" w:rsidRPr="00831BA6" w:rsidRDefault="0049067F" w:rsidP="000F6CAC">
      <w:pPr>
        <w:spacing w:line="360" w:lineRule="auto"/>
        <w:jc w:val="both"/>
        <w:rPr>
          <w:b/>
          <w:bCs/>
          <w:rtl/>
        </w:rPr>
      </w:pPr>
      <w:r w:rsidRPr="00762073">
        <w:rPr>
          <w:rFonts w:hint="cs"/>
          <w:b/>
          <w:bCs/>
          <w:rtl/>
        </w:rPr>
        <w:t xml:space="preserve">ברביע </w:t>
      </w:r>
      <w:r w:rsidR="00F80D49" w:rsidRPr="00762073">
        <w:rPr>
          <w:rFonts w:hint="cs"/>
          <w:b/>
          <w:bCs/>
          <w:rtl/>
        </w:rPr>
        <w:t>הראשון</w:t>
      </w:r>
      <w:r>
        <w:rPr>
          <w:rFonts w:hint="cs"/>
          <w:b/>
          <w:bCs/>
          <w:rtl/>
        </w:rPr>
        <w:t xml:space="preserve"> של שנת </w:t>
      </w:r>
      <w:r w:rsidR="00F80D49">
        <w:rPr>
          <w:rFonts w:hint="cs"/>
          <w:b/>
          <w:bCs/>
          <w:rtl/>
        </w:rPr>
        <w:t>2016</w:t>
      </w:r>
      <w:r>
        <w:rPr>
          <w:rFonts w:hint="cs"/>
          <w:rtl/>
        </w:rPr>
        <w:t xml:space="preserve"> </w:t>
      </w:r>
      <w:r w:rsidR="00EE22F1">
        <w:rPr>
          <w:rFonts w:hint="cs"/>
          <w:rtl/>
        </w:rPr>
        <w:t>ירד</w:t>
      </w:r>
      <w:r w:rsidR="0049743C">
        <w:rPr>
          <w:rFonts w:hint="cs"/>
          <w:rtl/>
        </w:rPr>
        <w:t xml:space="preserve"> שווי התיק המוחזק בחו"ל בכ-</w:t>
      </w:r>
      <w:r w:rsidR="00F80D49">
        <w:rPr>
          <w:rFonts w:hint="cs"/>
          <w:rtl/>
        </w:rPr>
        <w:t>19.3</w:t>
      </w:r>
      <w:r w:rsidR="00883E47">
        <w:rPr>
          <w:rFonts w:hint="cs"/>
          <w:rtl/>
        </w:rPr>
        <w:t xml:space="preserve"> </w:t>
      </w:r>
      <w:r w:rsidR="0049743C" w:rsidRPr="00E102DB">
        <w:rPr>
          <w:rFonts w:hint="cs"/>
          <w:rtl/>
        </w:rPr>
        <w:t xml:space="preserve">מיליארדי </w:t>
      </w:r>
      <w:r w:rsidR="00FD22C6" w:rsidRPr="00E102DB">
        <w:rPr>
          <w:rFonts w:hint="cs"/>
          <w:rtl/>
        </w:rPr>
        <w:t>ש</w:t>
      </w:r>
      <w:r w:rsidR="00FD22C6" w:rsidRPr="00E102DB">
        <w:rPr>
          <w:rtl/>
        </w:rPr>
        <w:t>"</w:t>
      </w:r>
      <w:r w:rsidR="00FD22C6" w:rsidRPr="00E102DB">
        <w:rPr>
          <w:rFonts w:hint="cs"/>
          <w:rtl/>
        </w:rPr>
        <w:t>ח</w:t>
      </w:r>
      <w:r w:rsidR="00B9472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F80D49">
        <w:rPr>
          <w:rFonts w:hint="cs"/>
          <w:rtl/>
        </w:rPr>
        <w:t>4.1</w:t>
      </w:r>
      <w:r>
        <w:rPr>
          <w:rFonts w:hint="cs"/>
          <w:rtl/>
        </w:rPr>
        <w:t>%</w:t>
      </w:r>
      <w:r w:rsidR="00F54A71">
        <w:rPr>
          <w:rFonts w:hint="cs"/>
          <w:rtl/>
        </w:rPr>
        <w:t>-</w:t>
      </w:r>
      <w:r>
        <w:rPr>
          <w:rFonts w:hint="cs"/>
          <w:rtl/>
        </w:rPr>
        <w:t xml:space="preserve">) </w:t>
      </w:r>
      <w:r w:rsidR="00D82456">
        <w:rPr>
          <w:rFonts w:hint="cs"/>
          <w:rtl/>
        </w:rPr>
        <w:t xml:space="preserve">ועמד בסוף </w:t>
      </w:r>
      <w:r w:rsidR="00F80D49">
        <w:rPr>
          <w:rFonts w:hint="cs"/>
          <w:rtl/>
        </w:rPr>
        <w:t>מרץ</w:t>
      </w:r>
      <w:r w:rsidR="00D82456">
        <w:rPr>
          <w:rFonts w:hint="cs"/>
          <w:rtl/>
        </w:rPr>
        <w:t xml:space="preserve"> על כ-</w:t>
      </w:r>
      <w:r w:rsidR="00F80D49">
        <w:rPr>
          <w:rFonts w:hint="cs"/>
          <w:rtl/>
        </w:rPr>
        <w:t>452.2</w:t>
      </w:r>
      <w:r w:rsidR="0049743C">
        <w:rPr>
          <w:rFonts w:hint="cs"/>
          <w:rtl/>
        </w:rPr>
        <w:t xml:space="preserve"> מיליארדים</w:t>
      </w:r>
      <w:r w:rsidR="00CA2376">
        <w:rPr>
          <w:rFonts w:hint="cs"/>
          <w:rtl/>
        </w:rPr>
        <w:t xml:space="preserve"> - המהווים</w:t>
      </w:r>
      <w:r w:rsidR="00872672">
        <w:rPr>
          <w:rFonts w:hint="cs"/>
          <w:rtl/>
        </w:rPr>
        <w:t xml:space="preserve"> כ-</w:t>
      </w:r>
      <w:r w:rsidR="00F80D49">
        <w:rPr>
          <w:rFonts w:hint="cs"/>
          <w:rtl/>
        </w:rPr>
        <w:t>13.6</w:t>
      </w:r>
      <w:r w:rsidR="003E616A">
        <w:rPr>
          <w:rFonts w:hint="cs"/>
          <w:rtl/>
        </w:rPr>
        <w:t xml:space="preserve">% </w:t>
      </w:r>
      <w:r w:rsidR="00872672">
        <w:rPr>
          <w:rFonts w:hint="cs"/>
          <w:rtl/>
        </w:rPr>
        <w:t>מסך תיק הנכסים</w:t>
      </w:r>
      <w:r w:rsidR="0049743C">
        <w:rPr>
          <w:rFonts w:hint="cs"/>
          <w:rtl/>
        </w:rPr>
        <w:t xml:space="preserve">. </w:t>
      </w:r>
      <w:r w:rsidR="00EE22F1" w:rsidRPr="00D90F9D">
        <w:rPr>
          <w:rFonts w:hint="cs"/>
          <w:rtl/>
        </w:rPr>
        <w:t>הירידה</w:t>
      </w:r>
      <w:r w:rsidR="00B743C5" w:rsidRPr="00D90F9D">
        <w:rPr>
          <w:rFonts w:hint="cs"/>
          <w:rtl/>
        </w:rPr>
        <w:t xml:space="preserve"> בשווי התיק הושפעה </w:t>
      </w:r>
      <w:r w:rsidR="00994D4A">
        <w:rPr>
          <w:rFonts w:hint="cs"/>
          <w:rtl/>
        </w:rPr>
        <w:t>מירידות מחירים בשוקי חו"ל</w:t>
      </w:r>
      <w:r w:rsidR="00F80D49">
        <w:rPr>
          <w:rFonts w:hint="cs"/>
          <w:rtl/>
        </w:rPr>
        <w:t>,</w:t>
      </w:r>
      <w:r w:rsidR="00994D4A">
        <w:rPr>
          <w:rFonts w:hint="cs"/>
          <w:rtl/>
        </w:rPr>
        <w:t xml:space="preserve"> </w:t>
      </w:r>
      <w:r w:rsidR="00F80D49">
        <w:rPr>
          <w:rFonts w:hint="cs"/>
          <w:rtl/>
        </w:rPr>
        <w:t>במקביל</w:t>
      </w:r>
      <w:r w:rsidR="00994D4A">
        <w:rPr>
          <w:rFonts w:hint="cs"/>
          <w:rtl/>
        </w:rPr>
        <w:t xml:space="preserve"> </w:t>
      </w:r>
      <w:r w:rsidR="00F80D49">
        <w:rPr>
          <w:rFonts w:hint="cs"/>
          <w:rtl/>
        </w:rPr>
        <w:t>לייסוף</w:t>
      </w:r>
      <w:r w:rsidR="00784852" w:rsidRPr="00D90F9D">
        <w:rPr>
          <w:rFonts w:ascii="Arial" w:hAnsi="Arial" w:hint="cs"/>
          <w:rtl/>
        </w:rPr>
        <w:t xml:space="preserve"> השקל מול הדולר (</w:t>
      </w:r>
      <w:r w:rsidR="00F80D49">
        <w:rPr>
          <w:rFonts w:ascii="Arial" w:hAnsi="Arial" w:hint="cs"/>
          <w:rtl/>
        </w:rPr>
        <w:t>3.5</w:t>
      </w:r>
      <w:r w:rsidR="00784852" w:rsidRPr="00D90F9D">
        <w:rPr>
          <w:rFonts w:ascii="Arial" w:hAnsi="Arial" w:hint="cs"/>
          <w:rtl/>
        </w:rPr>
        <w:t>%)</w:t>
      </w:r>
      <w:r w:rsidR="00994D4A">
        <w:rPr>
          <w:rFonts w:ascii="Arial" w:hAnsi="Arial" w:hint="cs"/>
          <w:rtl/>
        </w:rPr>
        <w:t xml:space="preserve">, אשר </w:t>
      </w:r>
      <w:r w:rsidR="00F80D49">
        <w:rPr>
          <w:rFonts w:ascii="Arial" w:hAnsi="Arial" w:hint="cs"/>
          <w:rtl/>
        </w:rPr>
        <w:t>הוריד</w:t>
      </w:r>
      <w:r w:rsidR="0071210C">
        <w:rPr>
          <w:rFonts w:ascii="Arial" w:hAnsi="Arial" w:hint="cs"/>
          <w:rtl/>
        </w:rPr>
        <w:t xml:space="preserve"> </w:t>
      </w:r>
      <w:r w:rsidR="00994D4A">
        <w:rPr>
          <w:rFonts w:ascii="Arial" w:hAnsi="Arial" w:hint="cs"/>
          <w:rtl/>
        </w:rPr>
        <w:t>את השווי השקלי של התיק.</w:t>
      </w:r>
      <w:r w:rsidR="00F80D49" w:rsidRPr="00F80D49">
        <w:rPr>
          <w:rFonts w:hint="cs"/>
          <w:rtl/>
        </w:rPr>
        <w:t xml:space="preserve"> </w:t>
      </w:r>
      <w:r w:rsidR="00F80D49">
        <w:rPr>
          <w:rFonts w:hint="cs"/>
          <w:rtl/>
        </w:rPr>
        <w:t>כמו כן נרשמו מימושים נטו בתיק בחו"ל.</w:t>
      </w:r>
    </w:p>
    <w:p w:rsidR="00D921A2" w:rsidRDefault="00B93AC3" w:rsidP="000F6CAC">
      <w:pPr>
        <w:spacing w:line="360" w:lineRule="auto"/>
        <w:jc w:val="both"/>
        <w:rPr>
          <w:rtl/>
        </w:rPr>
      </w:pPr>
      <w:r w:rsidRPr="009866DB">
        <w:rPr>
          <w:rFonts w:hint="cs"/>
          <w:rtl/>
        </w:rPr>
        <w:t xml:space="preserve">רכיב המניות בחו"ל </w:t>
      </w:r>
      <w:r w:rsidR="00E122B8">
        <w:rPr>
          <w:rFonts w:hint="cs"/>
          <w:rtl/>
        </w:rPr>
        <w:t>ירד</w:t>
      </w:r>
      <w:r w:rsidR="000C6D4D">
        <w:rPr>
          <w:rFonts w:hint="cs"/>
          <w:rtl/>
        </w:rPr>
        <w:t xml:space="preserve"> </w:t>
      </w:r>
      <w:r w:rsidR="0054204C" w:rsidRPr="009866DB">
        <w:rPr>
          <w:rFonts w:hint="cs"/>
          <w:rtl/>
        </w:rPr>
        <w:t>בכ-</w:t>
      </w:r>
      <w:r w:rsidR="00F80D49">
        <w:rPr>
          <w:rFonts w:hint="cs"/>
          <w:rtl/>
        </w:rPr>
        <w:t xml:space="preserve">12.7 </w:t>
      </w:r>
      <w:r w:rsidR="0054204C" w:rsidRPr="009866DB">
        <w:rPr>
          <w:rFonts w:hint="cs"/>
          <w:rtl/>
        </w:rPr>
        <w:t>מיליארדים (</w:t>
      </w:r>
      <w:r w:rsidR="00994D4A">
        <w:rPr>
          <w:rFonts w:hint="cs"/>
          <w:rtl/>
        </w:rPr>
        <w:t>4.</w:t>
      </w:r>
      <w:r w:rsidR="00F80D49">
        <w:rPr>
          <w:rFonts w:hint="cs"/>
          <w:rtl/>
        </w:rPr>
        <w:t>7</w:t>
      </w:r>
      <w:r w:rsidR="0054204C" w:rsidRPr="009866DB">
        <w:rPr>
          <w:rFonts w:hint="cs"/>
          <w:rtl/>
        </w:rPr>
        <w:t>%</w:t>
      </w:r>
      <w:r w:rsidR="00F54A71">
        <w:rPr>
          <w:rFonts w:hint="cs"/>
          <w:rtl/>
        </w:rPr>
        <w:t>-</w:t>
      </w:r>
      <w:r w:rsidR="0054204C" w:rsidRPr="009866DB">
        <w:rPr>
          <w:rFonts w:hint="cs"/>
          <w:rtl/>
        </w:rPr>
        <w:t>)</w:t>
      </w:r>
      <w:r w:rsidR="003E61C1" w:rsidRPr="009866DB">
        <w:rPr>
          <w:rFonts w:hint="cs"/>
          <w:rtl/>
        </w:rPr>
        <w:t xml:space="preserve"> ועמד בסוף </w:t>
      </w:r>
      <w:r w:rsidR="00F80D49">
        <w:rPr>
          <w:rFonts w:hint="cs"/>
          <w:rtl/>
        </w:rPr>
        <w:t>מרץ</w:t>
      </w:r>
      <w:r w:rsidR="003E61C1" w:rsidRPr="009866DB">
        <w:rPr>
          <w:rFonts w:hint="cs"/>
          <w:rtl/>
        </w:rPr>
        <w:t xml:space="preserve"> על כ-</w:t>
      </w:r>
      <w:r w:rsidR="00F80D49">
        <w:rPr>
          <w:rFonts w:hint="cs"/>
          <w:rtl/>
        </w:rPr>
        <w:t>255.4</w:t>
      </w:r>
      <w:r w:rsidR="00FB4877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FB4877">
        <w:rPr>
          <w:rFonts w:hint="cs"/>
          <w:rtl/>
        </w:rPr>
        <w:t>.</w:t>
      </w:r>
      <w:r w:rsidR="00A45F9A">
        <w:rPr>
          <w:rFonts w:hint="cs"/>
          <w:rtl/>
        </w:rPr>
        <w:t xml:space="preserve"> </w:t>
      </w:r>
      <w:r w:rsidR="0087751F">
        <w:rPr>
          <w:rFonts w:hint="cs"/>
          <w:rtl/>
        </w:rPr>
        <w:t>כמו כן</w:t>
      </w:r>
      <w:r w:rsidR="00994D4A">
        <w:rPr>
          <w:rFonts w:hint="cs"/>
          <w:rtl/>
        </w:rPr>
        <w:t xml:space="preserve">, </w:t>
      </w:r>
      <w:r w:rsidR="0087751F">
        <w:rPr>
          <w:rFonts w:hint="cs"/>
          <w:rtl/>
        </w:rPr>
        <w:t>שווי הפיקדונו</w:t>
      </w:r>
      <w:r w:rsidR="0087751F">
        <w:rPr>
          <w:rFonts w:hint="eastAsia"/>
          <w:rtl/>
        </w:rPr>
        <w:t>ת</w:t>
      </w:r>
      <w:r w:rsidR="0087751F">
        <w:rPr>
          <w:rFonts w:hint="cs"/>
          <w:rtl/>
        </w:rPr>
        <w:t xml:space="preserve"> בבנקים בחו"ל ירד בכ- 4.8 מיליארדים (18%</w:t>
      </w:r>
      <w:r w:rsidR="0087751F">
        <w:t>-</w:t>
      </w:r>
      <w:r w:rsidR="0087751F">
        <w:rPr>
          <w:rFonts w:hint="cs"/>
          <w:rtl/>
        </w:rPr>
        <w:t>) ו</w:t>
      </w:r>
      <w:r w:rsidR="002003C2">
        <w:rPr>
          <w:rFonts w:hint="cs"/>
          <w:rtl/>
        </w:rPr>
        <w:t xml:space="preserve">שווי תיק האג"ח הסחיר בחו"ל </w:t>
      </w:r>
      <w:r w:rsidR="0087751F">
        <w:rPr>
          <w:rFonts w:hint="cs"/>
          <w:rtl/>
        </w:rPr>
        <w:t>ירד</w:t>
      </w:r>
      <w:r w:rsidR="002003C2">
        <w:rPr>
          <w:rFonts w:hint="cs"/>
          <w:rtl/>
        </w:rPr>
        <w:t xml:space="preserve"> בכ-</w:t>
      </w:r>
      <w:r w:rsidR="0087751F">
        <w:rPr>
          <w:rFonts w:hint="cs"/>
          <w:rtl/>
        </w:rPr>
        <w:t>1.7</w:t>
      </w:r>
      <w:r w:rsidR="00F45150">
        <w:rPr>
          <w:rFonts w:hint="cs"/>
          <w:rtl/>
        </w:rPr>
        <w:t xml:space="preserve"> </w:t>
      </w:r>
      <w:r w:rsidR="002003C2">
        <w:rPr>
          <w:rFonts w:hint="cs"/>
          <w:rtl/>
        </w:rPr>
        <w:t>מיליארדים (</w:t>
      </w:r>
      <w:r w:rsidR="000F6CAC">
        <w:rPr>
          <w:rFonts w:hint="cs"/>
          <w:rtl/>
        </w:rPr>
        <w:t>1</w:t>
      </w:r>
      <w:r w:rsidR="002003C2">
        <w:rPr>
          <w:rFonts w:hint="cs"/>
          <w:rtl/>
        </w:rPr>
        <w:t>%)</w:t>
      </w:r>
      <w:r w:rsidR="00CA2376">
        <w:rPr>
          <w:rFonts w:hint="cs"/>
          <w:rtl/>
        </w:rPr>
        <w:t xml:space="preserve"> </w:t>
      </w:r>
      <w:r w:rsidR="002003C2">
        <w:rPr>
          <w:rFonts w:hint="cs"/>
          <w:rtl/>
        </w:rPr>
        <w:t xml:space="preserve">ועמד </w:t>
      </w:r>
      <w:r w:rsidR="0087751F">
        <w:rPr>
          <w:rFonts w:hint="cs"/>
          <w:rtl/>
        </w:rPr>
        <w:t>במרץ</w:t>
      </w:r>
      <w:r w:rsidR="002003C2">
        <w:rPr>
          <w:rFonts w:hint="cs"/>
          <w:rtl/>
        </w:rPr>
        <w:t xml:space="preserve"> על כ-</w:t>
      </w:r>
      <w:r w:rsidR="0087751F">
        <w:rPr>
          <w:rFonts w:hint="cs"/>
          <w:rtl/>
        </w:rPr>
        <w:t xml:space="preserve">175 </w:t>
      </w:r>
      <w:r w:rsidR="00FB4877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FB4877">
        <w:rPr>
          <w:rFonts w:hint="cs"/>
          <w:rtl/>
        </w:rPr>
        <w:t>.</w:t>
      </w:r>
      <w:r w:rsidR="00DF514F">
        <w:rPr>
          <w:rFonts w:hint="cs"/>
          <w:rtl/>
        </w:rPr>
        <w:t xml:space="preserve"> </w:t>
      </w:r>
    </w:p>
    <w:p w:rsidR="00D921A2" w:rsidRDefault="00D921A2" w:rsidP="00AA5ADB">
      <w:pPr>
        <w:spacing w:line="360" w:lineRule="auto"/>
        <w:jc w:val="both"/>
        <w:rPr>
          <w:rtl/>
        </w:rPr>
      </w:pPr>
    </w:p>
    <w:p w:rsidR="00A21D66" w:rsidRPr="001B3EBB" w:rsidRDefault="00F80D49" w:rsidP="001B3EBB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04649062" wp14:editId="2103ABBD">
            <wp:extent cx="5277600" cy="3220329"/>
            <wp:effectExtent l="0" t="0" r="0" b="0"/>
            <wp:docPr id="20" name="תמונה 20" descr="תיק הנכסים של תושבי ישראל בחו&quot;ל" title="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Pr="00762073" w:rsidRDefault="00283B13" w:rsidP="00762073">
      <w:pPr>
        <w:pStyle w:val="ae"/>
        <w:numPr>
          <w:ilvl w:val="0"/>
          <w:numId w:val="18"/>
        </w:numPr>
        <w:tabs>
          <w:tab w:val="left" w:pos="4928"/>
        </w:tabs>
        <w:spacing w:line="360" w:lineRule="auto"/>
        <w:rPr>
          <w:rStyle w:val="10"/>
          <w:rtl/>
        </w:rPr>
      </w:pPr>
      <w:r w:rsidRPr="00762073">
        <w:rPr>
          <w:rStyle w:val="10"/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F54A71" w:rsidRDefault="0087751F" w:rsidP="000F6CAC">
      <w:pPr>
        <w:spacing w:line="360" w:lineRule="auto"/>
        <w:rPr>
          <w:rtl/>
        </w:rPr>
      </w:pPr>
      <w:r w:rsidRPr="0087751F">
        <w:rPr>
          <w:b/>
          <w:bCs/>
          <w:rtl/>
        </w:rPr>
        <w:t xml:space="preserve">שווי יתרת התיק המנוהל ע"י המשקיעים המוסדיים </w:t>
      </w:r>
      <w:r w:rsidRPr="0087751F">
        <w:rPr>
          <w:rtl/>
        </w:rPr>
        <w:t>עלה ברביע הראשון של שנת 2016 בכ-0.9% (12 מיליארדי ש"ח), ועמד בסוף בסופו על כ-1.37 טריליון ש"ח.</w:t>
      </w:r>
      <w:r w:rsidRPr="0087751F">
        <w:rPr>
          <w:b/>
          <w:bCs/>
          <w:rtl/>
        </w:rPr>
        <w:t xml:space="preserve"> </w:t>
      </w:r>
      <w:r w:rsidR="00A71EAF">
        <w:rPr>
          <w:rFonts w:hint="cs"/>
          <w:rtl/>
        </w:rPr>
        <w:t xml:space="preserve">המגמות בתיק </w:t>
      </w:r>
      <w:r w:rsidR="0087428E">
        <w:rPr>
          <w:rFonts w:hint="cs"/>
          <w:rtl/>
        </w:rPr>
        <w:t xml:space="preserve">המנוהל ע"י המשקיעים המוסדיים </w:t>
      </w:r>
      <w:r w:rsidR="000F6CAC">
        <w:rPr>
          <w:rFonts w:hint="cs"/>
          <w:rtl/>
        </w:rPr>
        <w:t>דומות</w:t>
      </w:r>
      <w:r>
        <w:rPr>
          <w:rFonts w:hint="cs"/>
          <w:rtl/>
        </w:rPr>
        <w:t xml:space="preserve"> </w:t>
      </w:r>
      <w:r w:rsidR="000F6CAC">
        <w:rPr>
          <w:rFonts w:hint="cs"/>
          <w:rtl/>
        </w:rPr>
        <w:t>ל</w:t>
      </w:r>
      <w:r>
        <w:rPr>
          <w:rFonts w:hint="cs"/>
          <w:rtl/>
        </w:rPr>
        <w:t>מ</w:t>
      </w:r>
      <w:r w:rsidR="00A71EAF">
        <w:rPr>
          <w:rFonts w:hint="cs"/>
          <w:rtl/>
        </w:rPr>
        <w:t xml:space="preserve">גמות </w:t>
      </w:r>
      <w:r w:rsidR="0087428E">
        <w:rPr>
          <w:rFonts w:hint="cs"/>
          <w:rtl/>
        </w:rPr>
        <w:t>שהתקיימו</w:t>
      </w:r>
      <w:r w:rsidR="00A71EAF">
        <w:rPr>
          <w:rFonts w:hint="cs"/>
          <w:rtl/>
        </w:rPr>
        <w:t xml:space="preserve"> במהלך הרביע בשאר תיק הנכסים. </w:t>
      </w:r>
      <w:r w:rsidR="00CA2376">
        <w:rPr>
          <w:rFonts w:hint="cs"/>
          <w:rtl/>
        </w:rPr>
        <w:t xml:space="preserve">עליות </w:t>
      </w:r>
      <w:r w:rsidR="00A71EAF">
        <w:rPr>
          <w:rFonts w:hint="cs"/>
          <w:rtl/>
        </w:rPr>
        <w:t>נרשמ</w:t>
      </w:r>
      <w:r w:rsidR="00CA2376">
        <w:rPr>
          <w:rFonts w:hint="cs"/>
          <w:rtl/>
        </w:rPr>
        <w:t>ו</w:t>
      </w:r>
      <w:r w:rsidR="00A71EAF">
        <w:rPr>
          <w:rFonts w:hint="cs"/>
          <w:rtl/>
        </w:rPr>
        <w:t xml:space="preserve"> בשווי</w:t>
      </w:r>
      <w:r w:rsidR="00F54A71" w:rsidRPr="00282ABD">
        <w:rPr>
          <w:rFonts w:hint="cs"/>
          <w:rtl/>
        </w:rPr>
        <w:t xml:space="preserve"> </w:t>
      </w:r>
      <w:r>
        <w:rPr>
          <w:rFonts w:hint="cs"/>
          <w:rtl/>
        </w:rPr>
        <w:t>האג"ח הממשלתי</w:t>
      </w:r>
      <w:r w:rsidR="00CA2376">
        <w:rPr>
          <w:rFonts w:hint="cs"/>
          <w:rtl/>
        </w:rPr>
        <w:t>ות</w:t>
      </w:r>
      <w:r w:rsidR="00F54A71">
        <w:rPr>
          <w:rFonts w:hint="cs"/>
          <w:rtl/>
        </w:rPr>
        <w:t xml:space="preserve"> (</w:t>
      </w:r>
      <w:r>
        <w:rPr>
          <w:rFonts w:hint="cs"/>
          <w:rtl/>
        </w:rPr>
        <w:t>18</w:t>
      </w:r>
      <w:r w:rsidR="00F54A71">
        <w:rPr>
          <w:rFonts w:hint="cs"/>
          <w:rtl/>
        </w:rPr>
        <w:t xml:space="preserve"> מיליארדים, </w:t>
      </w:r>
      <w:r>
        <w:rPr>
          <w:rFonts w:hint="cs"/>
          <w:rtl/>
        </w:rPr>
        <w:t>3.1</w:t>
      </w:r>
      <w:r w:rsidR="00F54A71">
        <w:rPr>
          <w:rFonts w:hint="cs"/>
          <w:rtl/>
        </w:rPr>
        <w:t>%)</w:t>
      </w:r>
      <w:r>
        <w:rPr>
          <w:rFonts w:hint="cs"/>
          <w:rtl/>
        </w:rPr>
        <w:t>, הפרטי</w:t>
      </w:r>
      <w:r w:rsidR="00CA2376">
        <w:rPr>
          <w:rFonts w:hint="cs"/>
          <w:rtl/>
        </w:rPr>
        <w:t>ות בארץ</w:t>
      </w:r>
      <w:r>
        <w:rPr>
          <w:rFonts w:hint="cs"/>
          <w:rtl/>
        </w:rPr>
        <w:t xml:space="preserve"> (4.1 מיליארדים, 2.8%)</w:t>
      </w:r>
      <w:r w:rsidR="00F54A71">
        <w:rPr>
          <w:rFonts w:hint="cs"/>
          <w:rtl/>
        </w:rPr>
        <w:t xml:space="preserve"> ובחו"ל (</w:t>
      </w:r>
      <w:r>
        <w:rPr>
          <w:rFonts w:hint="cs"/>
          <w:rtl/>
        </w:rPr>
        <w:t xml:space="preserve">2.2 </w:t>
      </w:r>
      <w:r w:rsidR="00F54A71">
        <w:rPr>
          <w:rFonts w:hint="cs"/>
          <w:rtl/>
        </w:rPr>
        <w:t>מיליארדים, 2.</w:t>
      </w:r>
      <w:r>
        <w:rPr>
          <w:rFonts w:hint="cs"/>
          <w:rtl/>
        </w:rPr>
        <w:t>7</w:t>
      </w:r>
      <w:r w:rsidR="00F54A71">
        <w:rPr>
          <w:rFonts w:hint="cs"/>
          <w:rtl/>
        </w:rPr>
        <w:t>%)</w:t>
      </w:r>
      <w:r>
        <w:rPr>
          <w:rFonts w:hint="cs"/>
          <w:rtl/>
        </w:rPr>
        <w:t>. במקביל לעלייה במניות בארץ (1.4 מיליארדים, 1.4%). עלייה זו קוזזה</w:t>
      </w:r>
      <w:r w:rsidR="00F54A71">
        <w:rPr>
          <w:rFonts w:hint="cs"/>
          <w:rtl/>
        </w:rPr>
        <w:t xml:space="preserve"> חלקית ע"י </w:t>
      </w:r>
      <w:r w:rsidR="00CA2376">
        <w:rPr>
          <w:rFonts w:hint="cs"/>
          <w:rtl/>
        </w:rPr>
        <w:t xml:space="preserve">ירידה  </w:t>
      </w:r>
      <w:r w:rsidR="00F54A71">
        <w:rPr>
          <w:rFonts w:hint="cs"/>
          <w:rtl/>
        </w:rPr>
        <w:t xml:space="preserve">בשווי </w:t>
      </w:r>
      <w:r>
        <w:rPr>
          <w:rFonts w:hint="cs"/>
          <w:rtl/>
        </w:rPr>
        <w:t xml:space="preserve">המניות בחו"ל (11.7 מיליארדים, 6.6%), </w:t>
      </w:r>
      <w:r w:rsidR="00CA2376">
        <w:rPr>
          <w:rFonts w:hint="cs"/>
          <w:rtl/>
        </w:rPr>
        <w:t>במק</w:t>
      </w:r>
      <w:r>
        <w:rPr>
          <w:rFonts w:hint="cs"/>
          <w:rtl/>
        </w:rPr>
        <w:t>"</w:t>
      </w:r>
      <w:r w:rsidR="00CA2376">
        <w:rPr>
          <w:rFonts w:hint="cs"/>
          <w:rtl/>
        </w:rPr>
        <w:t xml:space="preserve">ם </w:t>
      </w:r>
      <w:r>
        <w:rPr>
          <w:rFonts w:hint="cs"/>
          <w:rtl/>
        </w:rPr>
        <w:t>(8.3 מיליארדים, 22%) ובמזומן ו</w:t>
      </w:r>
      <w:r w:rsidR="00F54A71">
        <w:rPr>
          <w:rFonts w:hint="cs"/>
          <w:rtl/>
        </w:rPr>
        <w:t>פיקדונו</w:t>
      </w:r>
      <w:r w:rsidR="00F54A71">
        <w:rPr>
          <w:rFonts w:hint="eastAsia"/>
          <w:rtl/>
        </w:rPr>
        <w:t>ת</w:t>
      </w:r>
      <w:r>
        <w:rPr>
          <w:rFonts w:hint="cs"/>
          <w:rtl/>
        </w:rPr>
        <w:t xml:space="preserve"> (1.4 מיליארדים, 1.5%).</w:t>
      </w:r>
    </w:p>
    <w:p w:rsidR="00283B13" w:rsidRPr="00F54A71" w:rsidRDefault="0087751F" w:rsidP="00F54A71">
      <w:pPr>
        <w:spacing w:line="360" w:lineRule="auto"/>
        <w:rPr>
          <w:rtl/>
        </w:rPr>
      </w:pPr>
      <w:r w:rsidRPr="0087751F">
        <w:rPr>
          <w:b/>
          <w:bCs/>
          <w:rtl/>
        </w:rPr>
        <w:lastRenderedPageBreak/>
        <w:t xml:space="preserve">משקלו של התיק המנוהל ע"י המוסדיים </w:t>
      </w:r>
      <w:r w:rsidRPr="0087751F">
        <w:rPr>
          <w:rtl/>
        </w:rPr>
        <w:t>בסך תיק הנכסים של הציבור עלה במהלך הרביע בכ-0.6 נקודות האחוז ועמד בסוף מרץ על כ-</w:t>
      </w:r>
      <w:r w:rsidRPr="0087751F">
        <w:rPr>
          <w:rFonts w:hint="cs"/>
          <w:rtl/>
        </w:rPr>
        <w:t>41.5%.</w:t>
      </w:r>
      <w:r w:rsidR="00103C1F">
        <w:rPr>
          <w:noProof/>
          <w:rtl/>
          <w:lang w:eastAsia="en-US"/>
        </w:rPr>
        <w:drawing>
          <wp:inline distT="0" distB="0" distL="0" distR="0" wp14:anchorId="30F505B7">
            <wp:extent cx="5277600" cy="3219750"/>
            <wp:effectExtent l="0" t="0" r="0" b="0"/>
            <wp:docPr id="6" name="תמונה 6" descr="יתרת סך הנכסים בתיק המנוהל בידי הגופים המוסדיים" title="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1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44" w:rsidRDefault="00D37A44" w:rsidP="0020778C">
      <w:pPr>
        <w:spacing w:line="360" w:lineRule="auto"/>
        <w:rPr>
          <w:b/>
          <w:bCs/>
          <w:rtl/>
        </w:rPr>
      </w:pPr>
    </w:p>
    <w:p w:rsidR="00C77624" w:rsidRDefault="00C77624" w:rsidP="00817E9F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חשיפת</w:t>
      </w:r>
      <w:r w:rsidR="00794343"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ע"י </w:t>
      </w:r>
      <w:r w:rsidR="008624F8">
        <w:rPr>
          <w:rFonts w:hint="cs"/>
          <w:b/>
          <w:bCs/>
          <w:rtl/>
        </w:rPr>
        <w:t xml:space="preserve">הגופים </w:t>
      </w:r>
      <w:r>
        <w:rPr>
          <w:rFonts w:hint="cs"/>
          <w:b/>
          <w:bCs/>
          <w:rtl/>
        </w:rPr>
        <w:t xml:space="preserve">המוסדיים לנכסים זרים ולמט"ח </w:t>
      </w:r>
      <w:r w:rsidR="00485655">
        <w:rPr>
          <w:b/>
          <w:bCs/>
          <w:rtl/>
        </w:rPr>
        <w:t>–</w:t>
      </w:r>
      <w:r w:rsidR="00485655">
        <w:rPr>
          <w:rFonts w:hint="cs"/>
          <w:b/>
          <w:bCs/>
          <w:rtl/>
        </w:rPr>
        <w:t xml:space="preserve"> </w:t>
      </w:r>
    </w:p>
    <w:p w:rsidR="00120DC1" w:rsidRDefault="00A71EAF" w:rsidP="00CA2376">
      <w:pPr>
        <w:spacing w:line="360" w:lineRule="auto"/>
        <w:rPr>
          <w:b/>
          <w:bCs/>
          <w:rtl/>
        </w:rPr>
      </w:pPr>
      <w:r w:rsidRPr="00F54A71">
        <w:rPr>
          <w:rFonts w:hint="cs"/>
          <w:b/>
          <w:bCs/>
          <w:rtl/>
        </w:rPr>
        <w:t xml:space="preserve">ברביע </w:t>
      </w:r>
      <w:r w:rsidR="00120DC1">
        <w:rPr>
          <w:rFonts w:hint="cs"/>
          <w:b/>
          <w:bCs/>
          <w:rtl/>
        </w:rPr>
        <w:t>הראשון</w:t>
      </w:r>
      <w:r w:rsidRPr="00F54A71">
        <w:rPr>
          <w:rFonts w:hint="cs"/>
          <w:b/>
          <w:bCs/>
          <w:rtl/>
        </w:rPr>
        <w:t xml:space="preserve"> של שנת </w:t>
      </w:r>
      <w:r w:rsidR="00120DC1">
        <w:rPr>
          <w:rFonts w:hint="cs"/>
          <w:b/>
          <w:bCs/>
          <w:rtl/>
        </w:rPr>
        <w:t>2016</w:t>
      </w:r>
      <w:r w:rsidRPr="00A40D58">
        <w:rPr>
          <w:rFonts w:hint="cs"/>
          <w:rtl/>
        </w:rPr>
        <w:t xml:space="preserve"> </w:t>
      </w:r>
      <w:r w:rsidR="00CA2376">
        <w:rPr>
          <w:rFonts w:hint="cs"/>
          <w:rtl/>
        </w:rPr>
        <w:t xml:space="preserve">ירד </w:t>
      </w:r>
      <w:r w:rsidR="00120DC1" w:rsidRPr="00120DC1">
        <w:rPr>
          <w:rtl/>
        </w:rPr>
        <w:t xml:space="preserve">שיעור החשיפה של המשקיעים המוסדיים לנכסים זרים ירד </w:t>
      </w:r>
      <w:r w:rsidR="00CA2376">
        <w:rPr>
          <w:rFonts w:hint="cs"/>
          <w:rtl/>
        </w:rPr>
        <w:t>ב</w:t>
      </w:r>
      <w:r w:rsidR="00120DC1" w:rsidRPr="00120DC1">
        <w:rPr>
          <w:rtl/>
        </w:rPr>
        <w:t xml:space="preserve">כ-0.8 נקודת אחוז ועמד </w:t>
      </w:r>
      <w:r w:rsidR="00CA2376" w:rsidRPr="00120DC1">
        <w:rPr>
          <w:rtl/>
        </w:rPr>
        <w:t>בסו</w:t>
      </w:r>
      <w:r w:rsidR="00CA2376">
        <w:rPr>
          <w:rFonts w:hint="cs"/>
          <w:rtl/>
        </w:rPr>
        <w:t>פו</w:t>
      </w:r>
      <w:r w:rsidR="00CA2376" w:rsidRPr="00120DC1">
        <w:rPr>
          <w:rtl/>
        </w:rPr>
        <w:t xml:space="preserve"> </w:t>
      </w:r>
      <w:r w:rsidR="00120DC1" w:rsidRPr="00120DC1">
        <w:rPr>
          <w:rtl/>
        </w:rPr>
        <w:t>על כ-24.3% מהתיק</w:t>
      </w:r>
      <w:r w:rsidR="00CA2376">
        <w:rPr>
          <w:rFonts w:hint="cs"/>
          <w:rtl/>
        </w:rPr>
        <w:t>.</w:t>
      </w:r>
      <w:r w:rsidR="00120DC1" w:rsidRPr="00120DC1">
        <w:rPr>
          <w:rtl/>
        </w:rPr>
        <w:t xml:space="preserve"> זאת כתוצאה מקצב גידול גבוה יותר בסך נכסי ההשקעה מאשר ביתרת הנכסים הזרים. </w:t>
      </w:r>
      <w:r>
        <w:rPr>
          <w:rFonts w:hint="cs"/>
          <w:rtl/>
        </w:rPr>
        <w:t>מהשינויים הבולטים</w:t>
      </w:r>
      <w:r w:rsidR="00CA2376">
        <w:rPr>
          <w:rFonts w:hint="cs"/>
          <w:rtl/>
        </w:rPr>
        <w:t xml:space="preserve"> - </w:t>
      </w:r>
      <w:r>
        <w:rPr>
          <w:rFonts w:hint="cs"/>
          <w:rtl/>
        </w:rPr>
        <w:t xml:space="preserve"> </w:t>
      </w:r>
      <w:r w:rsidR="00120DC1" w:rsidRPr="00120DC1">
        <w:rPr>
          <w:rtl/>
        </w:rPr>
        <w:t>קרנות הפנסיה החדשות וקופות הגמל וה</w:t>
      </w:r>
      <w:r w:rsidR="00120DC1">
        <w:rPr>
          <w:rtl/>
        </w:rPr>
        <w:t xml:space="preserve">השתלמות </w:t>
      </w:r>
      <w:r w:rsidR="00120DC1" w:rsidRPr="00120DC1">
        <w:rPr>
          <w:rtl/>
        </w:rPr>
        <w:t>הקטינו את היקף חשיפתן לנכסים זרים בכ-1.4 אחוז בממוצע כל אחת עד לרמה של כ-30% ו- 25.6% בהתאמה</w:t>
      </w:r>
      <w:r w:rsidR="00120DC1">
        <w:rPr>
          <w:rFonts w:hint="cs"/>
          <w:rtl/>
        </w:rPr>
        <w:t>.</w:t>
      </w:r>
    </w:p>
    <w:p w:rsidR="00120DC1" w:rsidRDefault="00A71EAF" w:rsidP="000F6CAC">
      <w:pPr>
        <w:spacing w:line="360" w:lineRule="auto"/>
        <w:rPr>
          <w:rtl/>
        </w:rPr>
      </w:pPr>
      <w:r w:rsidRPr="007F052C">
        <w:rPr>
          <w:rFonts w:hint="cs"/>
          <w:b/>
          <w:bCs/>
          <w:rtl/>
        </w:rPr>
        <w:t>בחשיפה למט"ח,</w:t>
      </w:r>
      <w:r>
        <w:rPr>
          <w:rFonts w:hint="cs"/>
          <w:rtl/>
        </w:rPr>
        <w:t xml:space="preserve"> הנמדדת ע"י משקל הנכסים הנק</w:t>
      </w:r>
      <w:r w:rsidR="000F6CAC">
        <w:rPr>
          <w:rFonts w:hint="cs"/>
          <w:rtl/>
        </w:rPr>
        <w:t>ובים והצמודים למט"ח (כולל נגזרי</w:t>
      </w:r>
      <w:r w:rsidR="000F6CAC" w:rsidRPr="000F6CAC">
        <w:rPr>
          <w:rtl/>
        </w:rPr>
        <w:t xml:space="preserve"> </w:t>
      </w:r>
      <w:r w:rsidR="000F6CAC" w:rsidRPr="00120DC1">
        <w:rPr>
          <w:rtl/>
        </w:rPr>
        <w:t>ש"ח/מט"ח</w:t>
      </w:r>
      <w:r>
        <w:rPr>
          <w:rFonts w:hint="cs"/>
          <w:rtl/>
        </w:rPr>
        <w:t>)</w:t>
      </w:r>
      <w:r w:rsidRPr="00942B77">
        <w:rPr>
          <w:rFonts w:hint="cs"/>
          <w:rtl/>
        </w:rPr>
        <w:t xml:space="preserve"> </w:t>
      </w:r>
      <w:r>
        <w:rPr>
          <w:rFonts w:hint="cs"/>
          <w:rtl/>
        </w:rPr>
        <w:t xml:space="preserve">מסך כל הנכסים של המשקיעים המוסדיים, </w:t>
      </w:r>
      <w:r w:rsidR="00120DC1" w:rsidRPr="00120DC1">
        <w:rPr>
          <w:rtl/>
        </w:rPr>
        <w:t xml:space="preserve">נותר שיעור החשיפה למט"ח כמעט ללא שינוי, ועמד בסופו על כ- 14.4%; יתרת החשיפה למט"ח במונחים שקליים עלתה בקצב דומה לסך נכסי ההשקעה. </w:t>
      </w:r>
    </w:p>
    <w:p w:rsidR="00120DC1" w:rsidRDefault="00A71EAF" w:rsidP="00120DC1">
      <w:pPr>
        <w:spacing w:line="360" w:lineRule="auto"/>
        <w:rPr>
          <w:b/>
          <w:bCs/>
          <w:rtl/>
        </w:rPr>
      </w:pPr>
      <w:r w:rsidRPr="00376947">
        <w:rPr>
          <w:rFonts w:hint="cs"/>
          <w:rtl/>
        </w:rPr>
        <w:t>מנתוני</w:t>
      </w:r>
      <w:r w:rsidRPr="00544A33">
        <w:rPr>
          <w:rFonts w:hint="cs"/>
          <w:b/>
          <w:bCs/>
          <w:rtl/>
        </w:rPr>
        <w:t xml:space="preserve"> </w:t>
      </w:r>
      <w:r w:rsidRPr="00A71EAF">
        <w:rPr>
          <w:rFonts w:hint="cs"/>
          <w:rtl/>
        </w:rPr>
        <w:t>האומדנים</w:t>
      </w:r>
      <w:r>
        <w:rPr>
          <w:rFonts w:hint="cs"/>
          <w:b/>
          <w:bCs/>
          <w:rtl/>
        </w:rPr>
        <w:t xml:space="preserve"> ל</w:t>
      </w:r>
      <w:r w:rsidRPr="00544A33">
        <w:rPr>
          <w:rFonts w:hint="cs"/>
          <w:b/>
          <w:bCs/>
          <w:rtl/>
        </w:rPr>
        <w:t xml:space="preserve">תנועות נטו </w:t>
      </w:r>
      <w:r w:rsidRPr="00376947">
        <w:rPr>
          <w:rFonts w:hint="cs"/>
          <w:rtl/>
        </w:rPr>
        <w:t xml:space="preserve">עולה כי במהלך הרביע </w:t>
      </w:r>
      <w:r w:rsidR="00120DC1">
        <w:rPr>
          <w:rFonts w:hint="cs"/>
          <w:rtl/>
        </w:rPr>
        <w:t>הראשון</w:t>
      </w:r>
      <w:r w:rsidRPr="00376947">
        <w:rPr>
          <w:rFonts w:hint="cs"/>
          <w:rtl/>
        </w:rPr>
        <w:t xml:space="preserve"> </w:t>
      </w:r>
      <w:r w:rsidR="00120DC1" w:rsidRPr="00120DC1">
        <w:rPr>
          <w:rtl/>
        </w:rPr>
        <w:t>המשקיעים המוסדיים השקיעו נטו בנכסי מט"ח; השקיעו כ-1.8 מיליארדי דולרים בנכסים הנקובים והצמודים למט"ח ובמקביל רכשו מט"ח נטו באמצעות מכשירים נגזרים בהיקף של כ-0.5 מיליארדי דולרים. כלומר צמצום יתרת העסקאות העתידיות למכירת מט"ח.</w:t>
      </w:r>
    </w:p>
    <w:p w:rsidR="00120DC1" w:rsidRDefault="00120DC1" w:rsidP="00120DC1">
      <w:pPr>
        <w:spacing w:line="360" w:lineRule="auto"/>
        <w:rPr>
          <w:b/>
          <w:bCs/>
          <w:rtl/>
        </w:rPr>
      </w:pPr>
    </w:p>
    <w:p w:rsidR="00A71EAF" w:rsidRPr="00A71EAF" w:rsidRDefault="00120DC1" w:rsidP="00120DC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21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1A095A" w:rsidRPr="005B0531" w:rsidRDefault="001A095A" w:rsidP="00544A33">
      <w:pPr>
        <w:tabs>
          <w:tab w:val="left" w:pos="9598"/>
        </w:tabs>
        <w:spacing w:line="360" w:lineRule="auto"/>
        <w:jc w:val="both"/>
        <w:outlineLvl w:val="0"/>
        <w:rPr>
          <w:rFonts w:asciiTheme="minorHAnsi" w:hAnsiTheme="minorHAnsi"/>
          <w:rtl/>
        </w:rPr>
      </w:pPr>
    </w:p>
    <w:tbl>
      <w:tblPr>
        <w:tblStyle w:val="ad"/>
        <w:bidiVisual/>
        <w:tblW w:w="9215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207B9F" w:rsidRPr="00207B9F" w:rsidTr="001A095A">
        <w:tc>
          <w:tcPr>
            <w:tcW w:w="4820" w:type="dxa"/>
          </w:tcPr>
          <w:p w:rsidR="00207B9F" w:rsidRPr="00207B9F" w:rsidRDefault="00120DC1" w:rsidP="006769C7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56CA71F" wp14:editId="54541BD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-3175</wp:posOffset>
                  </wp:positionV>
                  <wp:extent cx="2879725" cy="1881505"/>
                  <wp:effectExtent l="0" t="0" r="0" b="4445"/>
                  <wp:wrapSquare wrapText="bothSides"/>
                  <wp:docPr id="25" name="תמונה 25" descr="תנועות נטו הנכסי מט&quot;ח של המשקיעים המוסדיים מול שינוי בנגזרים ש&quot;ח/מט&quot;ח" title="תנועות נטו הנכסי מט&quot;ח של המשקיעים המוסדיים מול שינוי בנגזרים ש&quot;ח/מט&quot;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207B9F" w:rsidRPr="00207B9F" w:rsidRDefault="00120DC1" w:rsidP="006769C7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6672" behindDoc="0" locked="0" layoutInCell="1" allowOverlap="1" wp14:anchorId="39BDD1B1" wp14:editId="4222361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2879725" cy="1881505"/>
                  <wp:effectExtent l="0" t="0" r="0" b="4445"/>
                  <wp:wrapSquare wrapText="bothSides"/>
                  <wp:docPr id="26" name="תמונה 26" descr="שיעור החשיפה לזרים ולמט&quot;ח של המשקיעים המוסדיים" title="שיעור החשיפה לזרים ולמט&quot;ח של המשקיעים המוסד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0DC3" w:rsidRDefault="002F0DC3" w:rsidP="008F6E2B">
      <w:pPr>
        <w:tabs>
          <w:tab w:val="left" w:pos="4928"/>
        </w:tabs>
        <w:spacing w:line="360" w:lineRule="auto"/>
        <w:jc w:val="both"/>
        <w:rPr>
          <w:b/>
          <w:bCs/>
          <w:rtl/>
        </w:rPr>
      </w:pPr>
    </w:p>
    <w:p w:rsidR="007D09A4" w:rsidRPr="00762073" w:rsidRDefault="009B2E23" w:rsidP="00762073">
      <w:pPr>
        <w:pStyle w:val="ae"/>
        <w:numPr>
          <w:ilvl w:val="0"/>
          <w:numId w:val="18"/>
        </w:numPr>
        <w:tabs>
          <w:tab w:val="left" w:pos="4928"/>
        </w:tabs>
        <w:spacing w:line="360" w:lineRule="auto"/>
        <w:rPr>
          <w:rStyle w:val="10"/>
          <w:rtl/>
        </w:rPr>
      </w:pPr>
      <w:r w:rsidRPr="00762073">
        <w:rPr>
          <w:rStyle w:val="10"/>
          <w:rFonts w:hint="cs"/>
          <w:rtl/>
        </w:rPr>
        <w:t xml:space="preserve">התיק המנוהל באמצעות </w:t>
      </w:r>
      <w:r w:rsidR="0094399B" w:rsidRPr="00762073">
        <w:rPr>
          <w:rStyle w:val="10"/>
          <w:rFonts w:hint="cs"/>
          <w:rtl/>
        </w:rPr>
        <w:t xml:space="preserve">קרנות </w:t>
      </w:r>
      <w:r w:rsidR="0027681B" w:rsidRPr="00762073">
        <w:rPr>
          <w:rStyle w:val="10"/>
          <w:rFonts w:hint="cs"/>
          <w:rtl/>
        </w:rPr>
        <w:t>ה</w:t>
      </w:r>
      <w:r w:rsidR="0094399B" w:rsidRPr="00762073">
        <w:rPr>
          <w:rStyle w:val="10"/>
          <w:rFonts w:hint="cs"/>
          <w:rtl/>
        </w:rPr>
        <w:t>נאמנות</w:t>
      </w:r>
      <w:r w:rsidR="00AC1D6B" w:rsidRPr="00762073">
        <w:rPr>
          <w:rStyle w:val="10"/>
          <w:rFonts w:hint="cs"/>
          <w:rtl/>
        </w:rPr>
        <w:t xml:space="preserve"> </w:t>
      </w:r>
    </w:p>
    <w:p w:rsidR="002F0DC3" w:rsidRDefault="002F0DC3" w:rsidP="005E5748">
      <w:pPr>
        <w:spacing w:line="360" w:lineRule="auto"/>
        <w:jc w:val="both"/>
        <w:rPr>
          <w:rtl/>
        </w:rPr>
      </w:pPr>
    </w:p>
    <w:p w:rsidR="00BD3B89" w:rsidRDefault="001A43E9" w:rsidP="00FA766F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120DC1">
        <w:rPr>
          <w:rFonts w:hint="cs"/>
          <w:rtl/>
        </w:rPr>
        <w:t>מרץ</w:t>
      </w:r>
      <w:r w:rsidR="00872C40">
        <w:rPr>
          <w:rFonts w:hint="cs"/>
          <w:rtl/>
        </w:rPr>
        <w:t xml:space="preserve"> </w:t>
      </w:r>
      <w:r w:rsidR="00FA766F">
        <w:rPr>
          <w:rFonts w:hint="cs"/>
          <w:rtl/>
        </w:rPr>
        <w:t xml:space="preserve">2016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120DC1">
        <w:rPr>
          <w:rFonts w:hint="cs"/>
          <w:rtl/>
        </w:rPr>
        <w:t>217.</w:t>
      </w:r>
      <w:r w:rsidR="00CF5120">
        <w:rPr>
          <w:rFonts w:hint="cs"/>
          <w:rtl/>
        </w:rPr>
        <w:t>2</w:t>
      </w:r>
      <w:r w:rsidR="00870A61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 </w:t>
      </w:r>
      <w:r w:rsidR="00FD22C6" w:rsidRPr="005E5748">
        <w:rPr>
          <w:rFonts w:hint="cs"/>
          <w:rtl/>
        </w:rPr>
        <w:t>ש</w:t>
      </w:r>
      <w:r w:rsidR="00FD22C6" w:rsidRPr="005E5748">
        <w:rPr>
          <w:rtl/>
        </w:rPr>
        <w:t>"</w:t>
      </w:r>
      <w:r w:rsidR="00FD22C6" w:rsidRPr="005E5748">
        <w:rPr>
          <w:rFonts w:hint="cs"/>
          <w:rtl/>
        </w:rPr>
        <w:t>ח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2C141D">
        <w:rPr>
          <w:rFonts w:hint="cs"/>
          <w:rtl/>
        </w:rPr>
        <w:t>6.6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DB2F69" w:rsidRPr="009C5E5D">
        <w:rPr>
          <w:rFonts w:hint="cs"/>
          <w:rtl/>
        </w:rPr>
        <w:t xml:space="preserve"> וכ-</w:t>
      </w:r>
      <w:r w:rsidR="007F052C">
        <w:rPr>
          <w:rFonts w:hint="cs"/>
          <w:rtl/>
        </w:rPr>
        <w:t>1</w:t>
      </w:r>
      <w:r w:rsidR="002C141D">
        <w:rPr>
          <w:rFonts w:hint="cs"/>
          <w:rtl/>
        </w:rPr>
        <w:t>3</w:t>
      </w:r>
      <w:r w:rsidR="007F052C">
        <w:rPr>
          <w:rFonts w:hint="cs"/>
          <w:rtl/>
        </w:rPr>
        <w:t>.</w:t>
      </w:r>
      <w:r w:rsidR="001F4DD2">
        <w:rPr>
          <w:rFonts w:hint="cs"/>
          <w:rtl/>
        </w:rPr>
        <w:t>2</w:t>
      </w:r>
      <w:r w:rsidR="00DB2F69" w:rsidRPr="009C5E5D">
        <w:rPr>
          <w:rFonts w:hint="cs"/>
          <w:rtl/>
        </w:rPr>
        <w:t>% מהתיק</w:t>
      </w:r>
      <w:r w:rsidR="00DB2F69">
        <w:rPr>
          <w:rFonts w:hint="cs"/>
          <w:rtl/>
        </w:rPr>
        <w:t xml:space="preserve"> הסחיר</w:t>
      </w:r>
      <w:r w:rsidR="0027681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237F8" w:rsidRDefault="007F052C" w:rsidP="0086224C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 xml:space="preserve">ברביע </w:t>
      </w:r>
      <w:r w:rsidR="002C141D">
        <w:rPr>
          <w:rFonts w:hint="cs"/>
          <w:b/>
          <w:bCs/>
          <w:rtl/>
        </w:rPr>
        <w:t>הראשון</w:t>
      </w:r>
      <w:r>
        <w:rPr>
          <w:rFonts w:hint="cs"/>
          <w:b/>
          <w:bCs/>
          <w:rtl/>
        </w:rPr>
        <w:t xml:space="preserve"> של </w:t>
      </w:r>
      <w:r w:rsidR="00FA766F">
        <w:rPr>
          <w:rFonts w:hint="cs"/>
          <w:b/>
          <w:bCs/>
          <w:rtl/>
        </w:rPr>
        <w:t>השנה</w:t>
      </w:r>
      <w:r>
        <w:rPr>
          <w:rFonts w:hint="cs"/>
          <w:b/>
          <w:bCs/>
          <w:rtl/>
        </w:rPr>
        <w:t xml:space="preserve">, </w:t>
      </w:r>
      <w:r w:rsidR="00FA766F">
        <w:rPr>
          <w:rFonts w:hint="cs"/>
          <w:b/>
          <w:bCs/>
          <w:rtl/>
        </w:rPr>
        <w:t xml:space="preserve">נמשכה </w:t>
      </w:r>
      <w:r>
        <w:rPr>
          <w:rFonts w:hint="cs"/>
          <w:b/>
          <w:bCs/>
          <w:rtl/>
        </w:rPr>
        <w:t>מגמת</w:t>
      </w:r>
      <w:r w:rsidR="007D09A4" w:rsidRPr="007D09A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="007D09A4" w:rsidRPr="007D09A4">
        <w:rPr>
          <w:rFonts w:hint="cs"/>
          <w:b/>
          <w:bCs/>
          <w:rtl/>
        </w:rPr>
        <w:t>פדיונות נטו</w:t>
      </w:r>
      <w:r w:rsidR="006F3F52">
        <w:rPr>
          <w:rFonts w:hint="cs"/>
          <w:b/>
          <w:bCs/>
          <w:rtl/>
        </w:rPr>
        <w:t xml:space="preserve"> </w:t>
      </w:r>
      <w:r w:rsidR="006F3F52">
        <w:rPr>
          <w:rFonts w:hint="cs"/>
          <w:rtl/>
        </w:rPr>
        <w:t>(עודף פדיונות על הנפקות, בניכוי דיבידנד)</w:t>
      </w:r>
      <w:r w:rsidR="00A71EAF">
        <w:rPr>
          <w:rFonts w:hint="cs"/>
          <w:rtl/>
        </w:rPr>
        <w:t xml:space="preserve"> בהיקף של כ- </w:t>
      </w:r>
      <w:r w:rsidR="002C141D">
        <w:rPr>
          <w:rFonts w:hint="cs"/>
          <w:rtl/>
        </w:rPr>
        <w:t>11.6</w:t>
      </w:r>
      <w:r w:rsidR="00167682">
        <w:rPr>
          <w:rFonts w:hint="cs"/>
          <w:rtl/>
        </w:rPr>
        <w:t xml:space="preserve"> מיליארדי ש"ח</w:t>
      </w:r>
      <w:r w:rsidR="00FA766F">
        <w:rPr>
          <w:rFonts w:hint="cs"/>
          <w:rtl/>
        </w:rPr>
        <w:t xml:space="preserve"> -  </w:t>
      </w:r>
      <w:r w:rsidR="007D09A4">
        <w:rPr>
          <w:rFonts w:hint="cs"/>
          <w:rtl/>
        </w:rPr>
        <w:t xml:space="preserve">המשך למגמת הירידה מאז הרביע השני </w:t>
      </w:r>
      <w:r w:rsidR="00874FDB">
        <w:rPr>
          <w:rFonts w:hint="cs"/>
          <w:rtl/>
        </w:rPr>
        <w:t>של שנת 2014</w:t>
      </w:r>
      <w:r w:rsidR="007D09A4" w:rsidRPr="006F3F52">
        <w:rPr>
          <w:rFonts w:hint="cs"/>
          <w:rtl/>
        </w:rPr>
        <w:t>.</w:t>
      </w:r>
      <w:r w:rsidR="006F3F52" w:rsidRPr="006F3F52">
        <w:rPr>
          <w:rFonts w:hint="cs"/>
          <w:rtl/>
        </w:rPr>
        <w:t xml:space="preserve"> כתוצאה </w:t>
      </w:r>
      <w:r w:rsidR="00874FDB">
        <w:rPr>
          <w:rFonts w:hint="cs"/>
          <w:rtl/>
        </w:rPr>
        <w:t xml:space="preserve">משילוב </w:t>
      </w:r>
      <w:r w:rsidR="006F3F52" w:rsidRPr="006F3F52">
        <w:rPr>
          <w:rFonts w:hint="cs"/>
          <w:rtl/>
        </w:rPr>
        <w:t>הפדיונות</w:t>
      </w:r>
      <w:r w:rsidR="006F3F52">
        <w:rPr>
          <w:rFonts w:hint="cs"/>
          <w:rtl/>
        </w:rPr>
        <w:t xml:space="preserve"> נטו </w:t>
      </w:r>
      <w:r w:rsidR="00870A61">
        <w:rPr>
          <w:rFonts w:hint="cs"/>
          <w:rtl/>
        </w:rPr>
        <w:t>וירידת</w:t>
      </w:r>
      <w:r w:rsidR="006F3F52">
        <w:rPr>
          <w:rFonts w:hint="cs"/>
          <w:rtl/>
        </w:rPr>
        <w:t xml:space="preserve"> מחירי הנכסים</w:t>
      </w:r>
      <w:r w:rsidR="00874FDB">
        <w:rPr>
          <w:rFonts w:hint="cs"/>
          <w:rtl/>
        </w:rPr>
        <w:t>,</w:t>
      </w:r>
      <w:r w:rsidR="006F3F52">
        <w:rPr>
          <w:rFonts w:hint="cs"/>
          <w:rtl/>
        </w:rPr>
        <w:t xml:space="preserve"> </w:t>
      </w:r>
      <w:r w:rsidR="0086224C">
        <w:rPr>
          <w:rFonts w:hint="cs"/>
          <w:rtl/>
        </w:rPr>
        <w:t xml:space="preserve">ברביע הראשון, </w:t>
      </w:r>
      <w:r w:rsidR="00870A61">
        <w:rPr>
          <w:rFonts w:hint="cs"/>
          <w:rtl/>
        </w:rPr>
        <w:t xml:space="preserve">ירדו </w:t>
      </w:r>
      <w:r w:rsidR="006F3F52" w:rsidRPr="00101362">
        <w:rPr>
          <w:rFonts w:hint="cs"/>
          <w:rtl/>
        </w:rPr>
        <w:t xml:space="preserve">שווי יתרות קרנות הנאמנות </w:t>
      </w:r>
      <w:r w:rsidR="00870A61">
        <w:rPr>
          <w:rFonts w:hint="cs"/>
          <w:rtl/>
        </w:rPr>
        <w:t>בכ-</w:t>
      </w:r>
      <w:r w:rsidR="00CF5120">
        <w:rPr>
          <w:rFonts w:hint="cs"/>
          <w:rtl/>
        </w:rPr>
        <w:t>11.</w:t>
      </w:r>
      <w:r w:rsidR="000F6CAC">
        <w:rPr>
          <w:rFonts w:hint="cs"/>
          <w:rtl/>
        </w:rPr>
        <w:t>9</w:t>
      </w:r>
      <w:r w:rsidR="00CF5120">
        <w:rPr>
          <w:rFonts w:hint="cs"/>
          <w:rtl/>
        </w:rPr>
        <w:t xml:space="preserve"> </w:t>
      </w:r>
      <w:r w:rsidR="00870A61">
        <w:rPr>
          <w:rFonts w:hint="cs"/>
          <w:rtl/>
        </w:rPr>
        <w:t xml:space="preserve">מיליארדי </w:t>
      </w:r>
      <w:r w:rsidR="0086224C">
        <w:rPr>
          <w:rFonts w:hint="cs"/>
          <w:rtl/>
        </w:rPr>
        <w:t>ש"ח.</w:t>
      </w:r>
      <w:r w:rsidR="00FA766F">
        <w:rPr>
          <w:rFonts w:hint="cs"/>
          <w:rtl/>
        </w:rPr>
        <w:t xml:space="preserve"> </w:t>
      </w:r>
      <w:r w:rsidR="00A21D66" w:rsidRPr="00101362">
        <w:rPr>
          <w:rFonts w:hint="cs"/>
          <w:rtl/>
        </w:rPr>
        <w:t>מהתפלגות הקרנות לפי התמחויות עולה כי</w:t>
      </w:r>
      <w:r w:rsidR="00A21D66" w:rsidRPr="00101362">
        <w:rPr>
          <w:rFonts w:hint="cs"/>
          <w:b/>
          <w:bCs/>
          <w:rtl/>
        </w:rPr>
        <w:t xml:space="preserve"> </w:t>
      </w:r>
      <w:r w:rsidR="00A21D66">
        <w:rPr>
          <w:rFonts w:hint="cs"/>
          <w:rtl/>
        </w:rPr>
        <w:t>הפדיונות</w:t>
      </w:r>
      <w:r w:rsidR="00A21D66" w:rsidRPr="00101362">
        <w:rPr>
          <w:rFonts w:hint="cs"/>
          <w:rtl/>
        </w:rPr>
        <w:t xml:space="preserve"> נטו</w:t>
      </w:r>
      <w:r w:rsidR="00A21D66">
        <w:rPr>
          <w:rFonts w:hint="cs"/>
          <w:rtl/>
        </w:rPr>
        <w:t xml:space="preserve"> ברביע זה, התרכזו בנכסי </w:t>
      </w:r>
      <w:r w:rsidR="002C141D">
        <w:rPr>
          <w:rFonts w:hint="cs"/>
          <w:rtl/>
        </w:rPr>
        <w:t>האג"ח הכללי בארץ (4.8 מיליארדי</w:t>
      </w:r>
      <w:r w:rsidR="002C141D">
        <w:rPr>
          <w:rFonts w:hint="eastAsia"/>
          <w:rtl/>
        </w:rPr>
        <w:t>ם</w:t>
      </w:r>
      <w:r w:rsidR="002C141D">
        <w:rPr>
          <w:rFonts w:hint="cs"/>
          <w:rtl/>
        </w:rPr>
        <w:t>, 6.7%-), ב</w:t>
      </w:r>
      <w:r w:rsidR="001F4DD2">
        <w:rPr>
          <w:rFonts w:hint="cs"/>
          <w:rtl/>
        </w:rPr>
        <w:t>אג"ח מדינה (</w:t>
      </w:r>
      <w:r w:rsidR="002C141D">
        <w:rPr>
          <w:rFonts w:hint="cs"/>
          <w:rtl/>
        </w:rPr>
        <w:t xml:space="preserve">3.5 </w:t>
      </w:r>
      <w:r w:rsidR="001F4DD2">
        <w:rPr>
          <w:rFonts w:hint="cs"/>
          <w:rtl/>
        </w:rPr>
        <w:t>מיליארדי</w:t>
      </w:r>
      <w:r w:rsidR="001F4DD2">
        <w:rPr>
          <w:rFonts w:hint="eastAsia"/>
          <w:rtl/>
        </w:rPr>
        <w:t>ם</w:t>
      </w:r>
      <w:r w:rsidR="001F4DD2">
        <w:rPr>
          <w:rFonts w:hint="cs"/>
          <w:rtl/>
        </w:rPr>
        <w:t xml:space="preserve">, </w:t>
      </w:r>
      <w:r w:rsidR="002C141D">
        <w:rPr>
          <w:rFonts w:hint="cs"/>
          <w:rtl/>
        </w:rPr>
        <w:t>9</w:t>
      </w:r>
      <w:r w:rsidR="00CF5120">
        <w:rPr>
          <w:rFonts w:hint="cs"/>
          <w:rtl/>
        </w:rPr>
        <w:t>%-) ו</w:t>
      </w:r>
      <w:r w:rsidR="00980385">
        <w:rPr>
          <w:rFonts w:hint="cs"/>
          <w:rtl/>
        </w:rPr>
        <w:t>ב</w:t>
      </w:r>
      <w:r w:rsidR="00A21D66">
        <w:rPr>
          <w:rFonts w:hint="cs"/>
          <w:rtl/>
        </w:rPr>
        <w:t>קרנות הכספיות (</w:t>
      </w:r>
      <w:r w:rsidR="00980385">
        <w:rPr>
          <w:rFonts w:hint="cs"/>
          <w:rtl/>
        </w:rPr>
        <w:t>2.</w:t>
      </w:r>
      <w:r w:rsidR="00CF5120">
        <w:rPr>
          <w:rFonts w:hint="cs"/>
          <w:rtl/>
        </w:rPr>
        <w:t>3</w:t>
      </w:r>
      <w:r w:rsidR="00A21D66" w:rsidRPr="00101362">
        <w:rPr>
          <w:rFonts w:hint="cs"/>
          <w:rtl/>
        </w:rPr>
        <w:t xml:space="preserve"> 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A21D66" w:rsidRPr="00101362">
        <w:rPr>
          <w:rFonts w:hint="cs"/>
          <w:rtl/>
        </w:rPr>
        <w:t xml:space="preserve">, </w:t>
      </w:r>
      <w:r w:rsidR="00CF5120">
        <w:rPr>
          <w:rFonts w:hint="cs"/>
          <w:rtl/>
        </w:rPr>
        <w:t>9</w:t>
      </w:r>
      <w:r w:rsidR="00A21D66" w:rsidRPr="00101362">
        <w:rPr>
          <w:rFonts w:hint="cs"/>
          <w:rtl/>
        </w:rPr>
        <w:t>%</w:t>
      </w:r>
      <w:r w:rsidR="002237F8">
        <w:rPr>
          <w:rFonts w:hint="cs"/>
          <w:rtl/>
        </w:rPr>
        <w:t>-</w:t>
      </w:r>
      <w:r w:rsidR="00A21D66" w:rsidRPr="00101362">
        <w:rPr>
          <w:rFonts w:hint="cs"/>
          <w:rtl/>
        </w:rPr>
        <w:t>)</w:t>
      </w:r>
      <w:r w:rsidR="00CF5120">
        <w:rPr>
          <w:rFonts w:hint="cs"/>
          <w:rtl/>
        </w:rPr>
        <w:t>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120DC1" w:rsidP="00A332E3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3580D795" wp14:editId="2ADB4BD1">
            <wp:extent cx="5277600" cy="3220329"/>
            <wp:effectExtent l="0" t="0" r="0" b="0"/>
            <wp:docPr id="27" name="תמונה 27" descr="הפקדות נטו בקרנות הנאמנות לפי התמחות" title="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5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bookmarkStart w:id="0" w:name="_GoBack"/>
      <w:bookmarkEnd w:id="0"/>
      <w:r>
        <w:rPr>
          <w:rFonts w:hint="cs"/>
          <w:rtl/>
        </w:rPr>
        <w:t>.</w:t>
      </w:r>
    </w:p>
    <w:sectPr w:rsidR="002502BC" w:rsidSect="00762073">
      <w:headerReference w:type="default" r:id="rId26"/>
      <w:footerReference w:type="even" r:id="rId27"/>
      <w:footerReference w:type="default" r:id="rId28"/>
      <w:endnotePr>
        <w:numFmt w:val="lowerLetter"/>
      </w:endnotePr>
      <w:pgSz w:w="11906" w:h="16838"/>
      <w:pgMar w:top="964" w:right="1797" w:bottom="1134" w:left="1797" w:header="720" w:footer="283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4F" w:rsidRDefault="00D0664F">
      <w:r>
        <w:separator/>
      </w:r>
    </w:p>
  </w:endnote>
  <w:endnote w:type="continuationSeparator" w:id="0">
    <w:p w:rsidR="00D0664F" w:rsidRDefault="00D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D921A2" w:rsidRDefault="00D921A2" w:rsidP="009C0C19">
    <w:pPr>
      <w:spacing w:line="360" w:lineRule="auto"/>
      <w:ind w:left="90"/>
      <w:rPr>
        <w:sz w:val="20"/>
        <w:szCs w:val="20"/>
        <w:rtl/>
        <w:cs/>
      </w:rPr>
    </w:pPr>
    <w:r>
      <w:rPr>
        <w:rFonts w:hint="cs"/>
        <w:sz w:val="20"/>
        <w:szCs w:val="20"/>
        <w:rtl/>
      </w:rPr>
      <w:t xml:space="preserve">בנק ישראל - </w:t>
    </w:r>
    <w:r w:rsidRPr="00D921A2">
      <w:rPr>
        <w:rFonts w:hint="cs"/>
        <w:sz w:val="20"/>
        <w:szCs w:val="20"/>
        <w:rtl/>
      </w:rPr>
      <w:t xml:space="preserve">התפתחויות בתיק הנכסים הפיננסיים של הציבור ברביע </w:t>
    </w:r>
    <w:r w:rsidR="009C0C19">
      <w:rPr>
        <w:rFonts w:hint="cs"/>
        <w:sz w:val="20"/>
        <w:szCs w:val="20"/>
        <w:rtl/>
      </w:rPr>
      <w:t>הראשון</w:t>
    </w:r>
    <w:r w:rsidRPr="00D921A2">
      <w:rPr>
        <w:rFonts w:hint="cs"/>
        <w:sz w:val="20"/>
        <w:szCs w:val="20"/>
        <w:rtl/>
      </w:rPr>
      <w:t xml:space="preserve"> של שנת </w:t>
    </w:r>
    <w:r w:rsidR="009C0C19">
      <w:rPr>
        <w:rFonts w:hint="cs"/>
        <w:sz w:val="20"/>
        <w:szCs w:val="20"/>
        <w:rtl/>
      </w:rPr>
      <w:t>2016</w:t>
    </w:r>
    <w:r>
      <w:rPr>
        <w:rFonts w:hint="cs"/>
        <w:sz w:val="20"/>
        <w:szCs w:val="20"/>
        <w:rtl/>
        <w:cs/>
        <w:lang w:val="he-IL"/>
      </w:rPr>
      <w:tab/>
    </w:r>
    <w:r w:rsidRPr="00D921A2">
      <w:rPr>
        <w:sz w:val="20"/>
        <w:szCs w:val="20"/>
        <w:rtl/>
        <w:cs/>
        <w:lang w:val="he-IL"/>
      </w:rPr>
      <w:t xml:space="preserve">עמוד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PAGE</w:instrText>
    </w:r>
    <w:r w:rsidRPr="00D921A2">
      <w:rPr>
        <w:b/>
        <w:bCs/>
        <w:sz w:val="20"/>
        <w:szCs w:val="20"/>
      </w:rPr>
      <w:fldChar w:fldCharType="separate"/>
    </w:r>
    <w:r w:rsidR="00762073">
      <w:rPr>
        <w:b/>
        <w:bCs/>
        <w:noProof/>
        <w:sz w:val="20"/>
        <w:szCs w:val="20"/>
        <w:rtl/>
      </w:rPr>
      <w:t>5</w:t>
    </w:r>
    <w:r w:rsidRPr="00D921A2">
      <w:rPr>
        <w:b/>
        <w:bCs/>
        <w:sz w:val="20"/>
        <w:szCs w:val="20"/>
      </w:rPr>
      <w:fldChar w:fldCharType="end"/>
    </w:r>
    <w:r w:rsidRPr="00D921A2">
      <w:rPr>
        <w:sz w:val="20"/>
        <w:szCs w:val="20"/>
        <w:rtl/>
        <w:cs/>
        <w:lang w:val="he-IL"/>
      </w:rPr>
      <w:t xml:space="preserve"> מתוך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NUMPAGES</w:instrText>
    </w:r>
    <w:r w:rsidRPr="00D921A2">
      <w:rPr>
        <w:b/>
        <w:bCs/>
        <w:sz w:val="20"/>
        <w:szCs w:val="20"/>
      </w:rPr>
      <w:fldChar w:fldCharType="separate"/>
    </w:r>
    <w:r w:rsidR="00762073">
      <w:rPr>
        <w:b/>
        <w:bCs/>
        <w:noProof/>
        <w:sz w:val="20"/>
        <w:szCs w:val="20"/>
        <w:rtl/>
      </w:rPr>
      <w:t>6</w:t>
    </w:r>
    <w:r w:rsidRPr="00D921A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4F" w:rsidRDefault="00D0664F">
      <w:r>
        <w:separator/>
      </w:r>
    </w:p>
  </w:footnote>
  <w:footnote w:type="continuationSeparator" w:id="0">
    <w:p w:rsidR="00D0664F" w:rsidRDefault="00D0664F">
      <w:r>
        <w:continuationSeparator/>
      </w:r>
    </w:p>
  </w:footnote>
  <w:footnote w:id="1">
    <w:p w:rsidR="00794343" w:rsidRPr="00762073" w:rsidRDefault="00794343">
      <w:pPr>
        <w:pStyle w:val="a3"/>
        <w:rPr>
          <w:sz w:val="24"/>
          <w:szCs w:val="24"/>
          <w:rtl/>
        </w:rPr>
      </w:pPr>
      <w:r w:rsidRPr="00762073">
        <w:rPr>
          <w:rStyle w:val="a4"/>
          <w:sz w:val="24"/>
          <w:szCs w:val="24"/>
        </w:rPr>
        <w:footnoteRef/>
      </w:r>
      <w:r w:rsidRPr="00762073">
        <w:rPr>
          <w:sz w:val="24"/>
          <w:szCs w:val="24"/>
          <w:rtl/>
        </w:rPr>
        <w:t xml:space="preserve"> </w:t>
      </w:r>
      <w:r w:rsidRPr="00762073">
        <w:rPr>
          <w:rFonts w:hint="cs"/>
          <w:sz w:val="24"/>
          <w:szCs w:val="24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4846"/>
    <w:multiLevelType w:val="hybridMultilevel"/>
    <w:tmpl w:val="C7CE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47016"/>
    <w:multiLevelType w:val="hybridMultilevel"/>
    <w:tmpl w:val="834C6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47B0F"/>
    <w:multiLevelType w:val="hybridMultilevel"/>
    <w:tmpl w:val="659EC63A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14"/>
  </w:num>
  <w:num w:numId="9">
    <w:abstractNumId w:val="2"/>
  </w:num>
  <w:num w:numId="10">
    <w:abstractNumId w:val="7"/>
  </w:num>
  <w:num w:numId="11">
    <w:abstractNumId w:val="17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42D"/>
    <w:rsid w:val="00091F3F"/>
    <w:rsid w:val="00092CA7"/>
    <w:rsid w:val="000932F3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103B"/>
    <w:rsid w:val="000A23D5"/>
    <w:rsid w:val="000A2E03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56DE"/>
    <w:rsid w:val="0010593A"/>
    <w:rsid w:val="0011075A"/>
    <w:rsid w:val="00110DFF"/>
    <w:rsid w:val="00110E4D"/>
    <w:rsid w:val="001138F6"/>
    <w:rsid w:val="00113CB0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5050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7410"/>
    <w:rsid w:val="0014743C"/>
    <w:rsid w:val="00150373"/>
    <w:rsid w:val="00150AD5"/>
    <w:rsid w:val="00150BFB"/>
    <w:rsid w:val="00150E47"/>
    <w:rsid w:val="0015236A"/>
    <w:rsid w:val="00152F2D"/>
    <w:rsid w:val="00154533"/>
    <w:rsid w:val="001553C3"/>
    <w:rsid w:val="001555E5"/>
    <w:rsid w:val="001558E4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6DA9"/>
    <w:rsid w:val="001776A3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6F8F"/>
    <w:rsid w:val="001C7E12"/>
    <w:rsid w:val="001D08C2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41F"/>
    <w:rsid w:val="001D6781"/>
    <w:rsid w:val="001D6866"/>
    <w:rsid w:val="001D7439"/>
    <w:rsid w:val="001D76B2"/>
    <w:rsid w:val="001D7970"/>
    <w:rsid w:val="001E25EF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AFF"/>
    <w:rsid w:val="00214B50"/>
    <w:rsid w:val="00215C50"/>
    <w:rsid w:val="0021612F"/>
    <w:rsid w:val="00217472"/>
    <w:rsid w:val="00221EB5"/>
    <w:rsid w:val="00222821"/>
    <w:rsid w:val="002237F8"/>
    <w:rsid w:val="00223C6E"/>
    <w:rsid w:val="00223E9A"/>
    <w:rsid w:val="002252E2"/>
    <w:rsid w:val="00225541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327D"/>
    <w:rsid w:val="002339EB"/>
    <w:rsid w:val="00234179"/>
    <w:rsid w:val="0023440A"/>
    <w:rsid w:val="00235DCE"/>
    <w:rsid w:val="0023775E"/>
    <w:rsid w:val="002379EF"/>
    <w:rsid w:val="00237C45"/>
    <w:rsid w:val="002403B2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53A0"/>
    <w:rsid w:val="0026547B"/>
    <w:rsid w:val="002665AE"/>
    <w:rsid w:val="002670AD"/>
    <w:rsid w:val="00267A92"/>
    <w:rsid w:val="00270B18"/>
    <w:rsid w:val="002717B2"/>
    <w:rsid w:val="002726E1"/>
    <w:rsid w:val="0027319D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85D"/>
    <w:rsid w:val="00292427"/>
    <w:rsid w:val="00292432"/>
    <w:rsid w:val="00293831"/>
    <w:rsid w:val="002941EA"/>
    <w:rsid w:val="00295B3F"/>
    <w:rsid w:val="0029682A"/>
    <w:rsid w:val="00297B32"/>
    <w:rsid w:val="00297EF8"/>
    <w:rsid w:val="002A05B4"/>
    <w:rsid w:val="002A07C7"/>
    <w:rsid w:val="002A172C"/>
    <w:rsid w:val="002A245A"/>
    <w:rsid w:val="002A2D9C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D92"/>
    <w:rsid w:val="002E34BB"/>
    <w:rsid w:val="002E4F88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5401"/>
    <w:rsid w:val="002F56BB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3125"/>
    <w:rsid w:val="0031320B"/>
    <w:rsid w:val="00313272"/>
    <w:rsid w:val="003132AA"/>
    <w:rsid w:val="003139F9"/>
    <w:rsid w:val="003141E6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6947"/>
    <w:rsid w:val="00377ADA"/>
    <w:rsid w:val="00380DA4"/>
    <w:rsid w:val="00380F38"/>
    <w:rsid w:val="00381900"/>
    <w:rsid w:val="00382A96"/>
    <w:rsid w:val="00384733"/>
    <w:rsid w:val="00384EEC"/>
    <w:rsid w:val="00386C83"/>
    <w:rsid w:val="003873F3"/>
    <w:rsid w:val="00387665"/>
    <w:rsid w:val="0039006D"/>
    <w:rsid w:val="00390265"/>
    <w:rsid w:val="00391FC3"/>
    <w:rsid w:val="00392A7D"/>
    <w:rsid w:val="00393291"/>
    <w:rsid w:val="003955FE"/>
    <w:rsid w:val="00395BC3"/>
    <w:rsid w:val="00395FE2"/>
    <w:rsid w:val="003960C5"/>
    <w:rsid w:val="00396B35"/>
    <w:rsid w:val="003971F2"/>
    <w:rsid w:val="003A0736"/>
    <w:rsid w:val="003A09C0"/>
    <w:rsid w:val="003A0A0D"/>
    <w:rsid w:val="003A0EA4"/>
    <w:rsid w:val="003A113D"/>
    <w:rsid w:val="003A17D9"/>
    <w:rsid w:val="003A1A1E"/>
    <w:rsid w:val="003A1FCC"/>
    <w:rsid w:val="003A2C39"/>
    <w:rsid w:val="003A353B"/>
    <w:rsid w:val="003A43E6"/>
    <w:rsid w:val="003A4DF9"/>
    <w:rsid w:val="003A50BB"/>
    <w:rsid w:val="003A6452"/>
    <w:rsid w:val="003A70ED"/>
    <w:rsid w:val="003A75AC"/>
    <w:rsid w:val="003B0778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456"/>
    <w:rsid w:val="003C666F"/>
    <w:rsid w:val="003C6B2E"/>
    <w:rsid w:val="003C7296"/>
    <w:rsid w:val="003D236F"/>
    <w:rsid w:val="003D276A"/>
    <w:rsid w:val="003D372B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11E7"/>
    <w:rsid w:val="004211EB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514C"/>
    <w:rsid w:val="00436800"/>
    <w:rsid w:val="004376A1"/>
    <w:rsid w:val="00437961"/>
    <w:rsid w:val="00440BED"/>
    <w:rsid w:val="004411E9"/>
    <w:rsid w:val="00441BA1"/>
    <w:rsid w:val="004420AD"/>
    <w:rsid w:val="0044337F"/>
    <w:rsid w:val="004437C5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54D6"/>
    <w:rsid w:val="0046655F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B53"/>
    <w:rsid w:val="004770C3"/>
    <w:rsid w:val="00477660"/>
    <w:rsid w:val="004816F5"/>
    <w:rsid w:val="00482F4E"/>
    <w:rsid w:val="004830F5"/>
    <w:rsid w:val="00483238"/>
    <w:rsid w:val="004839C5"/>
    <w:rsid w:val="00483D20"/>
    <w:rsid w:val="00484774"/>
    <w:rsid w:val="004848EF"/>
    <w:rsid w:val="00485655"/>
    <w:rsid w:val="00485F4E"/>
    <w:rsid w:val="004860E6"/>
    <w:rsid w:val="00486F4F"/>
    <w:rsid w:val="004876DA"/>
    <w:rsid w:val="0049067F"/>
    <w:rsid w:val="004910DE"/>
    <w:rsid w:val="004916C0"/>
    <w:rsid w:val="00491D04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6117"/>
    <w:rsid w:val="004C630F"/>
    <w:rsid w:val="004C7F8A"/>
    <w:rsid w:val="004D1BB9"/>
    <w:rsid w:val="004D2132"/>
    <w:rsid w:val="004D3D72"/>
    <w:rsid w:val="004D475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3F0"/>
    <w:rsid w:val="004F4520"/>
    <w:rsid w:val="004F4558"/>
    <w:rsid w:val="004F63C0"/>
    <w:rsid w:val="0050200C"/>
    <w:rsid w:val="005025ED"/>
    <w:rsid w:val="00502607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3E5"/>
    <w:rsid w:val="00521A60"/>
    <w:rsid w:val="00521E21"/>
    <w:rsid w:val="00522BA7"/>
    <w:rsid w:val="005234AF"/>
    <w:rsid w:val="00523693"/>
    <w:rsid w:val="00524143"/>
    <w:rsid w:val="00526189"/>
    <w:rsid w:val="00526621"/>
    <w:rsid w:val="00526F17"/>
    <w:rsid w:val="00527785"/>
    <w:rsid w:val="00527BC9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C47"/>
    <w:rsid w:val="005632C4"/>
    <w:rsid w:val="00563362"/>
    <w:rsid w:val="00564C79"/>
    <w:rsid w:val="00564CDE"/>
    <w:rsid w:val="0056771E"/>
    <w:rsid w:val="0057001B"/>
    <w:rsid w:val="00570573"/>
    <w:rsid w:val="00570D25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C52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22AC"/>
    <w:rsid w:val="006D313A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6E04"/>
    <w:rsid w:val="006F794E"/>
    <w:rsid w:val="006F7DB1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FAF"/>
    <w:rsid w:val="0073263C"/>
    <w:rsid w:val="007327DC"/>
    <w:rsid w:val="00733C1E"/>
    <w:rsid w:val="00734452"/>
    <w:rsid w:val="007358BD"/>
    <w:rsid w:val="00736775"/>
    <w:rsid w:val="007370F9"/>
    <w:rsid w:val="00741000"/>
    <w:rsid w:val="0074280B"/>
    <w:rsid w:val="00742C25"/>
    <w:rsid w:val="00743BCD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4D6"/>
    <w:rsid w:val="00755B01"/>
    <w:rsid w:val="00755E67"/>
    <w:rsid w:val="007562F7"/>
    <w:rsid w:val="00756A9F"/>
    <w:rsid w:val="007602F8"/>
    <w:rsid w:val="00760ABF"/>
    <w:rsid w:val="00760FE1"/>
    <w:rsid w:val="00761B75"/>
    <w:rsid w:val="00762073"/>
    <w:rsid w:val="0076297A"/>
    <w:rsid w:val="007634A5"/>
    <w:rsid w:val="00764A0A"/>
    <w:rsid w:val="007651CD"/>
    <w:rsid w:val="0076566A"/>
    <w:rsid w:val="00765BFE"/>
    <w:rsid w:val="007663AE"/>
    <w:rsid w:val="00766C85"/>
    <w:rsid w:val="00766D35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81063"/>
    <w:rsid w:val="0078179A"/>
    <w:rsid w:val="00781C63"/>
    <w:rsid w:val="007826D6"/>
    <w:rsid w:val="00782ACB"/>
    <w:rsid w:val="00783236"/>
    <w:rsid w:val="00783537"/>
    <w:rsid w:val="00784141"/>
    <w:rsid w:val="00784443"/>
    <w:rsid w:val="007847D4"/>
    <w:rsid w:val="00784852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C0F"/>
    <w:rsid w:val="007A179D"/>
    <w:rsid w:val="007A220F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CA"/>
    <w:rsid w:val="007E38C2"/>
    <w:rsid w:val="007E3917"/>
    <w:rsid w:val="007E3E92"/>
    <w:rsid w:val="007E3F41"/>
    <w:rsid w:val="007E3FCD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998"/>
    <w:rsid w:val="00804486"/>
    <w:rsid w:val="008045B6"/>
    <w:rsid w:val="008046F9"/>
    <w:rsid w:val="008047D7"/>
    <w:rsid w:val="0080491A"/>
    <w:rsid w:val="00804DB7"/>
    <w:rsid w:val="0080506C"/>
    <w:rsid w:val="0080779D"/>
    <w:rsid w:val="00811536"/>
    <w:rsid w:val="00811690"/>
    <w:rsid w:val="00813914"/>
    <w:rsid w:val="008141A8"/>
    <w:rsid w:val="00814F2C"/>
    <w:rsid w:val="0081510E"/>
    <w:rsid w:val="00815961"/>
    <w:rsid w:val="00816CFC"/>
    <w:rsid w:val="00817677"/>
    <w:rsid w:val="00817A2A"/>
    <w:rsid w:val="00817DAE"/>
    <w:rsid w:val="00817E9F"/>
    <w:rsid w:val="00820488"/>
    <w:rsid w:val="0082075E"/>
    <w:rsid w:val="0082087F"/>
    <w:rsid w:val="00820DAF"/>
    <w:rsid w:val="008211F1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8CB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DD1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6201"/>
    <w:rsid w:val="008A653B"/>
    <w:rsid w:val="008A693F"/>
    <w:rsid w:val="008A6CD6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E7"/>
    <w:rsid w:val="008D0A34"/>
    <w:rsid w:val="008D2453"/>
    <w:rsid w:val="008D28ED"/>
    <w:rsid w:val="008D7517"/>
    <w:rsid w:val="008E03AF"/>
    <w:rsid w:val="008E0F12"/>
    <w:rsid w:val="008E127E"/>
    <w:rsid w:val="008E142E"/>
    <w:rsid w:val="008E284D"/>
    <w:rsid w:val="008E39C8"/>
    <w:rsid w:val="008E57AC"/>
    <w:rsid w:val="008E6930"/>
    <w:rsid w:val="008E788F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3115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451E"/>
    <w:rsid w:val="009656EC"/>
    <w:rsid w:val="00966E6D"/>
    <w:rsid w:val="00967C05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7429"/>
    <w:rsid w:val="009802DD"/>
    <w:rsid w:val="00980385"/>
    <w:rsid w:val="00980A67"/>
    <w:rsid w:val="00981166"/>
    <w:rsid w:val="00982BEB"/>
    <w:rsid w:val="00983F8E"/>
    <w:rsid w:val="00984453"/>
    <w:rsid w:val="00985634"/>
    <w:rsid w:val="00985AAA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E68"/>
    <w:rsid w:val="00A117B5"/>
    <w:rsid w:val="00A11A50"/>
    <w:rsid w:val="00A11AF1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65A8"/>
    <w:rsid w:val="00A67508"/>
    <w:rsid w:val="00A676CA"/>
    <w:rsid w:val="00A71654"/>
    <w:rsid w:val="00A71697"/>
    <w:rsid w:val="00A718E5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4E1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DB"/>
    <w:rsid w:val="00AA5BDE"/>
    <w:rsid w:val="00AB0646"/>
    <w:rsid w:val="00AB0AC4"/>
    <w:rsid w:val="00AB1795"/>
    <w:rsid w:val="00AB32B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7016"/>
    <w:rsid w:val="00AC71C5"/>
    <w:rsid w:val="00AD018C"/>
    <w:rsid w:val="00AD01F1"/>
    <w:rsid w:val="00AD137C"/>
    <w:rsid w:val="00AD18E8"/>
    <w:rsid w:val="00AD1DA0"/>
    <w:rsid w:val="00AD1F1B"/>
    <w:rsid w:val="00AD1F5F"/>
    <w:rsid w:val="00AD238A"/>
    <w:rsid w:val="00AD2DA0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B004B2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6123"/>
    <w:rsid w:val="00B26236"/>
    <w:rsid w:val="00B26662"/>
    <w:rsid w:val="00B26714"/>
    <w:rsid w:val="00B275C1"/>
    <w:rsid w:val="00B30057"/>
    <w:rsid w:val="00B30591"/>
    <w:rsid w:val="00B318C7"/>
    <w:rsid w:val="00B322D9"/>
    <w:rsid w:val="00B33431"/>
    <w:rsid w:val="00B33A93"/>
    <w:rsid w:val="00B357C6"/>
    <w:rsid w:val="00B35B70"/>
    <w:rsid w:val="00B36EF8"/>
    <w:rsid w:val="00B40CA6"/>
    <w:rsid w:val="00B41088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D64"/>
    <w:rsid w:val="00B535BB"/>
    <w:rsid w:val="00B54C43"/>
    <w:rsid w:val="00B54CCB"/>
    <w:rsid w:val="00B554A6"/>
    <w:rsid w:val="00B55685"/>
    <w:rsid w:val="00B55833"/>
    <w:rsid w:val="00B56035"/>
    <w:rsid w:val="00B567EA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C83"/>
    <w:rsid w:val="00BA0FAB"/>
    <w:rsid w:val="00BA0FF4"/>
    <w:rsid w:val="00BA15D0"/>
    <w:rsid w:val="00BA2CA9"/>
    <w:rsid w:val="00BA3F48"/>
    <w:rsid w:val="00BA4714"/>
    <w:rsid w:val="00BA47FE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F7A"/>
    <w:rsid w:val="00BB35CB"/>
    <w:rsid w:val="00BB3D35"/>
    <w:rsid w:val="00BB47C3"/>
    <w:rsid w:val="00BB5A50"/>
    <w:rsid w:val="00BB69E2"/>
    <w:rsid w:val="00BC0829"/>
    <w:rsid w:val="00BC13AB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4F12"/>
    <w:rsid w:val="00BE509C"/>
    <w:rsid w:val="00BE74E0"/>
    <w:rsid w:val="00BE774D"/>
    <w:rsid w:val="00BF127F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220"/>
    <w:rsid w:val="00C1658E"/>
    <w:rsid w:val="00C2080B"/>
    <w:rsid w:val="00C20ED8"/>
    <w:rsid w:val="00C232F1"/>
    <w:rsid w:val="00C23417"/>
    <w:rsid w:val="00C23A3D"/>
    <w:rsid w:val="00C23B02"/>
    <w:rsid w:val="00C23B24"/>
    <w:rsid w:val="00C2404F"/>
    <w:rsid w:val="00C243A4"/>
    <w:rsid w:val="00C24AD9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316F"/>
    <w:rsid w:val="00C43209"/>
    <w:rsid w:val="00C442ED"/>
    <w:rsid w:val="00C4519F"/>
    <w:rsid w:val="00C45766"/>
    <w:rsid w:val="00C479BB"/>
    <w:rsid w:val="00C47FDC"/>
    <w:rsid w:val="00C50361"/>
    <w:rsid w:val="00C5077B"/>
    <w:rsid w:val="00C50E5F"/>
    <w:rsid w:val="00C527A7"/>
    <w:rsid w:val="00C5305C"/>
    <w:rsid w:val="00C53119"/>
    <w:rsid w:val="00C54FE6"/>
    <w:rsid w:val="00C55629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898"/>
    <w:rsid w:val="00C70465"/>
    <w:rsid w:val="00C70D21"/>
    <w:rsid w:val="00C70F89"/>
    <w:rsid w:val="00C71044"/>
    <w:rsid w:val="00C710A2"/>
    <w:rsid w:val="00C71EE1"/>
    <w:rsid w:val="00C72252"/>
    <w:rsid w:val="00C72AA7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4136"/>
    <w:rsid w:val="00C846DF"/>
    <w:rsid w:val="00C8515C"/>
    <w:rsid w:val="00C8520B"/>
    <w:rsid w:val="00C87B02"/>
    <w:rsid w:val="00C87E1B"/>
    <w:rsid w:val="00C87F31"/>
    <w:rsid w:val="00C92BC6"/>
    <w:rsid w:val="00C93889"/>
    <w:rsid w:val="00C93C8D"/>
    <w:rsid w:val="00C94373"/>
    <w:rsid w:val="00C94387"/>
    <w:rsid w:val="00C9438E"/>
    <w:rsid w:val="00C94431"/>
    <w:rsid w:val="00C94D2C"/>
    <w:rsid w:val="00C967E0"/>
    <w:rsid w:val="00C96E76"/>
    <w:rsid w:val="00CA017A"/>
    <w:rsid w:val="00CA2376"/>
    <w:rsid w:val="00CA27AE"/>
    <w:rsid w:val="00CA27F7"/>
    <w:rsid w:val="00CA2A9D"/>
    <w:rsid w:val="00CA3229"/>
    <w:rsid w:val="00CA36ED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AEF"/>
    <w:rsid w:val="00CF4BF4"/>
    <w:rsid w:val="00CF4E82"/>
    <w:rsid w:val="00CF5120"/>
    <w:rsid w:val="00CF51AC"/>
    <w:rsid w:val="00CF55C0"/>
    <w:rsid w:val="00CF64DF"/>
    <w:rsid w:val="00CF6840"/>
    <w:rsid w:val="00CF7757"/>
    <w:rsid w:val="00CF7C03"/>
    <w:rsid w:val="00D0339D"/>
    <w:rsid w:val="00D037F3"/>
    <w:rsid w:val="00D04086"/>
    <w:rsid w:val="00D048E8"/>
    <w:rsid w:val="00D04C81"/>
    <w:rsid w:val="00D04F2F"/>
    <w:rsid w:val="00D04FC3"/>
    <w:rsid w:val="00D052EA"/>
    <w:rsid w:val="00D05A55"/>
    <w:rsid w:val="00D0664F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4B62"/>
    <w:rsid w:val="00D1588F"/>
    <w:rsid w:val="00D15C91"/>
    <w:rsid w:val="00D16592"/>
    <w:rsid w:val="00D16E49"/>
    <w:rsid w:val="00D171FE"/>
    <w:rsid w:val="00D206E4"/>
    <w:rsid w:val="00D20843"/>
    <w:rsid w:val="00D21CA2"/>
    <w:rsid w:val="00D2395A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70709"/>
    <w:rsid w:val="00D70C1F"/>
    <w:rsid w:val="00D7185F"/>
    <w:rsid w:val="00D723CD"/>
    <w:rsid w:val="00D72F0D"/>
    <w:rsid w:val="00D73171"/>
    <w:rsid w:val="00D73733"/>
    <w:rsid w:val="00D75FD8"/>
    <w:rsid w:val="00D761AA"/>
    <w:rsid w:val="00D775B7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692"/>
    <w:rsid w:val="00E317EA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63C7"/>
    <w:rsid w:val="00E364B6"/>
    <w:rsid w:val="00E36D02"/>
    <w:rsid w:val="00E3713D"/>
    <w:rsid w:val="00E37E63"/>
    <w:rsid w:val="00E4053C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324C"/>
    <w:rsid w:val="00E635CF"/>
    <w:rsid w:val="00E636EC"/>
    <w:rsid w:val="00E63768"/>
    <w:rsid w:val="00E63B8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6AE9"/>
    <w:rsid w:val="00EB7B33"/>
    <w:rsid w:val="00EB7FFA"/>
    <w:rsid w:val="00EC0436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6491"/>
    <w:rsid w:val="00EF6B22"/>
    <w:rsid w:val="00EF7428"/>
    <w:rsid w:val="00EF74A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DEA"/>
    <w:rsid w:val="00F30E40"/>
    <w:rsid w:val="00F324DE"/>
    <w:rsid w:val="00F33318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762073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character" w:styleId="af1">
    <w:name w:val="Strong"/>
    <w:basedOn w:val="a0"/>
    <w:qFormat/>
    <w:rsid w:val="00EF74A8"/>
    <w:rPr>
      <w:b/>
      <w:bCs/>
    </w:rPr>
  </w:style>
  <w:style w:type="paragraph" w:styleId="af2">
    <w:name w:val="Title"/>
    <w:basedOn w:val="a"/>
    <w:next w:val="a"/>
    <w:link w:val="af3"/>
    <w:qFormat/>
    <w:rsid w:val="00762073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762073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762073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762073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character" w:styleId="af1">
    <w:name w:val="Strong"/>
    <w:basedOn w:val="a0"/>
    <w:qFormat/>
    <w:rsid w:val="00EF74A8"/>
    <w:rPr>
      <w:b/>
      <w:bCs/>
    </w:rPr>
  </w:style>
  <w:style w:type="paragraph" w:styleId="af2">
    <w:name w:val="Title"/>
    <w:basedOn w:val="a"/>
    <w:next w:val="a"/>
    <w:link w:val="af3"/>
    <w:qFormat/>
    <w:rsid w:val="00762073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762073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762073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.boi.org.il/he/DataAndStatistics/Pages/MainPage.aspx?Level=3&amp;Sid=49&amp;SubjectType=2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yperlink" Target="https://e.boi.org.il/he/DataAndStatistics/Pages/MainPage.aspx?Level=2&amp;Sid=15&amp;SubjectType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12EA1-6DBA-4764-AFDF-B1011838ABB4}"/>
</file>

<file path=customXml/itemProps2.xml><?xml version="1.0" encoding="utf-8"?>
<ds:datastoreItem xmlns:ds="http://schemas.openxmlformats.org/officeDocument/2006/customXml" ds:itemID="{931CFD9F-4B00-4B89-8EF4-9EA8CCCC0C04}"/>
</file>

<file path=customXml/itemProps3.xml><?xml version="1.0" encoding="utf-8"?>
<ds:datastoreItem xmlns:ds="http://schemas.openxmlformats.org/officeDocument/2006/customXml" ds:itemID="{6D7B3EC7-D449-4BCB-B7AD-E4B9AA95A25D}"/>
</file>

<file path=customXml/itemProps4.xml><?xml version="1.0" encoding="utf-8"?>
<ds:datastoreItem xmlns:ds="http://schemas.openxmlformats.org/officeDocument/2006/customXml" ds:itemID="{4E558256-2905-4BA5-B50B-201517D7B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5863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2016-07-24T09:18:00Z</dcterms:created>
  <dcterms:modified xsi:type="dcterms:W3CDTF">2016-07-24T09:18:00Z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