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901"/>
        <w:bidiVisual/>
        <w:tblW w:w="9530" w:type="dxa"/>
        <w:tblLayout w:type="fixed"/>
        <w:tblLook w:val="0000" w:firstRow="0" w:lastRow="0" w:firstColumn="0" w:lastColumn="0" w:noHBand="0" w:noVBand="0"/>
      </w:tblPr>
      <w:tblGrid>
        <w:gridCol w:w="3343"/>
        <w:gridCol w:w="2596"/>
        <w:gridCol w:w="3591"/>
      </w:tblGrid>
      <w:tr w:rsidR="00267872" w:rsidTr="00031A9D">
        <w:tc>
          <w:tcPr>
            <w:tcW w:w="3343" w:type="dxa"/>
            <w:tcBorders>
              <w:top w:val="nil"/>
              <w:left w:val="nil"/>
              <w:bottom w:val="nil"/>
              <w:right w:val="nil"/>
            </w:tcBorders>
            <w:vAlign w:val="center"/>
          </w:tcPr>
          <w:p w:rsidR="00031A9D" w:rsidRPr="00334BCD" w:rsidRDefault="00A0366E" w:rsidP="005E28F6">
            <w:pPr>
              <w:bidi/>
              <w:spacing w:line="276" w:lineRule="auto"/>
              <w:jc w:val="center"/>
              <w:rPr>
                <w:rFonts w:ascii="Calibri" w:hAnsi="Calibri" w:cs="Calibri"/>
                <w:b/>
                <w:bCs/>
                <w:rtl/>
              </w:rPr>
            </w:pPr>
            <w:r w:rsidRPr="00334BCD">
              <w:rPr>
                <w:rFonts w:ascii="Calibri" w:hAnsi="Calibri" w:cs="Calibri"/>
                <w:b/>
                <w:bCs/>
                <w:rtl/>
              </w:rPr>
              <w:t>בנק ישראל</w:t>
            </w:r>
          </w:p>
          <w:p w:rsidR="00031A9D" w:rsidRPr="00334BCD" w:rsidRDefault="00A0366E" w:rsidP="005E28F6">
            <w:pPr>
              <w:bidi/>
              <w:spacing w:line="276" w:lineRule="auto"/>
              <w:jc w:val="center"/>
              <w:rPr>
                <w:rFonts w:ascii="Calibri" w:hAnsi="Calibri" w:cs="Calibri"/>
                <w:b/>
                <w:bCs/>
              </w:rPr>
            </w:pPr>
            <w:r w:rsidRPr="00334BCD">
              <w:rPr>
                <w:rFonts w:ascii="Calibri" w:hAnsi="Calibri" w:cs="Calibri"/>
                <w:rtl/>
              </w:rPr>
              <w:t>דוברות והסברה כלכלית</w:t>
            </w:r>
          </w:p>
        </w:tc>
        <w:tc>
          <w:tcPr>
            <w:tcW w:w="2596" w:type="dxa"/>
            <w:tcBorders>
              <w:top w:val="nil"/>
              <w:left w:val="nil"/>
              <w:bottom w:val="nil"/>
              <w:right w:val="nil"/>
            </w:tcBorders>
            <w:shd w:val="clear" w:color="auto" w:fill="FFFFFF"/>
          </w:tcPr>
          <w:p w:rsidR="00031A9D" w:rsidRPr="00334BCD" w:rsidRDefault="00A0366E" w:rsidP="005E28F6">
            <w:pPr>
              <w:bidi/>
              <w:jc w:val="center"/>
              <w:rPr>
                <w:rFonts w:ascii="Calibri" w:hAnsi="Calibri" w:cs="Calibri"/>
              </w:rPr>
            </w:pPr>
            <w:r w:rsidRPr="00334BCD">
              <w:rPr>
                <w:rFonts w:ascii="Calibri" w:hAnsi="Calibri" w:cs="Calibri"/>
                <w:noProof/>
              </w:rPr>
              <w:drawing>
                <wp:inline distT="0" distB="0" distL="0" distR="0">
                  <wp:extent cx="914400" cy="914400"/>
                  <wp:effectExtent l="0" t="0" r="0" b="0"/>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914400" cy="914400"/>
                          </a:xfrm>
                          <a:prstGeom prst="rect">
                            <a:avLst/>
                          </a:prstGeom>
                          <a:noFill/>
                        </pic:spPr>
                      </pic:pic>
                    </a:graphicData>
                  </a:graphic>
                </wp:inline>
              </w:drawing>
            </w:r>
          </w:p>
        </w:tc>
        <w:tc>
          <w:tcPr>
            <w:tcW w:w="3591" w:type="dxa"/>
            <w:tcBorders>
              <w:top w:val="nil"/>
              <w:left w:val="nil"/>
              <w:bottom w:val="nil"/>
              <w:right w:val="nil"/>
            </w:tcBorders>
            <w:vAlign w:val="center"/>
          </w:tcPr>
          <w:p w:rsidR="00031A9D" w:rsidRPr="00334BCD" w:rsidRDefault="00A0366E" w:rsidP="005E28F6">
            <w:pPr>
              <w:bidi/>
              <w:spacing w:line="276" w:lineRule="auto"/>
              <w:jc w:val="center"/>
              <w:rPr>
                <w:rFonts w:ascii="Calibri" w:hAnsi="Calibri" w:cs="Calibri"/>
                <w:rtl/>
              </w:rPr>
            </w:pPr>
            <w:r w:rsidRPr="00334BCD">
              <w:rPr>
                <w:rFonts w:ascii="Calibri" w:hAnsi="Calibri" w:cs="Calibri"/>
                <w:highlight w:val="green"/>
                <w:rtl/>
              </w:rPr>
              <w:t>‏</w:t>
            </w:r>
            <w:r w:rsidRPr="00334BCD">
              <w:rPr>
                <w:rFonts w:ascii="Calibri" w:hAnsi="Calibri" w:cs="Calibri"/>
                <w:rtl/>
              </w:rPr>
              <w:t xml:space="preserve">ירושלים, </w:t>
            </w:r>
            <w:r w:rsidRPr="00334BCD">
              <w:rPr>
                <w:rFonts w:ascii="Calibri" w:hAnsi="Calibri" w:cs="Calibri"/>
                <w:rtl/>
              </w:rPr>
              <w:fldChar w:fldCharType="begin"/>
            </w:r>
            <w:r w:rsidRPr="00334BCD">
              <w:rPr>
                <w:rFonts w:ascii="Calibri" w:hAnsi="Calibri" w:cs="Calibri"/>
                <w:rtl/>
              </w:rPr>
              <w:instrText xml:space="preserve"> </w:instrText>
            </w:r>
            <w:r w:rsidRPr="00334BCD">
              <w:rPr>
                <w:rFonts w:ascii="Calibri" w:hAnsi="Calibri" w:cs="Calibri"/>
              </w:rPr>
              <w:instrText>DATE</w:instrText>
            </w:r>
            <w:r w:rsidRPr="00334BCD">
              <w:rPr>
                <w:rFonts w:ascii="Calibri" w:hAnsi="Calibri" w:cs="Calibri"/>
                <w:rtl/>
              </w:rPr>
              <w:instrText xml:space="preserve"> \@ "</w:instrText>
            </w:r>
            <w:r w:rsidRPr="00334BCD">
              <w:rPr>
                <w:rFonts w:ascii="Calibri" w:hAnsi="Calibri" w:cs="Calibri"/>
              </w:rPr>
              <w:instrText>d MMMM, yyyy" \h</w:instrText>
            </w:r>
            <w:r w:rsidRPr="00334BCD">
              <w:rPr>
                <w:rFonts w:ascii="Calibri" w:hAnsi="Calibri" w:cs="Calibri"/>
                <w:rtl/>
              </w:rPr>
              <w:instrText xml:space="preserve"> </w:instrText>
            </w:r>
            <w:r w:rsidRPr="00334BCD">
              <w:rPr>
                <w:rFonts w:ascii="Calibri" w:hAnsi="Calibri" w:cs="Calibri"/>
                <w:rtl/>
              </w:rPr>
              <w:fldChar w:fldCharType="separate"/>
            </w:r>
            <w:r>
              <w:rPr>
                <w:rFonts w:ascii="Calibri" w:hAnsi="Calibri" w:cs="Calibri"/>
                <w:noProof/>
                <w:rtl/>
              </w:rPr>
              <w:t>‏כ"ג טבת, תשפ"ו</w:t>
            </w:r>
            <w:r w:rsidRPr="00334BCD">
              <w:rPr>
                <w:rFonts w:ascii="Calibri" w:hAnsi="Calibri" w:cs="Calibri"/>
                <w:rtl/>
              </w:rPr>
              <w:fldChar w:fldCharType="end"/>
            </w:r>
          </w:p>
          <w:p w:rsidR="00031A9D" w:rsidRPr="00334BCD" w:rsidRDefault="00A0366E" w:rsidP="005E28F6">
            <w:pPr>
              <w:bidi/>
              <w:spacing w:line="276" w:lineRule="auto"/>
              <w:jc w:val="center"/>
              <w:rPr>
                <w:rFonts w:ascii="Calibri" w:hAnsi="Calibri" w:cs="Calibri"/>
                <w:highlight w:val="green"/>
              </w:rPr>
            </w:pPr>
            <w:r w:rsidRPr="00334BCD">
              <w:rPr>
                <w:rFonts w:ascii="Calibri" w:hAnsi="Calibri" w:cs="Calibri"/>
                <w:rtl/>
              </w:rPr>
              <w:fldChar w:fldCharType="begin"/>
            </w:r>
            <w:r w:rsidRPr="00334BCD">
              <w:rPr>
                <w:rFonts w:ascii="Calibri" w:hAnsi="Calibri" w:cs="Calibri"/>
                <w:rtl/>
              </w:rPr>
              <w:instrText xml:space="preserve"> </w:instrText>
            </w:r>
            <w:r w:rsidRPr="00334BCD">
              <w:rPr>
                <w:rFonts w:ascii="Calibri" w:hAnsi="Calibri" w:cs="Calibri"/>
              </w:rPr>
              <w:instrText>DATE</w:instrText>
            </w:r>
            <w:r w:rsidRPr="00334BCD">
              <w:rPr>
                <w:rFonts w:ascii="Calibri" w:hAnsi="Calibri" w:cs="Calibri"/>
                <w:rtl/>
              </w:rPr>
              <w:instrText xml:space="preserve"> \@ "</w:instrText>
            </w:r>
            <w:r w:rsidRPr="00334BCD">
              <w:rPr>
                <w:rFonts w:ascii="Calibri" w:hAnsi="Calibri" w:cs="Calibri"/>
              </w:rPr>
              <w:instrText>d MMMM, yyyy</w:instrText>
            </w:r>
            <w:r w:rsidRPr="00334BCD">
              <w:rPr>
                <w:rFonts w:ascii="Calibri" w:hAnsi="Calibri" w:cs="Calibri"/>
                <w:rtl/>
              </w:rPr>
              <w:instrText xml:space="preserve">" </w:instrText>
            </w:r>
            <w:r w:rsidRPr="00334BCD">
              <w:rPr>
                <w:rFonts w:ascii="Calibri" w:hAnsi="Calibri" w:cs="Calibri"/>
                <w:rtl/>
              </w:rPr>
              <w:fldChar w:fldCharType="separate"/>
            </w:r>
            <w:r>
              <w:rPr>
                <w:rFonts w:ascii="Calibri" w:hAnsi="Calibri" w:cs="Calibri"/>
                <w:noProof/>
                <w:rtl/>
              </w:rPr>
              <w:t>‏12 ינואר, 2026</w:t>
            </w:r>
            <w:r w:rsidRPr="00334BCD">
              <w:rPr>
                <w:rFonts w:ascii="Calibri" w:hAnsi="Calibri" w:cs="Calibri"/>
                <w:rtl/>
              </w:rPr>
              <w:fldChar w:fldCharType="end"/>
            </w:r>
          </w:p>
        </w:tc>
      </w:tr>
    </w:tbl>
    <w:p w:rsidR="005E28F6" w:rsidRPr="00334BCD" w:rsidRDefault="00A0366E" w:rsidP="00182EBA">
      <w:pPr>
        <w:bidi/>
        <w:spacing w:after="0" w:line="360" w:lineRule="auto"/>
        <w:rPr>
          <w:rFonts w:ascii="Calibri" w:hAnsi="Calibri" w:cs="Calibri"/>
          <w:rtl/>
        </w:rPr>
      </w:pPr>
      <w:r w:rsidRPr="00334BCD">
        <w:rPr>
          <w:rFonts w:ascii="Calibri" w:hAnsi="Calibri" w:cs="Calibri"/>
          <w:rtl/>
          <w:lang w:bidi="ar-SA"/>
        </w:rPr>
        <w:t>بيان</w:t>
      </w:r>
      <w:r w:rsidR="001E2A91" w:rsidRPr="00334BCD">
        <w:rPr>
          <w:rFonts w:ascii="Calibri" w:hAnsi="Calibri" w:cs="Calibri"/>
          <w:rtl/>
          <w:lang w:bidi="ar-SA"/>
        </w:rPr>
        <w:t xml:space="preserve"> </w:t>
      </w:r>
      <w:r w:rsidRPr="00334BCD">
        <w:rPr>
          <w:rFonts w:ascii="Calibri" w:hAnsi="Calibri" w:cs="Calibri"/>
          <w:rtl/>
          <w:lang w:bidi="ar-SA"/>
        </w:rPr>
        <w:t>صحفي</w:t>
      </w:r>
      <w:r w:rsidRPr="00334BCD">
        <w:rPr>
          <w:rFonts w:ascii="Calibri" w:hAnsi="Calibri" w:cs="Calibri"/>
        </w:rPr>
        <w:t>:</w:t>
      </w:r>
    </w:p>
    <w:p w:rsidR="00164B76" w:rsidRPr="00334BCD" w:rsidRDefault="00A0366E" w:rsidP="00182EBA">
      <w:pPr>
        <w:bidi/>
        <w:spacing w:after="0" w:line="360" w:lineRule="auto"/>
        <w:jc w:val="center"/>
        <w:rPr>
          <w:rFonts w:ascii="Calibri" w:hAnsi="Calibri" w:cs="Calibri"/>
          <w:b/>
          <w:bCs/>
          <w:sz w:val="32"/>
          <w:szCs w:val="32"/>
        </w:rPr>
      </w:pPr>
      <w:r w:rsidRPr="00334BCD">
        <w:rPr>
          <w:rFonts w:ascii="Calibri" w:hAnsi="Calibri" w:cs="Calibri"/>
          <w:b/>
          <w:bCs/>
          <w:sz w:val="32"/>
          <w:szCs w:val="32"/>
          <w:rtl/>
          <w:lang w:bidi="ar-SA"/>
        </w:rPr>
        <w:t>كلمة محافظ بنك إسرائيل في المؤتمر الصحفي بشأن السياسة النقدية</w:t>
      </w:r>
    </w:p>
    <w:p w:rsidR="00164B76" w:rsidRPr="00334BCD" w:rsidRDefault="00A0366E" w:rsidP="00164B76">
      <w:pPr>
        <w:bidi/>
        <w:spacing w:before="240" w:after="0" w:line="360" w:lineRule="auto"/>
        <w:rPr>
          <w:rFonts w:ascii="Calibri" w:hAnsi="Calibri" w:cs="Calibri"/>
        </w:rPr>
      </w:pPr>
      <w:bookmarkStart w:id="0" w:name="_GoBack"/>
      <w:r w:rsidRPr="00334BCD">
        <w:rPr>
          <w:rFonts w:ascii="Calibri" w:hAnsi="Calibri" w:cs="Calibri"/>
          <w:rtl/>
          <w:lang w:bidi="ar-SA"/>
        </w:rPr>
        <w:t>مرحباً بالجميع،</w:t>
      </w:r>
    </w:p>
    <w:p w:rsidR="00164B76" w:rsidRPr="00334BCD" w:rsidRDefault="00A0366E" w:rsidP="00500BC2">
      <w:pPr>
        <w:bidi/>
        <w:spacing w:before="240" w:after="0" w:line="360" w:lineRule="auto"/>
        <w:rPr>
          <w:rFonts w:ascii="Calibri" w:hAnsi="Calibri" w:cs="Calibri"/>
          <w:rtl/>
          <w:lang w:bidi="ar-SA"/>
        </w:rPr>
      </w:pPr>
      <w:r w:rsidRPr="00334BCD">
        <w:rPr>
          <w:rFonts w:ascii="Calibri" w:hAnsi="Calibri" w:cs="Calibri"/>
          <w:rtl/>
          <w:lang w:bidi="ar-SA"/>
        </w:rPr>
        <w:t xml:space="preserve">اتسم العام الماضي بعدم استقرار أمني واقتصادي على غرار العام الذي سبقه. وقد أظهر الاقتصاد الإسرائيلي </w:t>
      </w:r>
      <w:r w:rsidR="001E2A91" w:rsidRPr="00334BCD">
        <w:rPr>
          <w:rFonts w:ascii="Calibri" w:hAnsi="Calibri" w:cs="Calibri"/>
          <w:rtl/>
          <w:lang w:bidi="ar-SA"/>
        </w:rPr>
        <w:t>حصانة</w:t>
      </w:r>
      <w:r w:rsidRPr="00334BCD">
        <w:rPr>
          <w:rFonts w:ascii="Calibri" w:hAnsi="Calibri" w:cs="Calibri"/>
          <w:rtl/>
          <w:lang w:bidi="ar-SA"/>
        </w:rPr>
        <w:t xml:space="preserve"> وقوةً ملحوظتين في مواجهة الواقع الأمني ​​المعقد الذي أثر عليه بشكل كبير. مع بداية عام</w:t>
      </w:r>
      <w:r w:rsidR="001E2A91" w:rsidRPr="00334BCD">
        <w:rPr>
          <w:rFonts w:ascii="Calibri" w:hAnsi="Calibri" w:cs="Calibri"/>
          <w:rtl/>
          <w:lang w:bidi="ar-SA"/>
        </w:rPr>
        <w:t xml:space="preserve"> 2026</w:t>
      </w:r>
      <w:r w:rsidRPr="00334BCD">
        <w:rPr>
          <w:rFonts w:ascii="Calibri" w:hAnsi="Calibri" w:cs="Calibri"/>
          <w:rtl/>
          <w:lang w:bidi="ar-SA"/>
        </w:rPr>
        <w:t xml:space="preserve"> ورغم انحسار حالة عدم الاستقرار الجيوسياسي، فإننا نواجه تحدي</w:t>
      </w:r>
      <w:r w:rsidRPr="00334BCD">
        <w:rPr>
          <w:rFonts w:ascii="Calibri" w:hAnsi="Calibri" w:cs="Calibri"/>
          <w:rtl/>
          <w:lang w:bidi="ar-SA"/>
        </w:rPr>
        <w:t xml:space="preserve">ات اقتصادية </w:t>
      </w:r>
      <w:r w:rsidR="001E2A91" w:rsidRPr="00334BCD">
        <w:rPr>
          <w:rFonts w:ascii="Calibri" w:hAnsi="Calibri" w:cs="Calibri"/>
          <w:rtl/>
          <w:lang w:bidi="ar-SA"/>
        </w:rPr>
        <w:t>تؤكد</w:t>
      </w:r>
      <w:r w:rsidRPr="00334BCD">
        <w:rPr>
          <w:rFonts w:ascii="Calibri" w:hAnsi="Calibri" w:cs="Calibri"/>
          <w:rtl/>
          <w:lang w:bidi="ar-SA"/>
        </w:rPr>
        <w:t xml:space="preserve"> الحاجة إلى سياسات اقتصادية مسؤولة تدعم النمو الاقتصادي في السنوات القادمة وتضمن استمرار الاستقرار المالي.</w:t>
      </w:r>
    </w:p>
    <w:p w:rsidR="00164B76" w:rsidRPr="00334BCD" w:rsidRDefault="00A0366E" w:rsidP="00500BC2">
      <w:pPr>
        <w:bidi/>
        <w:spacing w:before="240" w:after="0" w:line="360" w:lineRule="auto"/>
        <w:rPr>
          <w:rFonts w:ascii="Calibri" w:hAnsi="Calibri" w:cs="Calibri"/>
          <w:rtl/>
          <w:lang w:bidi="ar-SA"/>
        </w:rPr>
      </w:pPr>
      <w:r w:rsidRPr="00334BCD">
        <w:rPr>
          <w:rFonts w:ascii="Calibri" w:hAnsi="Calibri" w:cs="Calibri"/>
          <w:rtl/>
          <w:lang w:bidi="ar-SA"/>
        </w:rPr>
        <w:t>عقدت اللجنة النقدية أمس واليوم اجتماعات في بنك إسرائيل لاتخاذ قرار</w:t>
      </w:r>
      <w:r w:rsidR="001E2A91" w:rsidRPr="00334BCD">
        <w:rPr>
          <w:rFonts w:ascii="Calibri" w:hAnsi="Calibri" w:cs="Calibri"/>
          <w:rtl/>
          <w:lang w:bidi="ar-SA"/>
        </w:rPr>
        <w:t>ها</w:t>
      </w:r>
      <w:r w:rsidRPr="00334BCD">
        <w:rPr>
          <w:rFonts w:ascii="Calibri" w:hAnsi="Calibri" w:cs="Calibri"/>
          <w:rtl/>
          <w:lang w:bidi="ar-SA"/>
        </w:rPr>
        <w:t xml:space="preserve"> بشأن السياسة النقدية. ركزت مناقشات اللجنة على تحليل العمليات الا</w:t>
      </w:r>
      <w:r w:rsidRPr="00334BCD">
        <w:rPr>
          <w:rFonts w:ascii="Calibri" w:hAnsi="Calibri" w:cs="Calibri"/>
          <w:rtl/>
          <w:lang w:bidi="ar-SA"/>
        </w:rPr>
        <w:t>قتصادية المحلية والعالمية، التي شهد بعضها تطورات هامة في الأسابيع الأخيرة. في ختام المناقشات قررت اللجنة النقدية خفض سعر الفائدة بنسبة 0.25% ليصل إلى 4%.</w:t>
      </w:r>
    </w:p>
    <w:p w:rsidR="00164B76" w:rsidRPr="00334BCD" w:rsidRDefault="00A0366E" w:rsidP="00164B76">
      <w:pPr>
        <w:bidi/>
        <w:spacing w:before="240" w:after="0" w:line="360" w:lineRule="auto"/>
        <w:rPr>
          <w:rFonts w:ascii="Calibri" w:hAnsi="Calibri" w:cs="Calibri"/>
          <w:rtl/>
          <w:lang w:bidi="ar-SA"/>
        </w:rPr>
      </w:pPr>
      <w:r w:rsidRPr="00334BCD">
        <w:rPr>
          <w:rFonts w:ascii="Calibri" w:hAnsi="Calibri" w:cs="Calibri"/>
          <w:rtl/>
          <w:lang w:bidi="ar-SA"/>
        </w:rPr>
        <w:t>سأتناول أولاً الاعتبارات الرئيسية التي استندنا إليها في اتخاذ هذا القرار.</w:t>
      </w:r>
    </w:p>
    <w:p w:rsidR="00164B76" w:rsidRPr="00334BCD" w:rsidRDefault="00A0366E" w:rsidP="00500BC2">
      <w:pPr>
        <w:bidi/>
        <w:spacing w:before="240" w:after="0" w:line="360" w:lineRule="auto"/>
        <w:rPr>
          <w:rFonts w:ascii="Calibri" w:hAnsi="Calibri" w:cs="Calibri"/>
          <w:rtl/>
          <w:lang w:bidi="ar-SA"/>
        </w:rPr>
      </w:pPr>
      <w:r w:rsidRPr="00334BCD">
        <w:rPr>
          <w:rFonts w:ascii="Calibri" w:hAnsi="Calibri" w:cs="Calibri"/>
          <w:rtl/>
          <w:lang w:bidi="ar-SA"/>
        </w:rPr>
        <w:t xml:space="preserve">منذ </w:t>
      </w:r>
      <w:r w:rsidR="006959AC" w:rsidRPr="00334BCD">
        <w:rPr>
          <w:rFonts w:ascii="Calibri" w:hAnsi="Calibri" w:cs="Calibri"/>
          <w:rtl/>
          <w:lang w:bidi="ar-SA"/>
        </w:rPr>
        <w:t>ال</w:t>
      </w:r>
      <w:r w:rsidRPr="00334BCD">
        <w:rPr>
          <w:rFonts w:ascii="Calibri" w:hAnsi="Calibri" w:cs="Calibri"/>
          <w:rtl/>
          <w:lang w:bidi="ar-SA"/>
        </w:rPr>
        <w:t xml:space="preserve">قرار </w:t>
      </w:r>
      <w:r w:rsidR="006959AC" w:rsidRPr="00334BCD">
        <w:rPr>
          <w:rFonts w:ascii="Calibri" w:hAnsi="Calibri" w:cs="Calibri"/>
          <w:rtl/>
          <w:lang w:bidi="ar-SA"/>
        </w:rPr>
        <w:t xml:space="preserve">الأخير </w:t>
      </w:r>
      <w:r w:rsidRPr="00334BCD">
        <w:rPr>
          <w:rFonts w:ascii="Calibri" w:hAnsi="Calibri" w:cs="Calibri"/>
          <w:rtl/>
          <w:lang w:bidi="ar-SA"/>
        </w:rPr>
        <w:t>بشأن سعر ا</w:t>
      </w:r>
      <w:r w:rsidRPr="00334BCD">
        <w:rPr>
          <w:rFonts w:ascii="Calibri" w:hAnsi="Calibri" w:cs="Calibri"/>
          <w:rtl/>
          <w:lang w:bidi="ar-SA"/>
        </w:rPr>
        <w:t xml:space="preserve">لفائدة، شهدت بيئة التضخم </w:t>
      </w:r>
      <w:r w:rsidR="006959AC" w:rsidRPr="00334BCD">
        <w:rPr>
          <w:rFonts w:ascii="Calibri" w:hAnsi="Calibri" w:cs="Calibri"/>
          <w:rtl/>
          <w:lang w:bidi="ar-SA"/>
        </w:rPr>
        <w:t xml:space="preserve">المالي </w:t>
      </w:r>
      <w:r w:rsidRPr="00334BCD">
        <w:rPr>
          <w:rFonts w:ascii="Calibri" w:hAnsi="Calibri" w:cs="Calibri"/>
          <w:rtl/>
          <w:lang w:bidi="ar-SA"/>
        </w:rPr>
        <w:t>اعتدالاً. يتوقع المحللون أن ينخفض ​​التضخم</w:t>
      </w:r>
      <w:r w:rsidR="006959AC" w:rsidRPr="00334BCD">
        <w:rPr>
          <w:rFonts w:ascii="Calibri" w:hAnsi="Calibri" w:cs="Calibri"/>
          <w:rtl/>
          <w:lang w:bidi="ar-SA"/>
        </w:rPr>
        <w:t xml:space="preserve"> المالي</w:t>
      </w:r>
      <w:r w:rsidRPr="00334BCD">
        <w:rPr>
          <w:rFonts w:ascii="Calibri" w:hAnsi="Calibri" w:cs="Calibri"/>
          <w:rtl/>
          <w:lang w:bidi="ar-SA"/>
        </w:rPr>
        <w:t xml:space="preserve"> إلى النطاق المستهدف بحلول الربع الأول من عام 2026، ويعود ذلك جزئياً إلى ارتفاع قيمة الشيكل. تشير البيانات النهائية في سوق العمل إلى تخفيف قيود العرض، ويتجلى ذلك في ارتفاع معد</w:t>
      </w:r>
      <w:r w:rsidRPr="00334BCD">
        <w:rPr>
          <w:rFonts w:ascii="Calibri" w:hAnsi="Calibri" w:cs="Calibri"/>
          <w:rtl/>
          <w:lang w:bidi="ar-SA"/>
        </w:rPr>
        <w:t xml:space="preserve">لات المشاركة والتوظيف وانخفاض معدل التغيب عن العمل بسبب الخدمة الاحتياطية، وتراجع معدل زيادات الأجور في قطاع الأعمال. لا تزال علاوة المخاطر في إسرائيل عند مستوى قريب من </w:t>
      </w:r>
      <w:r w:rsidR="006959AC" w:rsidRPr="00334BCD">
        <w:rPr>
          <w:rFonts w:ascii="Calibri" w:hAnsi="Calibri" w:cs="Calibri"/>
          <w:rtl/>
          <w:lang w:bidi="ar-SA"/>
        </w:rPr>
        <w:t>مستواها</w:t>
      </w:r>
      <w:r w:rsidRPr="00334BCD">
        <w:rPr>
          <w:rFonts w:ascii="Calibri" w:hAnsi="Calibri" w:cs="Calibri"/>
          <w:rtl/>
          <w:lang w:bidi="ar-SA"/>
        </w:rPr>
        <w:t xml:space="preserve"> عشية الحرب.</w:t>
      </w:r>
    </w:p>
    <w:p w:rsidR="00164B76" w:rsidRPr="00334BCD" w:rsidRDefault="00A0366E" w:rsidP="00500BC2">
      <w:pPr>
        <w:bidi/>
        <w:spacing w:line="360" w:lineRule="auto"/>
        <w:rPr>
          <w:rFonts w:ascii="Calibri" w:hAnsi="Calibri" w:cs="Calibri"/>
          <w:rtl/>
          <w:lang w:bidi="ar-SA"/>
        </w:rPr>
      </w:pPr>
      <w:bookmarkStart w:id="1" w:name="_Hlk186747285"/>
      <w:r w:rsidRPr="00334BCD">
        <w:rPr>
          <w:rFonts w:ascii="Calibri" w:hAnsi="Calibri" w:cs="Calibri"/>
          <w:rtl/>
          <w:lang w:bidi="ar-SA"/>
        </w:rPr>
        <w:t>سأتناول الآن بالتفصيل أهم التطورات الاقتصادية في إسرائيل والعالم، م</w:t>
      </w:r>
      <w:r w:rsidRPr="00334BCD">
        <w:rPr>
          <w:rFonts w:ascii="Calibri" w:hAnsi="Calibri" w:cs="Calibri"/>
          <w:rtl/>
          <w:lang w:bidi="ar-SA"/>
        </w:rPr>
        <w:t xml:space="preserve">ع الإشارة إلى التوقعات المُحدَّثة </w:t>
      </w:r>
      <w:r w:rsidR="006959AC" w:rsidRPr="00334BCD">
        <w:rPr>
          <w:rFonts w:ascii="Calibri" w:hAnsi="Calibri" w:cs="Calibri"/>
          <w:rtl/>
          <w:lang w:bidi="ar-SA"/>
        </w:rPr>
        <w:t>من شعبة</w:t>
      </w:r>
      <w:r w:rsidRPr="00334BCD">
        <w:rPr>
          <w:rFonts w:ascii="Calibri" w:hAnsi="Calibri" w:cs="Calibri"/>
          <w:rtl/>
          <w:lang w:bidi="ar-SA"/>
        </w:rPr>
        <w:t xml:space="preserve"> الأبحاث. </w:t>
      </w:r>
      <w:r w:rsidR="006959AC" w:rsidRPr="00334BCD">
        <w:rPr>
          <w:rFonts w:ascii="Calibri" w:hAnsi="Calibri" w:cs="Calibri"/>
          <w:rtl/>
          <w:lang w:bidi="ar-SA"/>
        </w:rPr>
        <w:t xml:space="preserve">في الأشهر الأخيرة </w:t>
      </w:r>
      <w:r w:rsidRPr="00334BCD">
        <w:rPr>
          <w:rFonts w:ascii="Calibri" w:hAnsi="Calibri" w:cs="Calibri"/>
          <w:rtl/>
          <w:lang w:bidi="ar-SA"/>
        </w:rPr>
        <w:t xml:space="preserve">شهدت بيئة التضخم </w:t>
      </w:r>
      <w:r w:rsidR="006959AC" w:rsidRPr="00334BCD">
        <w:rPr>
          <w:rFonts w:ascii="Calibri" w:hAnsi="Calibri" w:cs="Calibri"/>
          <w:rtl/>
          <w:lang w:bidi="ar-SA"/>
        </w:rPr>
        <w:t xml:space="preserve">المالي </w:t>
      </w:r>
      <w:r w:rsidRPr="00334BCD">
        <w:rPr>
          <w:rFonts w:ascii="Calibri" w:hAnsi="Calibri" w:cs="Calibri"/>
          <w:rtl/>
          <w:lang w:bidi="ar-SA"/>
        </w:rPr>
        <w:t>انخفاض</w:t>
      </w:r>
      <w:r w:rsidR="00D17DF0" w:rsidRPr="00334BCD">
        <w:rPr>
          <w:rFonts w:ascii="Calibri" w:hAnsi="Calibri" w:cs="Calibri"/>
          <w:rtl/>
          <w:lang w:bidi="ar-SA"/>
        </w:rPr>
        <w:t>اً</w:t>
      </w:r>
      <w:r w:rsidRPr="00334BCD">
        <w:rPr>
          <w:rFonts w:ascii="Calibri" w:hAnsi="Calibri" w:cs="Calibri"/>
          <w:rtl/>
          <w:lang w:bidi="ar-SA"/>
        </w:rPr>
        <w:t>، حيث بلغ التضخم السنوي</w:t>
      </w:r>
      <w:r w:rsidR="006959AC" w:rsidRPr="00334BCD">
        <w:rPr>
          <w:rFonts w:ascii="Calibri" w:hAnsi="Calibri" w:cs="Calibri"/>
          <w:rtl/>
          <w:lang w:bidi="ar-SA"/>
        </w:rPr>
        <w:t xml:space="preserve"> في تشرين الثاني</w:t>
      </w:r>
      <w:r w:rsidRPr="00334BCD">
        <w:rPr>
          <w:rFonts w:ascii="Calibri" w:hAnsi="Calibri" w:cs="Calibri"/>
          <w:rtl/>
          <w:lang w:bidi="ar-SA"/>
        </w:rPr>
        <w:t xml:space="preserve"> 2.4%. </w:t>
      </w:r>
      <w:r w:rsidR="006959AC" w:rsidRPr="00334BCD">
        <w:rPr>
          <w:rFonts w:ascii="Calibri" w:hAnsi="Calibri" w:cs="Calibri"/>
          <w:rtl/>
          <w:lang w:bidi="ar-SA"/>
        </w:rPr>
        <w:t>يظهر</w:t>
      </w:r>
      <w:r w:rsidRPr="00334BCD">
        <w:rPr>
          <w:rFonts w:ascii="Calibri" w:hAnsi="Calibri" w:cs="Calibri"/>
          <w:rtl/>
          <w:lang w:bidi="ar-SA"/>
        </w:rPr>
        <w:t xml:space="preserve"> هذا التراجع في كلٍّ من مكونات التضخم القابلة للتداول وغير القابلة للتداول بما في ذلك قطاع الإسكان، </w:t>
      </w:r>
      <w:r w:rsidR="006959AC" w:rsidRPr="00334BCD">
        <w:rPr>
          <w:rFonts w:ascii="Calibri" w:hAnsi="Calibri" w:cs="Calibri"/>
          <w:rtl/>
          <w:lang w:bidi="ar-SA"/>
        </w:rPr>
        <w:t>و</w:t>
      </w:r>
      <w:r w:rsidRPr="00334BCD">
        <w:rPr>
          <w:rFonts w:ascii="Calibri" w:hAnsi="Calibri" w:cs="Calibri"/>
          <w:rtl/>
          <w:lang w:bidi="ar-SA"/>
        </w:rPr>
        <w:t>ينعكس أيض</w:t>
      </w:r>
      <w:r w:rsidR="00D17DF0" w:rsidRPr="00334BCD">
        <w:rPr>
          <w:rFonts w:ascii="Calibri" w:hAnsi="Calibri" w:cs="Calibri"/>
          <w:rtl/>
          <w:lang w:bidi="ar-SA"/>
        </w:rPr>
        <w:t>اً</w:t>
      </w:r>
      <w:r w:rsidRPr="00334BCD">
        <w:rPr>
          <w:rFonts w:ascii="Calibri" w:hAnsi="Calibri" w:cs="Calibri"/>
          <w:rtl/>
          <w:lang w:bidi="ar-SA"/>
        </w:rPr>
        <w:t xml:space="preserve"> في البيانات النهائية للأشهر الثلاثة والستة الماضية. </w:t>
      </w:r>
      <w:r w:rsidR="006959AC" w:rsidRPr="00334BCD">
        <w:rPr>
          <w:rFonts w:ascii="Calibri" w:hAnsi="Calibri" w:cs="Calibri"/>
          <w:rtl/>
          <w:lang w:bidi="ar-SA"/>
        </w:rPr>
        <w:t>في رؤية مستقبلية</w:t>
      </w:r>
      <w:r w:rsidRPr="00334BCD">
        <w:rPr>
          <w:rFonts w:ascii="Calibri" w:hAnsi="Calibri" w:cs="Calibri"/>
          <w:rtl/>
          <w:lang w:bidi="ar-SA"/>
        </w:rPr>
        <w:t xml:space="preserve">، من المتوقع أن يرفع مؤشر </w:t>
      </w:r>
      <w:r w:rsidR="006959AC" w:rsidRPr="00334BCD">
        <w:rPr>
          <w:rFonts w:ascii="Calibri" w:hAnsi="Calibri" w:cs="Calibri"/>
          <w:rtl/>
          <w:lang w:bidi="ar-SA"/>
        </w:rPr>
        <w:t>كانون الأول</w:t>
      </w:r>
      <w:r w:rsidRPr="00334BCD">
        <w:rPr>
          <w:rFonts w:ascii="Calibri" w:hAnsi="Calibri" w:cs="Calibri"/>
          <w:rtl/>
          <w:lang w:bidi="ar-SA"/>
        </w:rPr>
        <w:t xml:space="preserve"> </w:t>
      </w:r>
      <w:r w:rsidR="006959AC" w:rsidRPr="00334BCD">
        <w:rPr>
          <w:rFonts w:ascii="Calibri" w:hAnsi="Calibri" w:cs="Calibri"/>
          <w:rtl/>
          <w:lang w:bidi="ar-SA"/>
        </w:rPr>
        <w:t xml:space="preserve">من </w:t>
      </w:r>
      <w:r w:rsidRPr="00334BCD">
        <w:rPr>
          <w:rFonts w:ascii="Calibri" w:hAnsi="Calibri" w:cs="Calibri"/>
          <w:rtl/>
          <w:lang w:bidi="ar-SA"/>
        </w:rPr>
        <w:t>التضخم</w:t>
      </w:r>
      <w:r w:rsidR="006959AC" w:rsidRPr="00334BCD">
        <w:rPr>
          <w:rFonts w:ascii="Calibri" w:hAnsi="Calibri" w:cs="Calibri"/>
          <w:rtl/>
          <w:lang w:bidi="ar-SA"/>
        </w:rPr>
        <w:t xml:space="preserve"> المالي</w:t>
      </w:r>
      <w:r w:rsidRPr="00334BCD">
        <w:rPr>
          <w:rFonts w:ascii="Calibri" w:hAnsi="Calibri" w:cs="Calibri"/>
          <w:rtl/>
          <w:lang w:bidi="ar-SA"/>
        </w:rPr>
        <w:t xml:space="preserve">، وربما يقترب من الحد الأعلى للهدف، وبعد ذلك </w:t>
      </w:r>
      <w:r w:rsidR="006959AC" w:rsidRPr="00334BCD">
        <w:rPr>
          <w:rFonts w:ascii="Calibri" w:hAnsi="Calibri" w:cs="Calibri"/>
          <w:rtl/>
          <w:lang w:bidi="ar-SA"/>
        </w:rPr>
        <w:t>ن</w:t>
      </w:r>
      <w:r w:rsidRPr="00334BCD">
        <w:rPr>
          <w:rFonts w:ascii="Calibri" w:hAnsi="Calibri" w:cs="Calibri"/>
          <w:rtl/>
          <w:lang w:bidi="ar-SA"/>
        </w:rPr>
        <w:t xml:space="preserve">توقع انخفاضه إلى ما يقارب </w:t>
      </w:r>
      <w:r w:rsidR="006959AC" w:rsidRPr="00334BCD">
        <w:rPr>
          <w:rFonts w:ascii="Calibri" w:hAnsi="Calibri" w:cs="Calibri"/>
          <w:rtl/>
          <w:lang w:bidi="ar-SA"/>
        </w:rPr>
        <w:t>منتصف</w:t>
      </w:r>
      <w:r w:rsidRPr="00334BCD">
        <w:rPr>
          <w:rFonts w:ascii="Calibri" w:hAnsi="Calibri" w:cs="Calibri"/>
          <w:rtl/>
          <w:lang w:bidi="ar-SA"/>
        </w:rPr>
        <w:t xml:space="preserve"> الهدف. تُشير توقعات التضخم</w:t>
      </w:r>
      <w:r w:rsidR="006959AC" w:rsidRPr="00334BCD">
        <w:rPr>
          <w:rFonts w:ascii="Calibri" w:hAnsi="Calibri" w:cs="Calibri"/>
          <w:rtl/>
          <w:lang w:bidi="ar-SA"/>
        </w:rPr>
        <w:t xml:space="preserve"> المالي</w:t>
      </w:r>
      <w:r w:rsidRPr="00334BCD">
        <w:rPr>
          <w:rFonts w:ascii="Calibri" w:hAnsi="Calibri" w:cs="Calibri"/>
          <w:rtl/>
          <w:lang w:bidi="ar-SA"/>
        </w:rPr>
        <w:t xml:space="preserve"> </w:t>
      </w:r>
      <w:r w:rsidR="006959AC" w:rsidRPr="00334BCD">
        <w:rPr>
          <w:rFonts w:ascii="Calibri" w:hAnsi="Calibri" w:cs="Calibri"/>
          <w:rtl/>
          <w:lang w:bidi="ar-SA"/>
        </w:rPr>
        <w:t>من المصادر المختلفة</w:t>
      </w:r>
      <w:r w:rsidR="00500BC2" w:rsidRPr="00334BCD">
        <w:rPr>
          <w:rFonts w:ascii="Calibri" w:hAnsi="Calibri" w:cs="Calibri"/>
          <w:rtl/>
          <w:lang w:bidi="ar-SA"/>
        </w:rPr>
        <w:t xml:space="preserve"> للعام المقبل</w:t>
      </w:r>
      <w:r w:rsidRPr="00334BCD">
        <w:rPr>
          <w:rFonts w:ascii="Calibri" w:hAnsi="Calibri" w:cs="Calibri"/>
          <w:rtl/>
          <w:lang w:bidi="ar-SA"/>
        </w:rPr>
        <w:t>، إلى أنه</w:t>
      </w:r>
      <w:r w:rsidR="006959AC" w:rsidRPr="00334BCD">
        <w:rPr>
          <w:rFonts w:ascii="Calibri" w:hAnsi="Calibri" w:cs="Calibri"/>
          <w:rtl/>
          <w:lang w:bidi="ar-SA"/>
        </w:rPr>
        <w:t xml:space="preserve"> سيكون</w:t>
      </w:r>
      <w:r w:rsidRPr="00334BCD">
        <w:rPr>
          <w:rFonts w:ascii="Calibri" w:hAnsi="Calibri" w:cs="Calibri"/>
          <w:rtl/>
          <w:lang w:bidi="ar-SA"/>
        </w:rPr>
        <w:t xml:space="preserve"> أقل بقليل من منتصف الهدف. أما توقعات العام الثاني وما بعده، فتظل قريبة من منتصف الهدف.</w:t>
      </w:r>
    </w:p>
    <w:p w:rsidR="00164B76" w:rsidRPr="00334BCD" w:rsidRDefault="00A0366E" w:rsidP="00500BC2">
      <w:pPr>
        <w:bidi/>
        <w:spacing w:before="240" w:line="360" w:lineRule="auto"/>
        <w:rPr>
          <w:rFonts w:ascii="Calibri" w:hAnsi="Calibri" w:cs="Calibri"/>
          <w:rtl/>
          <w:lang w:bidi="ar-SA"/>
        </w:rPr>
      </w:pPr>
      <w:r w:rsidRPr="00334BCD">
        <w:rPr>
          <w:rFonts w:ascii="Calibri" w:hAnsi="Calibri" w:cs="Calibri"/>
          <w:rtl/>
          <w:lang w:bidi="ar-SA"/>
        </w:rPr>
        <w:t xml:space="preserve">تشير المؤشرات </w:t>
      </w:r>
      <w:r w:rsidR="000A7AB1" w:rsidRPr="00334BCD">
        <w:rPr>
          <w:rFonts w:ascii="Calibri" w:hAnsi="Calibri" w:cs="Calibri"/>
          <w:rtl/>
          <w:lang w:bidi="ar-SA"/>
        </w:rPr>
        <w:t>الدورية</w:t>
      </w:r>
      <w:r w:rsidRPr="00334BCD">
        <w:rPr>
          <w:rFonts w:ascii="Calibri" w:hAnsi="Calibri" w:cs="Calibri"/>
          <w:rtl/>
          <w:lang w:bidi="ar-SA"/>
        </w:rPr>
        <w:t xml:space="preserve"> إلى استمرار التوسع في النشاط الاقتصادي. تُظهر بيانات الإنفاق </w:t>
      </w:r>
      <w:r w:rsidR="000A7AB1" w:rsidRPr="00334BCD">
        <w:rPr>
          <w:rFonts w:ascii="Calibri" w:hAnsi="Calibri" w:cs="Calibri"/>
          <w:rtl/>
          <w:lang w:bidi="ar-SA"/>
        </w:rPr>
        <w:t>ب</w:t>
      </w:r>
      <w:r w:rsidRPr="00334BCD">
        <w:rPr>
          <w:rFonts w:ascii="Calibri" w:hAnsi="Calibri" w:cs="Calibri"/>
          <w:rtl/>
          <w:lang w:bidi="ar-SA"/>
        </w:rPr>
        <w:t>بطاقات الائتمان استمرار النمو في الربع الأخير م</w:t>
      </w:r>
      <w:r w:rsidRPr="00334BCD">
        <w:rPr>
          <w:rFonts w:ascii="Calibri" w:hAnsi="Calibri" w:cs="Calibri"/>
          <w:rtl/>
          <w:lang w:bidi="ar-SA"/>
        </w:rPr>
        <w:t xml:space="preserve">ن العام مع تحركها حول خط الاتجاه العام. تم تعديل بيانات المحاسبة </w:t>
      </w:r>
      <w:r w:rsidR="00500BC2" w:rsidRPr="00334BCD">
        <w:rPr>
          <w:rFonts w:ascii="Calibri" w:hAnsi="Calibri" w:cs="Calibri"/>
          <w:rtl/>
          <w:lang w:bidi="ar-SA"/>
        </w:rPr>
        <w:t>الوطنية</w:t>
      </w:r>
      <w:r w:rsidRPr="00334BCD">
        <w:rPr>
          <w:rFonts w:ascii="Calibri" w:hAnsi="Calibri" w:cs="Calibri"/>
          <w:rtl/>
          <w:lang w:bidi="ar-SA"/>
        </w:rPr>
        <w:t xml:space="preserve"> للربع الثالث من العام </w:t>
      </w:r>
      <w:r w:rsidR="000A7AB1" w:rsidRPr="00334BCD">
        <w:rPr>
          <w:rFonts w:ascii="Calibri" w:hAnsi="Calibri" w:cs="Calibri"/>
          <w:rtl/>
          <w:lang w:bidi="ar-SA"/>
        </w:rPr>
        <w:t>بخفض</w:t>
      </w:r>
      <w:r w:rsidRPr="00334BCD">
        <w:rPr>
          <w:rFonts w:ascii="Calibri" w:hAnsi="Calibri" w:cs="Calibri"/>
          <w:rtl/>
          <w:lang w:bidi="ar-SA"/>
        </w:rPr>
        <w:t xml:space="preserve"> طفيف. أما الرصيد الإجمالي في مسح اتجاهات الأعمال الصادر عن </w:t>
      </w:r>
      <w:r w:rsidR="000A7AB1" w:rsidRPr="00334BCD">
        <w:rPr>
          <w:rFonts w:ascii="Calibri" w:hAnsi="Calibri" w:cs="Calibri"/>
          <w:rtl/>
          <w:lang w:bidi="ar-SA"/>
        </w:rPr>
        <w:t>دائرة الإحصاء المركزية</w:t>
      </w:r>
      <w:r w:rsidRPr="00334BCD">
        <w:rPr>
          <w:rFonts w:ascii="Calibri" w:hAnsi="Calibri" w:cs="Calibri"/>
          <w:rtl/>
          <w:lang w:bidi="ar-SA"/>
        </w:rPr>
        <w:t xml:space="preserve"> لشهر </w:t>
      </w:r>
      <w:r w:rsidR="000A7AB1" w:rsidRPr="00334BCD">
        <w:rPr>
          <w:rFonts w:ascii="Calibri" w:hAnsi="Calibri" w:cs="Calibri"/>
          <w:rtl/>
          <w:lang w:bidi="ar-SA"/>
        </w:rPr>
        <w:t>تشرين الثاني</w:t>
      </w:r>
      <w:r w:rsidRPr="00334BCD">
        <w:rPr>
          <w:rFonts w:ascii="Calibri" w:hAnsi="Calibri" w:cs="Calibri"/>
          <w:rtl/>
          <w:lang w:bidi="ar-SA"/>
        </w:rPr>
        <w:t xml:space="preserve"> فهو مستقر</w:t>
      </w:r>
      <w:r w:rsidR="000A7AB1" w:rsidRPr="00334BCD">
        <w:rPr>
          <w:rFonts w:ascii="Calibri" w:hAnsi="Calibri" w:cs="Calibri"/>
          <w:rtl/>
          <w:lang w:bidi="ar-SA"/>
        </w:rPr>
        <w:t xml:space="preserve"> بعد التعديل الموسمي،</w:t>
      </w:r>
      <w:r w:rsidRPr="00334BCD">
        <w:rPr>
          <w:rFonts w:ascii="Calibri" w:hAnsi="Calibri" w:cs="Calibri"/>
          <w:rtl/>
          <w:lang w:bidi="ar-SA"/>
        </w:rPr>
        <w:t xml:space="preserve"> ولكنه لا يزال دون مستواه </w:t>
      </w:r>
      <w:r w:rsidRPr="00334BCD">
        <w:rPr>
          <w:rFonts w:ascii="Calibri" w:hAnsi="Calibri" w:cs="Calibri"/>
          <w:rtl/>
          <w:lang w:bidi="ar-SA"/>
        </w:rPr>
        <w:t>قبل الحرب. يستمر جمع ر</w:t>
      </w:r>
      <w:r w:rsidR="000A7AB1" w:rsidRPr="00334BCD">
        <w:rPr>
          <w:rFonts w:ascii="Calibri" w:hAnsi="Calibri" w:cs="Calibri"/>
          <w:rtl/>
          <w:lang w:bidi="ar-SA"/>
        </w:rPr>
        <w:t>أ</w:t>
      </w:r>
      <w:r w:rsidRPr="00334BCD">
        <w:rPr>
          <w:rFonts w:ascii="Calibri" w:hAnsi="Calibri" w:cs="Calibri"/>
          <w:rtl/>
          <w:lang w:bidi="ar-SA"/>
        </w:rPr>
        <w:t xml:space="preserve">س </w:t>
      </w:r>
      <w:r w:rsidR="000A7AB1" w:rsidRPr="00334BCD">
        <w:rPr>
          <w:rFonts w:ascii="Calibri" w:hAnsi="Calibri" w:cs="Calibri"/>
          <w:rtl/>
          <w:lang w:bidi="ar-SA"/>
        </w:rPr>
        <w:t>المال</w:t>
      </w:r>
      <w:r w:rsidRPr="00334BCD">
        <w:rPr>
          <w:rFonts w:ascii="Calibri" w:hAnsi="Calibri" w:cs="Calibri"/>
          <w:rtl/>
          <w:lang w:bidi="ar-SA"/>
        </w:rPr>
        <w:t xml:space="preserve"> لقطاع التكنولوجيا </w:t>
      </w:r>
      <w:r w:rsidR="000A7AB1" w:rsidRPr="00334BCD">
        <w:rPr>
          <w:rFonts w:ascii="Calibri" w:hAnsi="Calibri" w:cs="Calibri"/>
          <w:rtl/>
          <w:lang w:bidi="ar-SA"/>
        </w:rPr>
        <w:t>الفائقة</w:t>
      </w:r>
      <w:r w:rsidRPr="00334BCD">
        <w:rPr>
          <w:rFonts w:ascii="Calibri" w:hAnsi="Calibri" w:cs="Calibri"/>
          <w:rtl/>
          <w:lang w:bidi="ar-SA"/>
        </w:rPr>
        <w:t xml:space="preserve"> في الربع الرابع من العام في </w:t>
      </w:r>
      <w:r w:rsidRPr="00334BCD">
        <w:rPr>
          <w:rFonts w:ascii="Calibri" w:hAnsi="Calibri" w:cs="Calibri"/>
          <w:rtl/>
          <w:lang w:bidi="ar-SA"/>
        </w:rPr>
        <w:lastRenderedPageBreak/>
        <w:t>الحفاظ على مستوى مرتفع. في الربعين الثاني والثالث من عام 2025، شهد فائض ميزان السلع والخدمات انخفاض</w:t>
      </w:r>
      <w:r w:rsidR="00D17DF0" w:rsidRPr="00334BCD">
        <w:rPr>
          <w:rFonts w:ascii="Calibri" w:hAnsi="Calibri" w:cs="Calibri"/>
          <w:rtl/>
          <w:lang w:bidi="ar-SA"/>
        </w:rPr>
        <w:t>اً</w:t>
      </w:r>
      <w:r w:rsidRPr="00334BCD">
        <w:rPr>
          <w:rFonts w:ascii="Calibri" w:hAnsi="Calibri" w:cs="Calibri"/>
          <w:rtl/>
          <w:lang w:bidi="ar-SA"/>
        </w:rPr>
        <w:t xml:space="preserve"> حاد</w:t>
      </w:r>
      <w:r w:rsidR="00D17DF0" w:rsidRPr="00334BCD">
        <w:rPr>
          <w:rFonts w:ascii="Calibri" w:hAnsi="Calibri" w:cs="Calibri"/>
          <w:rtl/>
          <w:lang w:bidi="ar-SA"/>
        </w:rPr>
        <w:t>اً</w:t>
      </w:r>
      <w:r w:rsidRPr="00334BCD">
        <w:rPr>
          <w:rFonts w:ascii="Calibri" w:hAnsi="Calibri" w:cs="Calibri"/>
          <w:rtl/>
          <w:lang w:bidi="ar-SA"/>
        </w:rPr>
        <w:t xml:space="preserve"> نتيجة النمو السريع في الواردات. وارتفعت صادرات الخدمات في </w:t>
      </w:r>
      <w:r w:rsidR="000A7AB1" w:rsidRPr="00334BCD">
        <w:rPr>
          <w:rFonts w:ascii="Calibri" w:hAnsi="Calibri" w:cs="Calibri"/>
          <w:rtl/>
          <w:lang w:bidi="ar-SA"/>
        </w:rPr>
        <w:t>تشرين أول</w:t>
      </w:r>
      <w:r w:rsidRPr="00334BCD">
        <w:rPr>
          <w:rFonts w:ascii="Calibri" w:hAnsi="Calibri" w:cs="Calibri"/>
          <w:rtl/>
          <w:lang w:bidi="ar-SA"/>
        </w:rPr>
        <w:t xml:space="preserve"> بنسبة 4.9% بعد زيادة </w:t>
      </w:r>
      <w:r w:rsidR="000A7AB1" w:rsidRPr="00334BCD">
        <w:rPr>
          <w:rFonts w:ascii="Calibri" w:hAnsi="Calibri" w:cs="Calibri"/>
          <w:rtl/>
          <w:lang w:bidi="ar-SA"/>
        </w:rPr>
        <w:t>بلغت</w:t>
      </w:r>
      <w:r w:rsidRPr="00334BCD">
        <w:rPr>
          <w:rFonts w:ascii="Calibri" w:hAnsi="Calibri" w:cs="Calibri"/>
          <w:rtl/>
          <w:lang w:bidi="ar-SA"/>
        </w:rPr>
        <w:t xml:space="preserve"> 8% في </w:t>
      </w:r>
      <w:r w:rsidR="000A7AB1" w:rsidRPr="00334BCD">
        <w:rPr>
          <w:rFonts w:ascii="Calibri" w:hAnsi="Calibri" w:cs="Calibri"/>
          <w:rtl/>
          <w:lang w:bidi="ar-SA"/>
        </w:rPr>
        <w:t>أيلول</w:t>
      </w:r>
      <w:r w:rsidRPr="00334BCD">
        <w:rPr>
          <w:rFonts w:ascii="Calibri" w:hAnsi="Calibri" w:cs="Calibri"/>
          <w:rtl/>
          <w:lang w:bidi="ar-SA"/>
        </w:rPr>
        <w:t xml:space="preserve">، </w:t>
      </w:r>
      <w:r w:rsidR="000A7AB1" w:rsidRPr="00334BCD">
        <w:rPr>
          <w:rFonts w:ascii="Calibri" w:hAnsi="Calibri" w:cs="Calibri"/>
          <w:rtl/>
          <w:lang w:bidi="ar-SA"/>
        </w:rPr>
        <w:t>و</w:t>
      </w:r>
      <w:r w:rsidRPr="00334BCD">
        <w:rPr>
          <w:rFonts w:ascii="Calibri" w:hAnsi="Calibri" w:cs="Calibri"/>
          <w:rtl/>
          <w:lang w:bidi="ar-SA"/>
        </w:rPr>
        <w:t xml:space="preserve">استمرت صادرات وواردات السلع </w:t>
      </w:r>
      <w:r w:rsidR="000A7AB1" w:rsidRPr="00334BCD">
        <w:rPr>
          <w:rFonts w:ascii="Calibri" w:hAnsi="Calibri" w:cs="Calibri"/>
          <w:rtl/>
          <w:lang w:bidi="ar-SA"/>
        </w:rPr>
        <w:t>في تشرين الثاني ب</w:t>
      </w:r>
      <w:r w:rsidRPr="00334BCD">
        <w:rPr>
          <w:rFonts w:ascii="Calibri" w:hAnsi="Calibri" w:cs="Calibri"/>
          <w:rtl/>
          <w:lang w:bidi="ar-SA"/>
        </w:rPr>
        <w:t>الارتفاع.</w:t>
      </w:r>
    </w:p>
    <w:p w:rsidR="00164B76" w:rsidRPr="00334BCD" w:rsidRDefault="00A0366E" w:rsidP="00500BC2">
      <w:pPr>
        <w:bidi/>
        <w:spacing w:line="360" w:lineRule="auto"/>
        <w:rPr>
          <w:rFonts w:ascii="Calibri" w:hAnsi="Calibri" w:cs="Calibri"/>
          <w:rtl/>
          <w:lang w:bidi="ar-SA"/>
        </w:rPr>
      </w:pPr>
      <w:r w:rsidRPr="00334BCD">
        <w:rPr>
          <w:rFonts w:ascii="Calibri" w:hAnsi="Calibri" w:cs="Calibri"/>
          <w:rtl/>
          <w:lang w:bidi="ar-SA"/>
        </w:rPr>
        <w:t xml:space="preserve">لا يزال سوق العمل </w:t>
      </w:r>
      <w:r w:rsidR="000A7AB1" w:rsidRPr="00334BCD">
        <w:rPr>
          <w:rFonts w:ascii="Calibri" w:hAnsi="Calibri" w:cs="Calibri"/>
          <w:rtl/>
          <w:lang w:bidi="ar-SA"/>
        </w:rPr>
        <w:t>ضيقاً</w:t>
      </w:r>
      <w:r w:rsidRPr="00334BCD">
        <w:rPr>
          <w:rFonts w:ascii="Calibri" w:hAnsi="Calibri" w:cs="Calibri"/>
          <w:rtl/>
          <w:lang w:bidi="ar-SA"/>
        </w:rPr>
        <w:t xml:space="preserve">، لكن البيانات النهائية تشير إلى </w:t>
      </w:r>
      <w:r w:rsidR="000A7AB1" w:rsidRPr="00334BCD">
        <w:rPr>
          <w:rFonts w:ascii="Calibri" w:hAnsi="Calibri" w:cs="Calibri"/>
          <w:rtl/>
          <w:lang w:bidi="ar-SA"/>
        </w:rPr>
        <w:t>تراجع</w:t>
      </w:r>
      <w:r w:rsidRPr="00334BCD">
        <w:rPr>
          <w:rFonts w:ascii="Calibri" w:hAnsi="Calibri" w:cs="Calibri"/>
          <w:rtl/>
          <w:lang w:bidi="ar-SA"/>
        </w:rPr>
        <w:t xml:space="preserve"> قيود العرض. يتجلى ذلك في ارتفاع معدلات المشاركة والتوظيف، وانخفاض معدل التغيب عن العمل بسبب الخدمة الاحتياطية، وتراجع معدل نمو الأجور في قطاع الأعمال. ارتفع معدل التوظيف ومعدل المشاركة في الفئة العمرية الرئيسية العاملة (25-64 عام</w:t>
      </w:r>
      <w:r w:rsidR="00D17DF0" w:rsidRPr="00334BCD">
        <w:rPr>
          <w:rFonts w:ascii="Calibri" w:hAnsi="Calibri" w:cs="Calibri"/>
          <w:rtl/>
          <w:lang w:bidi="ar-SA"/>
        </w:rPr>
        <w:t>اً</w:t>
      </w:r>
      <w:r w:rsidRPr="00334BCD">
        <w:rPr>
          <w:rFonts w:ascii="Calibri" w:hAnsi="Calibri" w:cs="Calibri"/>
          <w:rtl/>
          <w:lang w:bidi="ar-SA"/>
        </w:rPr>
        <w:t xml:space="preserve">) بشكل ملحوظ في </w:t>
      </w:r>
      <w:r w:rsidR="000A7AB1" w:rsidRPr="00334BCD">
        <w:rPr>
          <w:rFonts w:ascii="Calibri" w:hAnsi="Calibri" w:cs="Calibri"/>
          <w:rtl/>
          <w:lang w:bidi="ar-SA"/>
        </w:rPr>
        <w:t>تشرين ثاني</w:t>
      </w:r>
      <w:r w:rsidRPr="00334BCD">
        <w:rPr>
          <w:rFonts w:ascii="Calibri" w:hAnsi="Calibri" w:cs="Calibri"/>
          <w:rtl/>
          <w:lang w:bidi="ar-SA"/>
        </w:rPr>
        <w:t xml:space="preserve"> بنحو نصف نقطة مئوية. بينما ظل معدل البطالة العام في الفئة العمرية الرئيسية العاملة (25-64 عام</w:t>
      </w:r>
      <w:r w:rsidR="00D17DF0" w:rsidRPr="00334BCD">
        <w:rPr>
          <w:rFonts w:ascii="Calibri" w:hAnsi="Calibri" w:cs="Calibri"/>
          <w:rtl/>
          <w:lang w:bidi="ar-SA"/>
        </w:rPr>
        <w:t>اً</w:t>
      </w:r>
      <w:r w:rsidRPr="00334BCD">
        <w:rPr>
          <w:rFonts w:ascii="Calibri" w:hAnsi="Calibri" w:cs="Calibri"/>
          <w:rtl/>
          <w:lang w:bidi="ar-SA"/>
        </w:rPr>
        <w:t>) مستقر</w:t>
      </w:r>
      <w:r w:rsidR="00D17DF0" w:rsidRPr="00334BCD">
        <w:rPr>
          <w:rFonts w:ascii="Calibri" w:hAnsi="Calibri" w:cs="Calibri"/>
          <w:rtl/>
          <w:lang w:bidi="ar-SA"/>
        </w:rPr>
        <w:t>اً</w:t>
      </w:r>
      <w:r w:rsidRPr="00334BCD">
        <w:rPr>
          <w:rFonts w:ascii="Calibri" w:hAnsi="Calibri" w:cs="Calibri"/>
          <w:rtl/>
          <w:lang w:bidi="ar-SA"/>
        </w:rPr>
        <w:t>. انخفض معدل التغيب المؤقت عن العمل بسبب الخدمة الاحتياطية انخفاض</w:t>
      </w:r>
      <w:r w:rsidR="00D17DF0" w:rsidRPr="00334BCD">
        <w:rPr>
          <w:rFonts w:ascii="Calibri" w:hAnsi="Calibri" w:cs="Calibri"/>
          <w:rtl/>
          <w:lang w:bidi="ar-SA"/>
        </w:rPr>
        <w:t>اً</w:t>
      </w:r>
      <w:r w:rsidRPr="00334BCD">
        <w:rPr>
          <w:rFonts w:ascii="Calibri" w:hAnsi="Calibri" w:cs="Calibri"/>
          <w:rtl/>
          <w:lang w:bidi="ar-SA"/>
        </w:rPr>
        <w:t xml:space="preserve"> طفيف</w:t>
      </w:r>
      <w:r w:rsidR="00D17DF0" w:rsidRPr="00334BCD">
        <w:rPr>
          <w:rFonts w:ascii="Calibri" w:hAnsi="Calibri" w:cs="Calibri"/>
          <w:rtl/>
          <w:lang w:bidi="ar-SA"/>
        </w:rPr>
        <w:t>اً</w:t>
      </w:r>
      <w:r w:rsidRPr="00334BCD">
        <w:rPr>
          <w:rFonts w:ascii="Calibri" w:hAnsi="Calibri" w:cs="Calibri"/>
          <w:rtl/>
          <w:lang w:bidi="ar-SA"/>
        </w:rPr>
        <w:t xml:space="preserve"> في </w:t>
      </w:r>
      <w:r w:rsidR="000A7AB1" w:rsidRPr="00334BCD">
        <w:rPr>
          <w:rFonts w:ascii="Calibri" w:hAnsi="Calibri" w:cs="Calibri"/>
          <w:rtl/>
          <w:lang w:bidi="ar-SA"/>
        </w:rPr>
        <w:t>تشرين ثاني</w:t>
      </w:r>
      <w:r w:rsidRPr="00334BCD">
        <w:rPr>
          <w:rFonts w:ascii="Calibri" w:hAnsi="Calibri" w:cs="Calibri"/>
          <w:rtl/>
          <w:lang w:bidi="ar-SA"/>
        </w:rPr>
        <w:t xml:space="preserve"> ليبلغ 0.5%. تُظهر البيانات النهائية انخفاض</w:t>
      </w:r>
      <w:r w:rsidR="00D17DF0" w:rsidRPr="00334BCD">
        <w:rPr>
          <w:rFonts w:ascii="Calibri" w:hAnsi="Calibri" w:cs="Calibri"/>
          <w:rtl/>
          <w:lang w:bidi="ar-SA"/>
        </w:rPr>
        <w:t>اً</w:t>
      </w:r>
      <w:r w:rsidRPr="00334BCD">
        <w:rPr>
          <w:rFonts w:ascii="Calibri" w:hAnsi="Calibri" w:cs="Calibri"/>
          <w:rtl/>
          <w:lang w:bidi="ar-SA"/>
        </w:rPr>
        <w:t xml:space="preserve"> في معدل نمو الأ</w:t>
      </w:r>
      <w:r w:rsidRPr="00334BCD">
        <w:rPr>
          <w:rFonts w:ascii="Calibri" w:hAnsi="Calibri" w:cs="Calibri"/>
          <w:rtl/>
          <w:lang w:bidi="ar-SA"/>
        </w:rPr>
        <w:t xml:space="preserve">جور في قطاع الأعمال. في الفترة </w:t>
      </w:r>
      <w:r w:rsidR="000A7AB1" w:rsidRPr="00334BCD">
        <w:rPr>
          <w:rFonts w:ascii="Calibri" w:hAnsi="Calibri" w:cs="Calibri"/>
          <w:rtl/>
          <w:lang w:bidi="ar-SA"/>
        </w:rPr>
        <w:t>بين</w:t>
      </w:r>
      <w:r w:rsidRPr="00334BCD">
        <w:rPr>
          <w:rFonts w:ascii="Calibri" w:hAnsi="Calibri" w:cs="Calibri"/>
          <w:rtl/>
          <w:lang w:bidi="ar-SA"/>
        </w:rPr>
        <w:t xml:space="preserve"> </w:t>
      </w:r>
      <w:r w:rsidR="000A7AB1" w:rsidRPr="00334BCD">
        <w:rPr>
          <w:rFonts w:ascii="Calibri" w:hAnsi="Calibri" w:cs="Calibri"/>
          <w:rtl/>
          <w:lang w:bidi="ar-SA"/>
        </w:rPr>
        <w:t>آب</w:t>
      </w:r>
      <w:r w:rsidRPr="00334BCD">
        <w:rPr>
          <w:rFonts w:ascii="Calibri" w:hAnsi="Calibri" w:cs="Calibri"/>
          <w:rtl/>
          <w:lang w:bidi="ar-SA"/>
        </w:rPr>
        <w:t xml:space="preserve"> </w:t>
      </w:r>
      <w:r w:rsidR="000A7AB1" w:rsidRPr="00334BCD">
        <w:rPr>
          <w:rFonts w:ascii="Calibri" w:hAnsi="Calibri" w:cs="Calibri"/>
          <w:rtl/>
          <w:lang w:bidi="ar-SA"/>
        </w:rPr>
        <w:t>وتشرين أول</w:t>
      </w:r>
      <w:r w:rsidRPr="00334BCD">
        <w:rPr>
          <w:rFonts w:ascii="Calibri" w:hAnsi="Calibri" w:cs="Calibri"/>
          <w:rtl/>
          <w:lang w:bidi="ar-SA"/>
        </w:rPr>
        <w:t xml:space="preserve">، ارتفعت الأجور في قطاع الأعمال بنسبة 5.3% مقارنة بالفترة نفسها من العام الماضي، مقابل 5.9% في الفترة </w:t>
      </w:r>
      <w:r w:rsidR="000A7AB1" w:rsidRPr="00334BCD">
        <w:rPr>
          <w:rFonts w:ascii="Calibri" w:hAnsi="Calibri" w:cs="Calibri"/>
          <w:rtl/>
          <w:lang w:bidi="ar-SA"/>
        </w:rPr>
        <w:t>بين تموز وأيلول</w:t>
      </w:r>
      <w:r w:rsidRPr="00334BCD">
        <w:rPr>
          <w:rFonts w:ascii="Calibri" w:hAnsi="Calibri" w:cs="Calibri"/>
          <w:rtl/>
          <w:lang w:bidi="ar-SA"/>
        </w:rPr>
        <w:t xml:space="preserve">. في </w:t>
      </w:r>
      <w:r w:rsidR="00500BC2" w:rsidRPr="00334BCD">
        <w:rPr>
          <w:rFonts w:ascii="Calibri" w:hAnsi="Calibri" w:cs="Calibri"/>
          <w:rtl/>
          <w:lang w:bidi="ar-SA"/>
        </w:rPr>
        <w:t>المقابل</w:t>
      </w:r>
      <w:r w:rsidRPr="00334BCD">
        <w:rPr>
          <w:rFonts w:ascii="Calibri" w:hAnsi="Calibri" w:cs="Calibri"/>
          <w:rtl/>
          <w:lang w:bidi="ar-SA"/>
        </w:rPr>
        <w:t xml:space="preserve"> ظلت نسبة الوظائف الشاغرة إلى عدد العاطلين عن العمل مستقرة عند مستوى مرتفع، مع </w:t>
      </w:r>
      <w:r w:rsidRPr="00334BCD">
        <w:rPr>
          <w:rFonts w:ascii="Calibri" w:hAnsi="Calibri" w:cs="Calibri"/>
          <w:rtl/>
          <w:lang w:bidi="ar-SA"/>
        </w:rPr>
        <w:t>ارتفاع طفيف في معدل الوظائف الشاغرة.</w:t>
      </w:r>
    </w:p>
    <w:bookmarkEnd w:id="1"/>
    <w:p w:rsidR="00164B76" w:rsidRPr="00334BCD" w:rsidRDefault="00A0366E" w:rsidP="00500BC2">
      <w:pPr>
        <w:bidi/>
        <w:spacing w:line="360" w:lineRule="auto"/>
        <w:rPr>
          <w:rFonts w:ascii="Calibri" w:hAnsi="Calibri" w:cs="Calibri"/>
          <w:rtl/>
          <w:lang w:bidi="ar-SA"/>
        </w:rPr>
      </w:pPr>
      <w:r w:rsidRPr="00334BCD">
        <w:rPr>
          <w:rFonts w:ascii="Calibri" w:hAnsi="Calibri" w:cs="Calibri"/>
          <w:rtl/>
          <w:lang w:bidi="ar-SA"/>
        </w:rPr>
        <w:t xml:space="preserve">في الأشهر الأخيرة، استمر الاتجاه التنازلي لأسعار الشقق بالتزامن مع انخفاض مستوى المعاملات مقارنةً بالسنوات الأخيرة وارتفاع مخزون الشقق غير المباعة لدى المقاولين. شهد بند خدمات الإسكان المملوكة للمستأجرين، </w:t>
      </w:r>
      <w:r w:rsidR="000A7AB1" w:rsidRPr="00334BCD">
        <w:rPr>
          <w:rFonts w:ascii="Calibri" w:hAnsi="Calibri" w:cs="Calibri"/>
          <w:rtl/>
          <w:lang w:bidi="ar-SA"/>
        </w:rPr>
        <w:t>و</w:t>
      </w:r>
      <w:r w:rsidRPr="00334BCD">
        <w:rPr>
          <w:rFonts w:ascii="Calibri" w:hAnsi="Calibri" w:cs="Calibri"/>
          <w:rtl/>
          <w:lang w:bidi="ar-SA"/>
        </w:rPr>
        <w:t>الذي كان مستق</w:t>
      </w:r>
      <w:r w:rsidRPr="00334BCD">
        <w:rPr>
          <w:rFonts w:ascii="Calibri" w:hAnsi="Calibri" w:cs="Calibri"/>
          <w:rtl/>
          <w:lang w:bidi="ar-SA"/>
        </w:rPr>
        <w:t>ر</w:t>
      </w:r>
      <w:r w:rsidR="00D17DF0" w:rsidRPr="00334BCD">
        <w:rPr>
          <w:rFonts w:ascii="Calibri" w:hAnsi="Calibri" w:cs="Calibri"/>
          <w:rtl/>
          <w:lang w:bidi="ar-SA"/>
        </w:rPr>
        <w:t>اً</w:t>
      </w:r>
      <w:r w:rsidRPr="00334BCD">
        <w:rPr>
          <w:rFonts w:ascii="Calibri" w:hAnsi="Calibri" w:cs="Calibri"/>
          <w:rtl/>
          <w:lang w:bidi="ar-SA"/>
        </w:rPr>
        <w:t xml:space="preserve"> </w:t>
      </w:r>
      <w:r w:rsidR="000A7AB1" w:rsidRPr="00334BCD">
        <w:rPr>
          <w:rFonts w:ascii="Calibri" w:hAnsi="Calibri" w:cs="Calibri"/>
          <w:rtl/>
          <w:lang w:bidi="ar-SA"/>
        </w:rPr>
        <w:t>لفترة طويلة</w:t>
      </w:r>
      <w:r w:rsidRPr="00334BCD">
        <w:rPr>
          <w:rFonts w:ascii="Calibri" w:hAnsi="Calibri" w:cs="Calibri"/>
          <w:rtl/>
          <w:lang w:bidi="ar-SA"/>
        </w:rPr>
        <w:t>، تباطؤ</w:t>
      </w:r>
      <w:r w:rsidR="00D17DF0" w:rsidRPr="00334BCD">
        <w:rPr>
          <w:rFonts w:ascii="Calibri" w:hAnsi="Calibri" w:cs="Calibri"/>
          <w:rtl/>
          <w:lang w:bidi="ar-SA"/>
        </w:rPr>
        <w:t>اً</w:t>
      </w:r>
      <w:r w:rsidRPr="00334BCD">
        <w:rPr>
          <w:rFonts w:ascii="Calibri" w:hAnsi="Calibri" w:cs="Calibri"/>
          <w:rtl/>
          <w:lang w:bidi="ar-SA"/>
        </w:rPr>
        <w:t xml:space="preserve"> في مؤشر </w:t>
      </w:r>
      <w:r w:rsidR="000A7AB1" w:rsidRPr="00334BCD">
        <w:rPr>
          <w:rFonts w:ascii="Calibri" w:hAnsi="Calibri" w:cs="Calibri"/>
          <w:rtl/>
          <w:lang w:bidi="ar-SA"/>
        </w:rPr>
        <w:t>تشرين ثاني</w:t>
      </w:r>
      <w:r w:rsidRPr="00334BCD">
        <w:rPr>
          <w:rFonts w:ascii="Calibri" w:hAnsi="Calibri" w:cs="Calibri"/>
          <w:rtl/>
          <w:lang w:bidi="ar-SA"/>
        </w:rPr>
        <w:t>، حيث بلغ المعدل السنوي 2.6%. انخفض معدل الزيادة في العقود التي شهدت تغيير</w:t>
      </w:r>
      <w:r w:rsidR="00D17DF0" w:rsidRPr="00334BCD">
        <w:rPr>
          <w:rFonts w:ascii="Calibri" w:hAnsi="Calibri" w:cs="Calibri"/>
          <w:rtl/>
          <w:lang w:bidi="ar-SA"/>
        </w:rPr>
        <w:t>اً</w:t>
      </w:r>
      <w:r w:rsidRPr="00334BCD">
        <w:rPr>
          <w:rFonts w:ascii="Calibri" w:hAnsi="Calibri" w:cs="Calibri"/>
          <w:rtl/>
          <w:lang w:bidi="ar-SA"/>
        </w:rPr>
        <w:t xml:space="preserve"> في المستأجرين من 5.5% في مؤشر </w:t>
      </w:r>
      <w:r w:rsidR="000A7AB1" w:rsidRPr="00334BCD">
        <w:rPr>
          <w:rFonts w:ascii="Calibri" w:hAnsi="Calibri" w:cs="Calibri"/>
          <w:rtl/>
          <w:lang w:bidi="ar-SA"/>
        </w:rPr>
        <w:t>تشرين أول</w:t>
      </w:r>
      <w:r w:rsidRPr="00334BCD">
        <w:rPr>
          <w:rFonts w:ascii="Calibri" w:hAnsi="Calibri" w:cs="Calibri"/>
          <w:rtl/>
          <w:lang w:bidi="ar-SA"/>
        </w:rPr>
        <w:t xml:space="preserve"> إلى 4.7% في مؤشر </w:t>
      </w:r>
      <w:r w:rsidR="000A7AB1" w:rsidRPr="00334BCD">
        <w:rPr>
          <w:rFonts w:ascii="Calibri" w:hAnsi="Calibri" w:cs="Calibri"/>
          <w:rtl/>
          <w:lang w:bidi="ar-SA"/>
        </w:rPr>
        <w:t>تشرين ثاني</w:t>
      </w:r>
      <w:r w:rsidRPr="00334BCD">
        <w:rPr>
          <w:rFonts w:ascii="Calibri" w:hAnsi="Calibri" w:cs="Calibri"/>
          <w:rtl/>
          <w:lang w:bidi="ar-SA"/>
        </w:rPr>
        <w:t>. في الوقت نفسه، يشهد قطاع البناء نشاط</w:t>
      </w:r>
      <w:r w:rsidR="00D17DF0" w:rsidRPr="00334BCD">
        <w:rPr>
          <w:rFonts w:ascii="Calibri" w:hAnsi="Calibri" w:cs="Calibri"/>
          <w:rtl/>
          <w:lang w:bidi="ar-SA"/>
        </w:rPr>
        <w:t>اً</w:t>
      </w:r>
      <w:r w:rsidRPr="00334BCD">
        <w:rPr>
          <w:rFonts w:ascii="Calibri" w:hAnsi="Calibri" w:cs="Calibri"/>
          <w:rtl/>
          <w:lang w:bidi="ar-SA"/>
        </w:rPr>
        <w:t xml:space="preserve"> ملحوظ</w:t>
      </w:r>
      <w:r w:rsidR="00D17DF0" w:rsidRPr="00334BCD">
        <w:rPr>
          <w:rFonts w:ascii="Calibri" w:hAnsi="Calibri" w:cs="Calibri"/>
          <w:rtl/>
          <w:lang w:bidi="ar-SA"/>
        </w:rPr>
        <w:t>اً</w:t>
      </w:r>
      <w:r w:rsidRPr="00334BCD">
        <w:rPr>
          <w:rFonts w:ascii="Calibri" w:hAnsi="Calibri" w:cs="Calibri"/>
          <w:rtl/>
          <w:lang w:bidi="ar-SA"/>
        </w:rPr>
        <w:t xml:space="preserve">. في الأرباع الأربعة </w:t>
      </w:r>
      <w:r w:rsidRPr="00334BCD">
        <w:rPr>
          <w:rFonts w:ascii="Calibri" w:hAnsi="Calibri" w:cs="Calibri"/>
          <w:rtl/>
          <w:lang w:bidi="ar-SA"/>
        </w:rPr>
        <w:t>المنتهية في الربع الثالث، سُجلت زيادة بنسبة 31% تقريب</w:t>
      </w:r>
      <w:r w:rsidR="00D17DF0" w:rsidRPr="00334BCD">
        <w:rPr>
          <w:rFonts w:ascii="Calibri" w:hAnsi="Calibri" w:cs="Calibri"/>
          <w:rtl/>
          <w:lang w:bidi="ar-SA"/>
        </w:rPr>
        <w:t>اً</w:t>
      </w:r>
      <w:r w:rsidRPr="00334BCD">
        <w:rPr>
          <w:rFonts w:ascii="Calibri" w:hAnsi="Calibri" w:cs="Calibri"/>
          <w:rtl/>
          <w:lang w:bidi="ar-SA"/>
        </w:rPr>
        <w:t xml:space="preserve"> في </w:t>
      </w:r>
      <w:r w:rsidR="000A7AB1" w:rsidRPr="00334BCD">
        <w:rPr>
          <w:rFonts w:ascii="Calibri" w:hAnsi="Calibri" w:cs="Calibri"/>
          <w:rtl/>
          <w:lang w:bidi="ar-SA"/>
        </w:rPr>
        <w:t>مشاريع</w:t>
      </w:r>
      <w:r w:rsidRPr="00334BCD">
        <w:rPr>
          <w:rFonts w:ascii="Calibri" w:hAnsi="Calibri" w:cs="Calibri"/>
          <w:rtl/>
          <w:lang w:bidi="ar-SA"/>
        </w:rPr>
        <w:t xml:space="preserve"> </w:t>
      </w:r>
      <w:r w:rsidR="000A7AB1" w:rsidRPr="00334BCD">
        <w:rPr>
          <w:rFonts w:ascii="Calibri" w:hAnsi="Calibri" w:cs="Calibri"/>
          <w:rtl/>
          <w:lang w:bidi="ar-SA"/>
        </w:rPr>
        <w:t>البناء الجديدة</w:t>
      </w:r>
      <w:r w:rsidRPr="00334BCD">
        <w:rPr>
          <w:rFonts w:ascii="Calibri" w:hAnsi="Calibri" w:cs="Calibri"/>
          <w:rtl/>
          <w:lang w:bidi="ar-SA"/>
        </w:rPr>
        <w:t xml:space="preserve"> مقارنةً بالأرباع الأربعة السابقة، بينما سجلت عمليات </w:t>
      </w:r>
      <w:r w:rsidR="000A7AB1" w:rsidRPr="00334BCD">
        <w:rPr>
          <w:rFonts w:ascii="Calibri" w:hAnsi="Calibri" w:cs="Calibri"/>
          <w:rtl/>
          <w:lang w:bidi="ar-SA"/>
        </w:rPr>
        <w:t>إتمام</w:t>
      </w:r>
      <w:r w:rsidRPr="00334BCD">
        <w:rPr>
          <w:rFonts w:ascii="Calibri" w:hAnsi="Calibri" w:cs="Calibri"/>
          <w:rtl/>
          <w:lang w:bidi="ar-SA"/>
        </w:rPr>
        <w:t xml:space="preserve"> </w:t>
      </w:r>
      <w:r w:rsidR="000A7AB1" w:rsidRPr="00334BCD">
        <w:rPr>
          <w:rFonts w:ascii="Calibri" w:hAnsi="Calibri" w:cs="Calibri"/>
          <w:rtl/>
          <w:lang w:bidi="ar-SA"/>
        </w:rPr>
        <w:t>البناء</w:t>
      </w:r>
      <w:r w:rsidRPr="00334BCD">
        <w:rPr>
          <w:rFonts w:ascii="Calibri" w:hAnsi="Calibri" w:cs="Calibri"/>
          <w:rtl/>
          <w:lang w:bidi="ar-SA"/>
        </w:rPr>
        <w:t xml:space="preserve"> زيادة بنسبة 4.3% تقريب</w:t>
      </w:r>
      <w:r w:rsidR="00D17DF0" w:rsidRPr="00334BCD">
        <w:rPr>
          <w:rFonts w:ascii="Calibri" w:hAnsi="Calibri" w:cs="Calibri"/>
          <w:rtl/>
          <w:lang w:bidi="ar-SA"/>
        </w:rPr>
        <w:t>اً</w:t>
      </w:r>
      <w:r w:rsidRPr="00334BCD">
        <w:rPr>
          <w:rFonts w:ascii="Calibri" w:hAnsi="Calibri" w:cs="Calibri"/>
          <w:rtl/>
          <w:lang w:bidi="ar-SA"/>
        </w:rPr>
        <w:t xml:space="preserve"> مقارنةً بالفترة نفسها. إضافةً إلى ذلك، حافظت مشتريات الأراضي من قبل المقاولين في مزاد</w:t>
      </w:r>
      <w:r w:rsidRPr="00334BCD">
        <w:rPr>
          <w:rFonts w:ascii="Calibri" w:hAnsi="Calibri" w:cs="Calibri"/>
          <w:rtl/>
          <w:lang w:bidi="ar-SA"/>
        </w:rPr>
        <w:t xml:space="preserve">ات </w:t>
      </w:r>
      <w:r w:rsidR="000A7AB1" w:rsidRPr="00334BCD">
        <w:rPr>
          <w:rFonts w:ascii="Calibri" w:hAnsi="Calibri" w:cs="Calibri"/>
          <w:rtl/>
          <w:lang w:bidi="ar-SA"/>
        </w:rPr>
        <w:t>سلطة أراضي إسرائيل</w:t>
      </w:r>
      <w:r w:rsidRPr="00334BCD">
        <w:rPr>
          <w:rFonts w:ascii="Calibri" w:hAnsi="Calibri" w:cs="Calibri"/>
          <w:rtl/>
          <w:lang w:bidi="ar-SA"/>
        </w:rPr>
        <w:t xml:space="preserve"> على مستوى مرتفع في عام 2025.</w:t>
      </w:r>
    </w:p>
    <w:p w:rsidR="00164B76" w:rsidRPr="00334BCD" w:rsidRDefault="00A0366E" w:rsidP="00166658">
      <w:pPr>
        <w:bidi/>
        <w:spacing w:line="360" w:lineRule="auto"/>
        <w:rPr>
          <w:rFonts w:ascii="Calibri" w:hAnsi="Calibri" w:cs="Calibri"/>
          <w:rtl/>
          <w:lang w:bidi="ar-SA"/>
        </w:rPr>
      </w:pPr>
      <w:r w:rsidRPr="00334BCD">
        <w:rPr>
          <w:rFonts w:ascii="Calibri" w:hAnsi="Calibri" w:cs="Calibri"/>
          <w:rtl/>
          <w:lang w:bidi="ar-SA"/>
        </w:rPr>
        <w:t>استمر نمو الائتمان التجاري بوتيرة مماثلة للأشهر الأخيرة، مع بقاء معدل التخلف عن السداد منخفض</w:t>
      </w:r>
      <w:r w:rsidR="00D17DF0" w:rsidRPr="00334BCD">
        <w:rPr>
          <w:rFonts w:ascii="Calibri" w:hAnsi="Calibri" w:cs="Calibri"/>
          <w:rtl/>
          <w:lang w:bidi="ar-SA"/>
        </w:rPr>
        <w:t>اً</w:t>
      </w:r>
      <w:r w:rsidRPr="00334BCD">
        <w:rPr>
          <w:rFonts w:ascii="Calibri" w:hAnsi="Calibri" w:cs="Calibri"/>
          <w:rtl/>
          <w:lang w:bidi="ar-SA"/>
        </w:rPr>
        <w:t>. وفق</w:t>
      </w:r>
      <w:r w:rsidR="00D17DF0" w:rsidRPr="00334BCD">
        <w:rPr>
          <w:rFonts w:ascii="Calibri" w:hAnsi="Calibri" w:cs="Calibri"/>
          <w:rtl/>
          <w:lang w:bidi="ar-SA"/>
        </w:rPr>
        <w:t>اً</w:t>
      </w:r>
      <w:r w:rsidRPr="00334BCD">
        <w:rPr>
          <w:rFonts w:ascii="Calibri" w:hAnsi="Calibri" w:cs="Calibri"/>
          <w:rtl/>
          <w:lang w:bidi="ar-SA"/>
        </w:rPr>
        <w:t xml:space="preserve"> لمسح اتجاهات الائتمان الصادر عن </w:t>
      </w:r>
      <w:r w:rsidR="00166658" w:rsidRPr="00334BCD">
        <w:rPr>
          <w:rFonts w:ascii="Calibri" w:hAnsi="Calibri" w:cs="Calibri"/>
          <w:rtl/>
          <w:lang w:bidi="ar-SA"/>
        </w:rPr>
        <w:t>دائرة الإحصاء المركزي</w:t>
      </w:r>
      <w:r w:rsidRPr="00334BCD">
        <w:rPr>
          <w:rFonts w:ascii="Calibri" w:hAnsi="Calibri" w:cs="Calibri"/>
          <w:rtl/>
          <w:lang w:bidi="ar-SA"/>
        </w:rPr>
        <w:t xml:space="preserve"> لشهر </w:t>
      </w:r>
      <w:r w:rsidR="00166658" w:rsidRPr="00334BCD">
        <w:rPr>
          <w:rFonts w:ascii="Calibri" w:hAnsi="Calibri" w:cs="Calibri"/>
          <w:rtl/>
          <w:lang w:bidi="ar-SA"/>
        </w:rPr>
        <w:t>تشرين ثاني</w:t>
      </w:r>
      <w:r w:rsidRPr="00334BCD">
        <w:rPr>
          <w:rFonts w:ascii="Calibri" w:hAnsi="Calibri" w:cs="Calibri"/>
          <w:rtl/>
          <w:lang w:bidi="ar-SA"/>
        </w:rPr>
        <w:t xml:space="preserve">، ظل معدل الشركات التي أبلغت عن </w:t>
      </w:r>
      <w:r w:rsidR="00166658" w:rsidRPr="00334BCD">
        <w:rPr>
          <w:rFonts w:ascii="Calibri" w:hAnsi="Calibri" w:cs="Calibri"/>
          <w:rtl/>
          <w:lang w:bidi="ar-SA"/>
        </w:rPr>
        <w:t>قيود ائتمانية</w:t>
      </w:r>
      <w:r w:rsidRPr="00334BCD">
        <w:rPr>
          <w:rFonts w:ascii="Calibri" w:hAnsi="Calibri" w:cs="Calibri"/>
          <w:rtl/>
          <w:lang w:bidi="ar-SA"/>
        </w:rPr>
        <w:t xml:space="preserve"> منخفض</w:t>
      </w:r>
      <w:r w:rsidR="00D17DF0" w:rsidRPr="00334BCD">
        <w:rPr>
          <w:rFonts w:ascii="Calibri" w:hAnsi="Calibri" w:cs="Calibri"/>
          <w:rtl/>
          <w:lang w:bidi="ar-SA"/>
        </w:rPr>
        <w:t>اً</w:t>
      </w:r>
      <w:r w:rsidRPr="00334BCD">
        <w:rPr>
          <w:rFonts w:ascii="Calibri" w:hAnsi="Calibri" w:cs="Calibri"/>
          <w:rtl/>
          <w:lang w:bidi="ar-SA"/>
        </w:rPr>
        <w:t xml:space="preserve">. في الوقت نفسه، استمر نمو الائتمان الممنوح للأسر في </w:t>
      </w:r>
      <w:r w:rsidR="00166658" w:rsidRPr="00334BCD">
        <w:rPr>
          <w:rFonts w:ascii="Calibri" w:hAnsi="Calibri" w:cs="Calibri"/>
          <w:rtl/>
          <w:lang w:bidi="ar-SA"/>
        </w:rPr>
        <w:t>تشرين أول</w:t>
      </w:r>
      <w:r w:rsidRPr="00334BCD">
        <w:rPr>
          <w:rFonts w:ascii="Calibri" w:hAnsi="Calibri" w:cs="Calibri"/>
          <w:rtl/>
          <w:lang w:bidi="ar-SA"/>
        </w:rPr>
        <w:t xml:space="preserve"> بنسبة 7.2% مقارنةً </w:t>
      </w:r>
      <w:r w:rsidR="00166658" w:rsidRPr="00334BCD">
        <w:rPr>
          <w:rFonts w:ascii="Calibri" w:hAnsi="Calibri" w:cs="Calibri"/>
          <w:rtl/>
          <w:lang w:bidi="ar-SA"/>
        </w:rPr>
        <w:t>بتشرين أول</w:t>
      </w:r>
      <w:r w:rsidRPr="00334BCD">
        <w:rPr>
          <w:rFonts w:ascii="Calibri" w:hAnsi="Calibri" w:cs="Calibri"/>
          <w:rtl/>
          <w:lang w:bidi="ar-SA"/>
        </w:rPr>
        <w:t xml:space="preserve"> من العام الماضي، ولم يظهر أي ارتفاع ملحوظ في معدلات التخلف عن السداد، التي لا تزال عند مستوى منخفض.</w:t>
      </w:r>
    </w:p>
    <w:p w:rsidR="00166658" w:rsidRPr="00334BCD" w:rsidRDefault="00A0366E" w:rsidP="00500BC2">
      <w:pPr>
        <w:bidi/>
        <w:spacing w:before="240" w:after="0" w:line="360" w:lineRule="auto"/>
        <w:rPr>
          <w:rFonts w:ascii="Calibri" w:hAnsi="Calibri" w:cs="Calibri"/>
          <w:rtl/>
          <w:lang w:bidi="ar-SA"/>
        </w:rPr>
      </w:pPr>
      <w:r w:rsidRPr="00334BCD">
        <w:rPr>
          <w:rFonts w:ascii="Calibri" w:hAnsi="Calibri" w:cs="Calibri"/>
          <w:rtl/>
          <w:lang w:bidi="ar-SA"/>
        </w:rPr>
        <w:t>في الأسواق المالية، منذ قرار السياسة النقد</w:t>
      </w:r>
      <w:r w:rsidRPr="00334BCD">
        <w:rPr>
          <w:rFonts w:ascii="Calibri" w:hAnsi="Calibri" w:cs="Calibri"/>
          <w:rtl/>
          <w:lang w:bidi="ar-SA"/>
        </w:rPr>
        <w:t xml:space="preserve">ية السابق وحتى يوم الجمعة الماضي، واصل الشيكل ارتفاعه بنسبة 3.1% مقابل الدولار، و1.5% مقابل اليورو. تعتبر علاوة المخاطر في إسرائيل كما تُقاس بفروق </w:t>
      </w:r>
      <w:r w:rsidRPr="00334BCD">
        <w:rPr>
          <w:rFonts w:ascii="Calibri" w:hAnsi="Calibri" w:cs="Calibri"/>
        </w:rPr>
        <w:t>CDS</w:t>
      </w:r>
      <w:r w:rsidRPr="00334BCD">
        <w:rPr>
          <w:rFonts w:ascii="Calibri" w:hAnsi="Calibri" w:cs="Calibri"/>
          <w:rtl/>
          <w:lang w:bidi="ar-SA"/>
        </w:rPr>
        <w:t>، مماثلة لمستواها قبل الحرب. وشهدت مؤشرات الأسهم المحلية ارتفاعاً خلال الفترة قيد المراجعة وأظهرت نتائج إي</w:t>
      </w:r>
      <w:r w:rsidRPr="00334BCD">
        <w:rPr>
          <w:rFonts w:ascii="Calibri" w:hAnsi="Calibri" w:cs="Calibri"/>
          <w:rtl/>
          <w:lang w:bidi="ar-SA"/>
        </w:rPr>
        <w:t>جابية مقارنةً بالمؤشرات العالمية.</w:t>
      </w:r>
    </w:p>
    <w:p w:rsidR="00164B76" w:rsidRPr="00334BCD" w:rsidRDefault="00A0366E" w:rsidP="00500BC2">
      <w:pPr>
        <w:bidi/>
        <w:spacing w:before="240" w:after="0" w:line="360" w:lineRule="auto"/>
        <w:rPr>
          <w:rFonts w:ascii="Calibri" w:hAnsi="Calibri" w:cs="Calibri"/>
          <w:rtl/>
          <w:lang w:bidi="ar-SA"/>
        </w:rPr>
      </w:pPr>
      <w:r w:rsidRPr="00334BCD">
        <w:rPr>
          <w:rFonts w:ascii="Calibri" w:hAnsi="Calibri" w:cs="Calibri"/>
          <w:rtl/>
          <w:lang w:bidi="ar-SA"/>
        </w:rPr>
        <w:t>حد</w:t>
      </w:r>
      <w:r w:rsidR="00500BC2" w:rsidRPr="00334BCD">
        <w:rPr>
          <w:rFonts w:ascii="Calibri" w:hAnsi="Calibri" w:cs="Calibri"/>
          <w:rtl/>
          <w:lang w:bidi="ar-SA"/>
        </w:rPr>
        <w:t>ّ</w:t>
      </w:r>
      <w:r w:rsidRPr="00334BCD">
        <w:rPr>
          <w:rFonts w:ascii="Calibri" w:hAnsi="Calibri" w:cs="Calibri"/>
          <w:rtl/>
          <w:lang w:bidi="ar-SA"/>
        </w:rPr>
        <w:t>ثت شعبة الأبحاث توقعاتها للاقتصاد الكلي. وفق</w:t>
      </w:r>
      <w:r w:rsidR="00D17DF0" w:rsidRPr="00334BCD">
        <w:rPr>
          <w:rFonts w:ascii="Calibri" w:hAnsi="Calibri" w:cs="Calibri"/>
          <w:rtl/>
          <w:lang w:bidi="ar-SA"/>
        </w:rPr>
        <w:t>اً</w:t>
      </w:r>
      <w:r w:rsidRPr="00334BCD">
        <w:rPr>
          <w:rFonts w:ascii="Calibri" w:hAnsi="Calibri" w:cs="Calibri"/>
          <w:rtl/>
          <w:lang w:bidi="ar-SA"/>
        </w:rPr>
        <w:t xml:space="preserve"> لتقييم الشعبة نما الناتج المحلي الإجمالي بنسبة 2.8% في عام 2025. و</w:t>
      </w:r>
      <w:r w:rsidR="00500BC2" w:rsidRPr="00334BCD">
        <w:rPr>
          <w:rFonts w:ascii="Calibri" w:hAnsi="Calibri" w:cs="Calibri"/>
          <w:rtl/>
          <w:lang w:bidi="ar-SA"/>
        </w:rPr>
        <w:t>ُ</w:t>
      </w:r>
      <w:r w:rsidRPr="00334BCD">
        <w:rPr>
          <w:rFonts w:ascii="Calibri" w:hAnsi="Calibri" w:cs="Calibri"/>
          <w:rtl/>
          <w:lang w:bidi="ar-SA"/>
        </w:rPr>
        <w:t xml:space="preserve">ضعت التوقعات للسنوات القادمة على افتراض استمرار وقف إطلاق النار واستمرار انخفاض التجنيد الاحتياطي. تتوقع </w:t>
      </w:r>
      <w:r w:rsidRPr="00334BCD">
        <w:rPr>
          <w:rFonts w:ascii="Calibri" w:hAnsi="Calibri" w:cs="Calibri"/>
          <w:rtl/>
          <w:lang w:bidi="ar-SA"/>
        </w:rPr>
        <w:t>الشعبة أن تتراجع قيود العرض تدريجي</w:t>
      </w:r>
      <w:r w:rsidR="00D17DF0" w:rsidRPr="00334BCD">
        <w:rPr>
          <w:rFonts w:ascii="Calibri" w:hAnsi="Calibri" w:cs="Calibri"/>
          <w:rtl/>
          <w:lang w:bidi="ar-SA"/>
        </w:rPr>
        <w:t>اً</w:t>
      </w:r>
      <w:r w:rsidRPr="00334BCD">
        <w:rPr>
          <w:rFonts w:ascii="Calibri" w:hAnsi="Calibri" w:cs="Calibri"/>
          <w:rtl/>
          <w:lang w:bidi="ar-SA"/>
        </w:rPr>
        <w:t xml:space="preserve"> خلال فترة التوقعات مع زيادة ملحوظة في الطلب المحلي. في هذا السيناريو، من المتوقع أن ينمو الناتج المحلي الإجمالي بنسبة 5.2% في عام 2026، أي بزيادة قدرها نصف نقطة مئوية تقريب</w:t>
      </w:r>
      <w:r w:rsidR="00D17DF0" w:rsidRPr="00334BCD">
        <w:rPr>
          <w:rFonts w:ascii="Calibri" w:hAnsi="Calibri" w:cs="Calibri"/>
          <w:rtl/>
          <w:lang w:bidi="ar-SA"/>
        </w:rPr>
        <w:t>اً</w:t>
      </w:r>
      <w:r w:rsidRPr="00334BCD">
        <w:rPr>
          <w:rFonts w:ascii="Calibri" w:hAnsi="Calibri" w:cs="Calibri"/>
          <w:rtl/>
          <w:lang w:bidi="ar-SA"/>
        </w:rPr>
        <w:t xml:space="preserve"> عن توقعات شهر أيلول. في عام </w:t>
      </w:r>
      <w:r w:rsidRPr="00334BCD">
        <w:rPr>
          <w:rFonts w:ascii="Calibri" w:hAnsi="Calibri" w:cs="Calibri"/>
          <w:rtl/>
          <w:lang w:bidi="ar-SA"/>
        </w:rPr>
        <w:lastRenderedPageBreak/>
        <w:t>2027 تتوقع الشعب</w:t>
      </w:r>
      <w:r w:rsidRPr="00334BCD">
        <w:rPr>
          <w:rFonts w:ascii="Calibri" w:hAnsi="Calibri" w:cs="Calibri"/>
          <w:rtl/>
          <w:lang w:bidi="ar-SA"/>
        </w:rPr>
        <w:t>ة أن ينمو الناتج المحلي الإجمالي بنسبة 4.3%، بحيث من المتوقع أن تتقلص فجوة الناتج المحلي الإجمالي مقارنةً بالاتجاه طويل الأجل، إلى حوالي 1% بنهاية العام. وفق</w:t>
      </w:r>
      <w:r w:rsidR="00D17DF0" w:rsidRPr="00334BCD">
        <w:rPr>
          <w:rFonts w:ascii="Calibri" w:hAnsi="Calibri" w:cs="Calibri"/>
          <w:rtl/>
          <w:lang w:bidi="ar-SA"/>
        </w:rPr>
        <w:t>اً</w:t>
      </w:r>
      <w:r w:rsidRPr="00334BCD">
        <w:rPr>
          <w:rFonts w:ascii="Calibri" w:hAnsi="Calibri" w:cs="Calibri"/>
          <w:rtl/>
          <w:lang w:bidi="ar-SA"/>
        </w:rPr>
        <w:t xml:space="preserve"> للتوقعات، سيبلغ معدل التضخم </w:t>
      </w:r>
      <w:r w:rsidR="001742C1" w:rsidRPr="00334BCD">
        <w:rPr>
          <w:rFonts w:ascii="Calibri" w:hAnsi="Calibri" w:cs="Calibri"/>
          <w:rtl/>
          <w:lang w:bidi="ar-SA"/>
        </w:rPr>
        <w:t>المالي السنوي بنهاية عام 2025 نسبة 2.5%</w:t>
      </w:r>
      <w:r w:rsidRPr="00334BCD">
        <w:rPr>
          <w:rFonts w:ascii="Calibri" w:hAnsi="Calibri" w:cs="Calibri"/>
          <w:rtl/>
          <w:lang w:bidi="ar-SA"/>
        </w:rPr>
        <w:t>، مقارنةً بـ 3% في التوقعات ا</w:t>
      </w:r>
      <w:r w:rsidRPr="00334BCD">
        <w:rPr>
          <w:rFonts w:ascii="Calibri" w:hAnsi="Calibri" w:cs="Calibri"/>
          <w:rtl/>
          <w:lang w:bidi="ar-SA"/>
        </w:rPr>
        <w:t xml:space="preserve">لسابقة. </w:t>
      </w:r>
      <w:r w:rsidR="001742C1" w:rsidRPr="00334BCD">
        <w:rPr>
          <w:rFonts w:ascii="Calibri" w:hAnsi="Calibri" w:cs="Calibri"/>
          <w:rtl/>
          <w:lang w:bidi="ar-SA"/>
        </w:rPr>
        <w:t xml:space="preserve">في عام 2026 </w:t>
      </w:r>
      <w:r w:rsidRPr="00334BCD">
        <w:rPr>
          <w:rFonts w:ascii="Calibri" w:hAnsi="Calibri" w:cs="Calibri"/>
          <w:rtl/>
          <w:lang w:bidi="ar-SA"/>
        </w:rPr>
        <w:t>من المتوقع أن يبلغ معدل التضخم</w:t>
      </w:r>
      <w:r w:rsidR="001742C1" w:rsidRPr="00334BCD">
        <w:rPr>
          <w:rFonts w:ascii="Calibri" w:hAnsi="Calibri" w:cs="Calibri"/>
          <w:rtl/>
          <w:lang w:bidi="ar-SA"/>
        </w:rPr>
        <w:t xml:space="preserve"> المالي 1.7%</w:t>
      </w:r>
      <w:r w:rsidRPr="00334BCD">
        <w:rPr>
          <w:rFonts w:ascii="Calibri" w:hAnsi="Calibri" w:cs="Calibri"/>
          <w:rtl/>
          <w:lang w:bidi="ar-SA"/>
        </w:rPr>
        <w:t xml:space="preserve">، مقارنةً بـ 2.2% في التوقعات السابقة، وأن يصل إلى 2% في عام 2027. يُقدّر عجز الموازنة </w:t>
      </w:r>
      <w:r w:rsidR="001742C1" w:rsidRPr="00334BCD">
        <w:rPr>
          <w:rFonts w:ascii="Calibri" w:hAnsi="Calibri" w:cs="Calibri"/>
          <w:rtl/>
          <w:lang w:bidi="ar-SA"/>
        </w:rPr>
        <w:t xml:space="preserve">في عام 2025 </w:t>
      </w:r>
      <w:r w:rsidRPr="00334BCD">
        <w:rPr>
          <w:rFonts w:ascii="Calibri" w:hAnsi="Calibri" w:cs="Calibri"/>
          <w:rtl/>
          <w:lang w:bidi="ar-SA"/>
        </w:rPr>
        <w:t>بنسبة 4.8% من الناتج المحلي الإجمالي، وبنسبة 3.9% في عام 2026. أما نسبة الدين إلى الناتج المحلي</w:t>
      </w:r>
      <w:r w:rsidRPr="00334BCD">
        <w:rPr>
          <w:rFonts w:ascii="Calibri" w:hAnsi="Calibri" w:cs="Calibri"/>
          <w:rtl/>
          <w:lang w:bidi="ar-SA"/>
        </w:rPr>
        <w:t xml:space="preserve"> الإجمالي، فتُقدّر بنحو 68.5% بنهاية عام 2025، ومن المتوقع أن تبقى عند مستوى مماثل في عامي 2026 و2027. </w:t>
      </w:r>
      <w:r w:rsidR="001742C1" w:rsidRPr="00334BCD">
        <w:rPr>
          <w:rFonts w:ascii="Calibri" w:hAnsi="Calibri" w:cs="Calibri"/>
          <w:rtl/>
          <w:lang w:bidi="ar-SA"/>
        </w:rPr>
        <w:t>تتوقع الشعبة</w:t>
      </w:r>
      <w:r w:rsidRPr="00334BCD">
        <w:rPr>
          <w:rFonts w:ascii="Calibri" w:hAnsi="Calibri" w:cs="Calibri"/>
          <w:rtl/>
          <w:lang w:bidi="ar-SA"/>
        </w:rPr>
        <w:t xml:space="preserve"> أن يبلغ سعر الفائدة 3.5% بنهاية عام 2026.</w:t>
      </w:r>
    </w:p>
    <w:p w:rsidR="00164B76" w:rsidRPr="00334BCD" w:rsidRDefault="00A0366E" w:rsidP="00500BC2">
      <w:pPr>
        <w:bidi/>
        <w:spacing w:before="240" w:after="0" w:line="360" w:lineRule="auto"/>
        <w:rPr>
          <w:rFonts w:ascii="Calibri" w:hAnsi="Calibri" w:cs="Calibri"/>
          <w:rtl/>
          <w:lang w:bidi="ar-SA"/>
        </w:rPr>
      </w:pPr>
      <w:r w:rsidRPr="00334BCD">
        <w:rPr>
          <w:rFonts w:ascii="Calibri" w:hAnsi="Calibri" w:cs="Calibri"/>
          <w:rtl/>
          <w:lang w:bidi="ar-SA"/>
        </w:rPr>
        <w:t xml:space="preserve">وافقت الحكومة على مقترح </w:t>
      </w:r>
      <w:r w:rsidR="001742C1" w:rsidRPr="00334BCD">
        <w:rPr>
          <w:rFonts w:ascii="Calibri" w:hAnsi="Calibri" w:cs="Calibri"/>
          <w:rtl/>
          <w:lang w:bidi="ar-SA"/>
        </w:rPr>
        <w:t>ال</w:t>
      </w:r>
      <w:r w:rsidRPr="00334BCD">
        <w:rPr>
          <w:rFonts w:ascii="Calibri" w:hAnsi="Calibri" w:cs="Calibri"/>
          <w:rtl/>
          <w:lang w:bidi="ar-SA"/>
        </w:rPr>
        <w:t xml:space="preserve">ميزانية </w:t>
      </w:r>
      <w:r w:rsidR="001742C1" w:rsidRPr="00334BCD">
        <w:rPr>
          <w:rFonts w:ascii="Calibri" w:hAnsi="Calibri" w:cs="Calibri"/>
          <w:rtl/>
          <w:lang w:bidi="ar-SA"/>
        </w:rPr>
        <w:t>ل</w:t>
      </w:r>
      <w:r w:rsidRPr="00334BCD">
        <w:rPr>
          <w:rFonts w:ascii="Calibri" w:hAnsi="Calibri" w:cs="Calibri"/>
          <w:rtl/>
          <w:lang w:bidi="ar-SA"/>
        </w:rPr>
        <w:t>عام 2026 بسقف عجز يبلغ 3.9% من الناتج المحلي الإجمالي، وهو مستو</w:t>
      </w:r>
      <w:r w:rsidRPr="00334BCD">
        <w:rPr>
          <w:rFonts w:ascii="Calibri" w:hAnsi="Calibri" w:cs="Calibri"/>
          <w:rtl/>
          <w:lang w:bidi="ar-SA"/>
        </w:rPr>
        <w:t>ى أعلى من العجز المخطط له مسبق</w:t>
      </w:r>
      <w:r w:rsidR="00D17DF0" w:rsidRPr="00334BCD">
        <w:rPr>
          <w:rFonts w:ascii="Calibri" w:hAnsi="Calibri" w:cs="Calibri"/>
          <w:rtl/>
          <w:lang w:bidi="ar-SA"/>
        </w:rPr>
        <w:t>اً</w:t>
      </w:r>
      <w:r w:rsidRPr="00334BCD">
        <w:rPr>
          <w:rFonts w:ascii="Calibri" w:hAnsi="Calibri" w:cs="Calibri"/>
          <w:rtl/>
          <w:lang w:bidi="ar-SA"/>
        </w:rPr>
        <w:t xml:space="preserve">، ويتماشى مع مسار تنازلي لنسبة الدين إلى الناتج المحلي الإجمالي. يعتمد تحقيق هذا الهدف المتعلق بالعجز من بين أمور أخرى، على عدم </w:t>
      </w:r>
      <w:r w:rsidR="00500BC2" w:rsidRPr="00334BCD">
        <w:rPr>
          <w:rFonts w:ascii="Calibri" w:hAnsi="Calibri" w:cs="Calibri"/>
          <w:rtl/>
          <w:lang w:bidi="ar-SA"/>
        </w:rPr>
        <w:t>حدوث</w:t>
      </w:r>
      <w:r w:rsidRPr="00334BCD">
        <w:rPr>
          <w:rFonts w:ascii="Calibri" w:hAnsi="Calibri" w:cs="Calibri"/>
          <w:rtl/>
          <w:lang w:bidi="ar-SA"/>
        </w:rPr>
        <w:t xml:space="preserve"> تطورات جيوسياسية تستدعي زيادة إضافية في الإنفاق الدفاعي، وعلى تحقق الافتراضات المتعلقة بمسار الإيرادات. </w:t>
      </w:r>
      <w:r w:rsidR="001742C1" w:rsidRPr="00334BCD">
        <w:rPr>
          <w:rFonts w:ascii="Calibri" w:hAnsi="Calibri" w:cs="Calibri"/>
          <w:rtl/>
          <w:lang w:bidi="ar-SA"/>
        </w:rPr>
        <w:t>لذلك</w:t>
      </w:r>
      <w:r w:rsidRPr="00334BCD">
        <w:rPr>
          <w:rFonts w:ascii="Calibri" w:hAnsi="Calibri" w:cs="Calibri"/>
          <w:rtl/>
          <w:lang w:bidi="ar-SA"/>
        </w:rPr>
        <w:t xml:space="preserve"> من المهم إقرار ميزانية 2026 في الكنيست، مع الحرص على عدم تجاوز الهدف المتعلق بالعجز</w:t>
      </w:r>
      <w:r w:rsidR="001742C1" w:rsidRPr="00334BCD">
        <w:rPr>
          <w:rFonts w:ascii="Calibri" w:hAnsi="Calibri" w:cs="Calibri"/>
          <w:rtl/>
          <w:lang w:bidi="ar-SA"/>
        </w:rPr>
        <w:t xml:space="preserve"> من أجل</w:t>
      </w:r>
      <w:r w:rsidRPr="00334BCD">
        <w:rPr>
          <w:rFonts w:ascii="Calibri" w:hAnsi="Calibri" w:cs="Calibri"/>
          <w:rtl/>
          <w:lang w:bidi="ar-SA"/>
        </w:rPr>
        <w:t xml:space="preserve"> دعم ثقة السوق في الاقتصاد.</w:t>
      </w:r>
    </w:p>
    <w:p w:rsidR="00182EBA" w:rsidRPr="00334BCD" w:rsidRDefault="00A0366E" w:rsidP="00500BC2">
      <w:pPr>
        <w:bidi/>
        <w:spacing w:before="240" w:line="360" w:lineRule="auto"/>
        <w:rPr>
          <w:rFonts w:ascii="Calibri" w:hAnsi="Calibri" w:cs="Calibri"/>
          <w:rtl/>
          <w:lang w:bidi="ar-SA"/>
        </w:rPr>
      </w:pPr>
      <w:r w:rsidRPr="00334BCD">
        <w:rPr>
          <w:rFonts w:ascii="Calibri" w:hAnsi="Calibri" w:cs="Calibri"/>
          <w:rtl/>
          <w:lang w:bidi="ar-SA"/>
        </w:rPr>
        <w:t>يستمر النشاط الاقتصادي العال</w:t>
      </w:r>
      <w:r w:rsidRPr="00334BCD">
        <w:rPr>
          <w:rFonts w:ascii="Calibri" w:hAnsi="Calibri" w:cs="Calibri"/>
          <w:rtl/>
          <w:lang w:bidi="ar-SA"/>
        </w:rPr>
        <w:t>مي في التوسع بوتيرة معتدلة، ومن المتوقع أن يبلغ معدل النمو العالمي لعام 2025 حوالي 3%. يستمر التضخم المالي العالمي في التراجع ببطء، ويعود ذلك بشكل رئيسي إلى انخفاض أسعار الطاقة والهدوء النسبي في الحرب التجارية. في الولايات المتحدة، نما الناتج المحلي الإجما</w:t>
      </w:r>
      <w:r w:rsidRPr="00334BCD">
        <w:rPr>
          <w:rFonts w:ascii="Calibri" w:hAnsi="Calibri" w:cs="Calibri"/>
          <w:rtl/>
          <w:lang w:bidi="ar-SA"/>
        </w:rPr>
        <w:t>لي في الربع الثالث من العام بشكل مفاجئ بنسبة 4.3% على أساس سنوي. وشهدت منطقة اليورو انتعاش</w:t>
      </w:r>
      <w:r w:rsidR="00D17DF0" w:rsidRPr="00334BCD">
        <w:rPr>
          <w:rFonts w:ascii="Calibri" w:hAnsi="Calibri" w:cs="Calibri"/>
          <w:rtl/>
          <w:lang w:bidi="ar-SA"/>
        </w:rPr>
        <w:t>اً</w:t>
      </w:r>
      <w:r w:rsidRPr="00334BCD">
        <w:rPr>
          <w:rFonts w:ascii="Calibri" w:hAnsi="Calibri" w:cs="Calibri"/>
          <w:rtl/>
          <w:lang w:bidi="ar-SA"/>
        </w:rPr>
        <w:t xml:space="preserve"> في النشاط الاقتصادي، بينما تشير بيانات النشاط الاقتصادي في الصين لشهر تشرين ثاني إلى تباطؤ في معدل النمو. في الولايات المتحدة انخفض مؤشر أسعار المستهلك (</w:t>
      </w:r>
      <w:r w:rsidRPr="00334BCD">
        <w:rPr>
          <w:rFonts w:ascii="Calibri" w:hAnsi="Calibri" w:cs="Calibri"/>
        </w:rPr>
        <w:t>CPI</w:t>
      </w:r>
      <w:r w:rsidRPr="00334BCD">
        <w:rPr>
          <w:rFonts w:ascii="Calibri" w:hAnsi="Calibri" w:cs="Calibri"/>
          <w:rtl/>
          <w:lang w:bidi="ar-SA"/>
        </w:rPr>
        <w:t>) في تش</w:t>
      </w:r>
      <w:r w:rsidRPr="00334BCD">
        <w:rPr>
          <w:rFonts w:ascii="Calibri" w:hAnsi="Calibri" w:cs="Calibri"/>
          <w:rtl/>
          <w:lang w:bidi="ar-SA"/>
        </w:rPr>
        <w:t>رين ثاني إلى معدل سنوي قدره 2.6%. وفي منطقة اليورو لا يزال التضخم المالي معتدل</w:t>
      </w:r>
      <w:r w:rsidR="00D17DF0" w:rsidRPr="00334BCD">
        <w:rPr>
          <w:rFonts w:ascii="Calibri" w:hAnsi="Calibri" w:cs="Calibri"/>
          <w:rtl/>
          <w:lang w:bidi="ar-SA"/>
        </w:rPr>
        <w:t>اً</w:t>
      </w:r>
      <w:r w:rsidRPr="00334BCD">
        <w:rPr>
          <w:rFonts w:ascii="Calibri" w:hAnsi="Calibri" w:cs="Calibri"/>
          <w:rtl/>
          <w:lang w:bidi="ar-SA"/>
        </w:rPr>
        <w:t xml:space="preserve">، حيث استقر في تشرين ثاني عند 2.1% على أساس سنوي. في آخر قرار بشأن أسعار الفائدة، خفض الاحتياطي الفيدرالي الأمريكي </w:t>
      </w:r>
      <w:r w:rsidRPr="00334BCD">
        <w:rPr>
          <w:rFonts w:ascii="Calibri" w:hAnsi="Calibri" w:cs="Calibri"/>
        </w:rPr>
        <w:t>FED</w:t>
      </w:r>
      <w:r w:rsidRPr="00334BCD">
        <w:rPr>
          <w:rFonts w:ascii="Calibri" w:hAnsi="Calibri" w:cs="Calibri"/>
          <w:rtl/>
          <w:lang w:bidi="ar-SA"/>
        </w:rPr>
        <w:t xml:space="preserve"> سعر الفائدة بمقدار 25 نقطة أساس، بينما أبقى البنك المركزي</w:t>
      </w:r>
      <w:r w:rsidRPr="00334BCD">
        <w:rPr>
          <w:rFonts w:ascii="Calibri" w:hAnsi="Calibri" w:cs="Calibri"/>
          <w:rtl/>
          <w:lang w:bidi="ar-SA"/>
        </w:rPr>
        <w:t xml:space="preserve"> الأوروبي </w:t>
      </w:r>
      <w:r w:rsidRPr="00334BCD">
        <w:rPr>
          <w:rFonts w:ascii="Calibri" w:hAnsi="Calibri" w:cs="Calibri"/>
        </w:rPr>
        <w:t xml:space="preserve"> ECB</w:t>
      </w:r>
      <w:r w:rsidRPr="00334BCD">
        <w:rPr>
          <w:rFonts w:ascii="Calibri" w:hAnsi="Calibri" w:cs="Calibri"/>
          <w:rtl/>
          <w:lang w:bidi="ar-SA"/>
        </w:rPr>
        <w:t>سعر الفائدة دون تغيير.</w:t>
      </w:r>
    </w:p>
    <w:p w:rsidR="00164B76" w:rsidRPr="00334BCD" w:rsidRDefault="00A0366E" w:rsidP="00500BC2">
      <w:pPr>
        <w:bidi/>
        <w:spacing w:line="360" w:lineRule="auto"/>
        <w:rPr>
          <w:rFonts w:ascii="Calibri" w:hAnsi="Calibri" w:cs="Calibri"/>
          <w:rtl/>
          <w:lang w:bidi="ar-SA"/>
        </w:rPr>
      </w:pPr>
      <w:r w:rsidRPr="00334BCD">
        <w:rPr>
          <w:rFonts w:ascii="Calibri" w:hAnsi="Calibri" w:cs="Calibri"/>
          <w:rtl/>
          <w:lang w:bidi="ar-SA"/>
        </w:rPr>
        <w:t xml:space="preserve">في الختام، يستمر النشاط الاقتصادي في التوسع. </w:t>
      </w:r>
      <w:r w:rsidR="00182EBA" w:rsidRPr="00334BCD">
        <w:rPr>
          <w:rFonts w:ascii="Calibri" w:hAnsi="Calibri" w:cs="Calibri"/>
          <w:rtl/>
          <w:lang w:bidi="ar-SA"/>
        </w:rPr>
        <w:t>كما أنه سج</w:t>
      </w:r>
      <w:r w:rsidR="00500BC2" w:rsidRPr="00334BCD">
        <w:rPr>
          <w:rFonts w:ascii="Calibri" w:hAnsi="Calibri" w:cs="Calibri"/>
          <w:rtl/>
          <w:lang w:bidi="ar-SA"/>
        </w:rPr>
        <w:t>ّ</w:t>
      </w:r>
      <w:r w:rsidR="00182EBA" w:rsidRPr="00334BCD">
        <w:rPr>
          <w:rFonts w:ascii="Calibri" w:hAnsi="Calibri" w:cs="Calibri"/>
          <w:rtl/>
          <w:lang w:bidi="ar-SA"/>
        </w:rPr>
        <w:t xml:space="preserve">ل </w:t>
      </w:r>
      <w:r w:rsidRPr="00334BCD">
        <w:rPr>
          <w:rFonts w:ascii="Calibri" w:hAnsi="Calibri" w:cs="Calibri"/>
          <w:rtl/>
          <w:lang w:bidi="ar-SA"/>
        </w:rPr>
        <w:t>منذ قرار سعر الفائدة الأخير عدد</w:t>
      </w:r>
      <w:r w:rsidR="00182EBA" w:rsidRPr="00334BCD">
        <w:rPr>
          <w:rFonts w:ascii="Calibri" w:hAnsi="Calibri" w:cs="Calibri"/>
          <w:rtl/>
          <w:lang w:bidi="ar-SA"/>
        </w:rPr>
        <w:t>اً</w:t>
      </w:r>
      <w:r w:rsidRPr="00334BCD">
        <w:rPr>
          <w:rFonts w:ascii="Calibri" w:hAnsi="Calibri" w:cs="Calibri"/>
          <w:rtl/>
          <w:lang w:bidi="ar-SA"/>
        </w:rPr>
        <w:t xml:space="preserve"> من التطورات الهامة: أول</w:t>
      </w:r>
      <w:r w:rsidR="00D17DF0" w:rsidRPr="00334BCD">
        <w:rPr>
          <w:rFonts w:ascii="Calibri" w:hAnsi="Calibri" w:cs="Calibri"/>
          <w:rtl/>
          <w:lang w:bidi="ar-SA"/>
        </w:rPr>
        <w:t>اً</w:t>
      </w:r>
      <w:r w:rsidRPr="00334BCD">
        <w:rPr>
          <w:rFonts w:ascii="Calibri" w:hAnsi="Calibri" w:cs="Calibri"/>
          <w:rtl/>
          <w:lang w:bidi="ar-SA"/>
        </w:rPr>
        <w:t>، انخفض معدل التضخم</w:t>
      </w:r>
      <w:r w:rsidR="00182EBA" w:rsidRPr="00334BCD">
        <w:rPr>
          <w:rFonts w:ascii="Calibri" w:hAnsi="Calibri" w:cs="Calibri"/>
          <w:rtl/>
          <w:lang w:bidi="ar-SA"/>
        </w:rPr>
        <w:t xml:space="preserve"> المالي</w:t>
      </w:r>
      <w:r w:rsidRPr="00334BCD">
        <w:rPr>
          <w:rFonts w:ascii="Calibri" w:hAnsi="Calibri" w:cs="Calibri"/>
          <w:rtl/>
          <w:lang w:bidi="ar-SA"/>
        </w:rPr>
        <w:t>؛ ثاني</w:t>
      </w:r>
      <w:r w:rsidR="00D17DF0" w:rsidRPr="00334BCD">
        <w:rPr>
          <w:rFonts w:ascii="Calibri" w:hAnsi="Calibri" w:cs="Calibri"/>
          <w:rtl/>
          <w:lang w:bidi="ar-SA"/>
        </w:rPr>
        <w:t>اً</w:t>
      </w:r>
      <w:r w:rsidRPr="00334BCD">
        <w:rPr>
          <w:rFonts w:ascii="Calibri" w:hAnsi="Calibri" w:cs="Calibri"/>
          <w:rtl/>
          <w:lang w:bidi="ar-SA"/>
        </w:rPr>
        <w:t xml:space="preserve">، شهدت </w:t>
      </w:r>
      <w:r w:rsidR="00182EBA" w:rsidRPr="00334BCD">
        <w:rPr>
          <w:rFonts w:ascii="Calibri" w:hAnsi="Calibri" w:cs="Calibri"/>
          <w:rtl/>
          <w:lang w:bidi="ar-SA"/>
        </w:rPr>
        <w:t>سعر الصرف</w:t>
      </w:r>
      <w:r w:rsidRPr="00334BCD">
        <w:rPr>
          <w:rFonts w:ascii="Calibri" w:hAnsi="Calibri" w:cs="Calibri"/>
          <w:rtl/>
          <w:lang w:bidi="ar-SA"/>
        </w:rPr>
        <w:t xml:space="preserve"> مزيد</w:t>
      </w:r>
      <w:r w:rsidR="00D17DF0" w:rsidRPr="00334BCD">
        <w:rPr>
          <w:rFonts w:ascii="Calibri" w:hAnsi="Calibri" w:cs="Calibri"/>
          <w:rtl/>
          <w:lang w:bidi="ar-SA"/>
        </w:rPr>
        <w:t>اً</w:t>
      </w:r>
      <w:r w:rsidRPr="00334BCD">
        <w:rPr>
          <w:rFonts w:ascii="Calibri" w:hAnsi="Calibri" w:cs="Calibri"/>
          <w:rtl/>
          <w:lang w:bidi="ar-SA"/>
        </w:rPr>
        <w:t xml:space="preserve"> من الارتفاع، وهو ما يُتوقع أن يُسهم في تخفيف</w:t>
      </w:r>
      <w:r w:rsidRPr="00334BCD">
        <w:rPr>
          <w:rFonts w:ascii="Calibri" w:hAnsi="Calibri" w:cs="Calibri"/>
          <w:rtl/>
          <w:lang w:bidi="ar-SA"/>
        </w:rPr>
        <w:t xml:space="preserve"> الضغوط التضخمية. علاوةً على ذلك، يشهد سوق العمل </w:t>
      </w:r>
      <w:r w:rsidR="00182EBA" w:rsidRPr="00334BCD">
        <w:rPr>
          <w:rFonts w:ascii="Calibri" w:hAnsi="Calibri" w:cs="Calibri"/>
          <w:rtl/>
          <w:lang w:bidi="ar-SA"/>
        </w:rPr>
        <w:t>تضيقاً</w:t>
      </w:r>
      <w:r w:rsidRPr="00334BCD">
        <w:rPr>
          <w:rFonts w:ascii="Calibri" w:hAnsi="Calibri" w:cs="Calibri"/>
          <w:rtl/>
          <w:lang w:bidi="ar-SA"/>
        </w:rPr>
        <w:t xml:space="preserve"> ولكن ثمة مؤشرات على تخفيف قيود العرض فيه. </w:t>
      </w:r>
      <w:r w:rsidR="00182EBA" w:rsidRPr="00334BCD">
        <w:rPr>
          <w:rFonts w:ascii="Calibri" w:hAnsi="Calibri" w:cs="Calibri"/>
          <w:rtl/>
          <w:lang w:bidi="ar-SA"/>
        </w:rPr>
        <w:t>على</w:t>
      </w:r>
      <w:r w:rsidRPr="00334BCD">
        <w:rPr>
          <w:rFonts w:ascii="Calibri" w:hAnsi="Calibri" w:cs="Calibri"/>
          <w:rtl/>
          <w:lang w:bidi="ar-SA"/>
        </w:rPr>
        <w:t xml:space="preserve"> ضوء كل ذلك، ورغم أن المؤشر القادم يُتوقع </w:t>
      </w:r>
      <w:r w:rsidR="00182EBA" w:rsidRPr="00334BCD">
        <w:rPr>
          <w:rFonts w:ascii="Calibri" w:hAnsi="Calibri" w:cs="Calibri"/>
          <w:rtl/>
          <w:lang w:bidi="ar-SA"/>
        </w:rPr>
        <w:t>ارتفاع</w:t>
      </w:r>
      <w:r w:rsidR="00500BC2" w:rsidRPr="00334BCD">
        <w:rPr>
          <w:rFonts w:ascii="Calibri" w:hAnsi="Calibri" w:cs="Calibri"/>
          <w:rtl/>
          <w:lang w:bidi="ar-SA"/>
        </w:rPr>
        <w:t>اً</w:t>
      </w:r>
      <w:r w:rsidRPr="00334BCD">
        <w:rPr>
          <w:rFonts w:ascii="Calibri" w:hAnsi="Calibri" w:cs="Calibri"/>
          <w:rtl/>
          <w:lang w:bidi="ar-SA"/>
        </w:rPr>
        <w:t xml:space="preserve"> </w:t>
      </w:r>
      <w:r w:rsidR="00500BC2" w:rsidRPr="00334BCD">
        <w:rPr>
          <w:rFonts w:ascii="Calibri" w:hAnsi="Calibri" w:cs="Calibri"/>
          <w:rtl/>
          <w:lang w:bidi="ar-SA"/>
        </w:rPr>
        <w:t>ل</w:t>
      </w:r>
      <w:r w:rsidRPr="00334BCD">
        <w:rPr>
          <w:rFonts w:ascii="Calibri" w:hAnsi="Calibri" w:cs="Calibri"/>
          <w:rtl/>
          <w:lang w:bidi="ar-SA"/>
        </w:rPr>
        <w:t>لتضخم</w:t>
      </w:r>
      <w:r w:rsidR="00182EBA" w:rsidRPr="00334BCD">
        <w:rPr>
          <w:rFonts w:ascii="Calibri" w:hAnsi="Calibri" w:cs="Calibri"/>
          <w:rtl/>
          <w:lang w:bidi="ar-SA"/>
        </w:rPr>
        <w:t xml:space="preserve"> المالي قد</w:t>
      </w:r>
      <w:r w:rsidRPr="00334BCD">
        <w:rPr>
          <w:rFonts w:ascii="Calibri" w:hAnsi="Calibri" w:cs="Calibri"/>
          <w:rtl/>
          <w:lang w:bidi="ar-SA"/>
        </w:rPr>
        <w:t xml:space="preserve"> يقترب من الحد الأعلى للهدف، فقد قررت اللجنة خفض سعر الفائدة </w:t>
      </w:r>
      <w:r w:rsidR="00182EBA" w:rsidRPr="00334BCD">
        <w:rPr>
          <w:rFonts w:ascii="Calibri" w:hAnsi="Calibri" w:cs="Calibri"/>
          <w:rtl/>
          <w:lang w:bidi="ar-SA"/>
        </w:rPr>
        <w:t xml:space="preserve">من </w:t>
      </w:r>
      <w:r w:rsidRPr="00334BCD">
        <w:rPr>
          <w:rFonts w:ascii="Calibri" w:hAnsi="Calibri" w:cs="Calibri"/>
          <w:rtl/>
          <w:lang w:bidi="ar-SA"/>
        </w:rPr>
        <w:t xml:space="preserve">الآن. يأتي هذا القرار </w:t>
      </w:r>
      <w:r w:rsidR="00182EBA" w:rsidRPr="00334BCD">
        <w:rPr>
          <w:rFonts w:ascii="Calibri" w:hAnsi="Calibri" w:cs="Calibri"/>
          <w:rtl/>
          <w:lang w:bidi="ar-SA"/>
        </w:rPr>
        <w:t>على</w:t>
      </w:r>
      <w:r w:rsidRPr="00334BCD">
        <w:rPr>
          <w:rFonts w:ascii="Calibri" w:hAnsi="Calibri" w:cs="Calibri"/>
          <w:rtl/>
          <w:lang w:bidi="ar-SA"/>
        </w:rPr>
        <w:t xml:space="preserve"> ضوء </w:t>
      </w:r>
      <w:r w:rsidR="00182EBA" w:rsidRPr="00334BCD">
        <w:rPr>
          <w:rFonts w:ascii="Calibri" w:hAnsi="Calibri" w:cs="Calibri"/>
          <w:rtl/>
          <w:lang w:bidi="ar-SA"/>
        </w:rPr>
        <w:t>تقديرها</w:t>
      </w:r>
      <w:r w:rsidRPr="00334BCD">
        <w:rPr>
          <w:rFonts w:ascii="Calibri" w:hAnsi="Calibri" w:cs="Calibri"/>
          <w:rtl/>
          <w:lang w:bidi="ar-SA"/>
        </w:rPr>
        <w:t xml:space="preserve"> بأن</w:t>
      </w:r>
      <w:r w:rsidR="00182EBA" w:rsidRPr="00334BCD">
        <w:rPr>
          <w:rFonts w:ascii="Calibri" w:hAnsi="Calibri" w:cs="Calibri"/>
          <w:rtl/>
          <w:lang w:bidi="ar-SA"/>
        </w:rPr>
        <w:t xml:space="preserve"> تعكس</w:t>
      </w:r>
      <w:r w:rsidRPr="00334BCD">
        <w:rPr>
          <w:rFonts w:ascii="Calibri" w:hAnsi="Calibri" w:cs="Calibri"/>
          <w:rtl/>
          <w:lang w:bidi="ar-SA"/>
        </w:rPr>
        <w:t xml:space="preserve"> الزيادة المتوقعة في التضخم </w:t>
      </w:r>
      <w:r w:rsidR="00182EBA" w:rsidRPr="00334BCD">
        <w:rPr>
          <w:rFonts w:ascii="Calibri" w:hAnsi="Calibri" w:cs="Calibri"/>
          <w:rtl/>
          <w:lang w:bidi="ar-SA"/>
        </w:rPr>
        <w:t>المالي</w:t>
      </w:r>
      <w:r w:rsidRPr="00334BCD">
        <w:rPr>
          <w:rFonts w:ascii="Calibri" w:hAnsi="Calibri" w:cs="Calibri"/>
          <w:rtl/>
          <w:lang w:bidi="ar-SA"/>
        </w:rPr>
        <w:t xml:space="preserve"> عوامل </w:t>
      </w:r>
      <w:r w:rsidR="00182EBA" w:rsidRPr="00334BCD">
        <w:rPr>
          <w:rFonts w:ascii="Calibri" w:hAnsi="Calibri" w:cs="Calibri"/>
          <w:rtl/>
          <w:lang w:bidi="ar-SA"/>
        </w:rPr>
        <w:t>تقنية</w:t>
      </w:r>
      <w:r w:rsidRPr="00334BCD">
        <w:rPr>
          <w:rFonts w:ascii="Calibri" w:hAnsi="Calibri" w:cs="Calibri"/>
          <w:rtl/>
          <w:lang w:bidi="ar-SA"/>
        </w:rPr>
        <w:t xml:space="preserve">، حيث تتوقع المؤشرات اللاحقة أن يبقى التضخم </w:t>
      </w:r>
      <w:r w:rsidR="00182EBA" w:rsidRPr="00334BCD">
        <w:rPr>
          <w:rFonts w:ascii="Calibri" w:hAnsi="Calibri" w:cs="Calibri"/>
          <w:rtl/>
          <w:lang w:bidi="ar-SA"/>
        </w:rPr>
        <w:t xml:space="preserve">المالي </w:t>
      </w:r>
      <w:r w:rsidRPr="00334BCD">
        <w:rPr>
          <w:rFonts w:ascii="Calibri" w:hAnsi="Calibri" w:cs="Calibri"/>
          <w:rtl/>
          <w:lang w:bidi="ar-SA"/>
        </w:rPr>
        <w:t xml:space="preserve">حول منتصف الهدف. يتماشى هذا القرار مع ما </w:t>
      </w:r>
      <w:r w:rsidR="00182EBA" w:rsidRPr="00334BCD">
        <w:rPr>
          <w:rFonts w:ascii="Calibri" w:hAnsi="Calibri" w:cs="Calibri"/>
          <w:rtl/>
          <w:lang w:bidi="ar-SA"/>
        </w:rPr>
        <w:t>ذكرته سابقاً</w:t>
      </w:r>
      <w:r w:rsidRPr="00334BCD">
        <w:rPr>
          <w:rFonts w:ascii="Calibri" w:hAnsi="Calibri" w:cs="Calibri"/>
          <w:rtl/>
          <w:lang w:bidi="ar-SA"/>
        </w:rPr>
        <w:t xml:space="preserve"> </w:t>
      </w:r>
      <w:r w:rsidR="00182EBA" w:rsidRPr="00334BCD">
        <w:rPr>
          <w:rFonts w:ascii="Calibri" w:hAnsi="Calibri" w:cs="Calibri"/>
          <w:rtl/>
          <w:lang w:bidi="ar-SA"/>
        </w:rPr>
        <w:t>ب</w:t>
      </w:r>
      <w:r w:rsidRPr="00334BCD">
        <w:rPr>
          <w:rFonts w:ascii="Calibri" w:hAnsi="Calibri" w:cs="Calibri"/>
          <w:rtl/>
          <w:lang w:bidi="ar-SA"/>
        </w:rPr>
        <w:t>أن اللجنة تعمل وفق</w:t>
      </w:r>
      <w:r w:rsidR="00D17DF0" w:rsidRPr="00334BCD">
        <w:rPr>
          <w:rFonts w:ascii="Calibri" w:hAnsi="Calibri" w:cs="Calibri"/>
          <w:rtl/>
          <w:lang w:bidi="ar-SA"/>
        </w:rPr>
        <w:t>اً</w:t>
      </w:r>
      <w:r w:rsidRPr="00334BCD">
        <w:rPr>
          <w:rFonts w:ascii="Calibri" w:hAnsi="Calibri" w:cs="Calibri"/>
          <w:rtl/>
          <w:lang w:bidi="ar-SA"/>
        </w:rPr>
        <w:t xml:space="preserve"> للبيانات </w:t>
      </w:r>
      <w:r w:rsidR="00182EBA" w:rsidRPr="00334BCD">
        <w:rPr>
          <w:rFonts w:ascii="Calibri" w:hAnsi="Calibri" w:cs="Calibri"/>
          <w:rtl/>
          <w:lang w:bidi="ar-SA"/>
        </w:rPr>
        <w:t>و</w:t>
      </w:r>
      <w:r w:rsidR="00500BC2" w:rsidRPr="00334BCD">
        <w:rPr>
          <w:rFonts w:ascii="Calibri" w:hAnsi="Calibri" w:cs="Calibri"/>
          <w:rtl/>
          <w:lang w:bidi="ar-SA"/>
        </w:rPr>
        <w:t>ل</w:t>
      </w:r>
      <w:r w:rsidR="00182EBA" w:rsidRPr="00334BCD">
        <w:rPr>
          <w:rFonts w:ascii="Calibri" w:hAnsi="Calibri" w:cs="Calibri"/>
          <w:rtl/>
          <w:lang w:bidi="ar-SA"/>
        </w:rPr>
        <w:t>أحدث تقييمات</w:t>
      </w:r>
      <w:r w:rsidRPr="00334BCD">
        <w:rPr>
          <w:rFonts w:ascii="Calibri" w:hAnsi="Calibri" w:cs="Calibri"/>
          <w:rtl/>
          <w:lang w:bidi="ar-SA"/>
        </w:rPr>
        <w:t xml:space="preserve"> </w:t>
      </w:r>
      <w:r w:rsidR="00182EBA" w:rsidRPr="00334BCD">
        <w:rPr>
          <w:rFonts w:ascii="Calibri" w:hAnsi="Calibri" w:cs="Calibri"/>
          <w:rtl/>
          <w:lang w:bidi="ar-SA"/>
        </w:rPr>
        <w:t>التطور</w:t>
      </w:r>
      <w:r w:rsidRPr="00334BCD">
        <w:rPr>
          <w:rFonts w:ascii="Calibri" w:hAnsi="Calibri" w:cs="Calibri"/>
          <w:rtl/>
          <w:lang w:bidi="ar-SA"/>
        </w:rPr>
        <w:t xml:space="preserve"> </w:t>
      </w:r>
      <w:r w:rsidR="00182EBA" w:rsidRPr="00334BCD">
        <w:rPr>
          <w:rFonts w:ascii="Calibri" w:hAnsi="Calibri" w:cs="Calibri"/>
          <w:rtl/>
          <w:lang w:bidi="ar-SA"/>
        </w:rPr>
        <w:t>الاقتصادي</w:t>
      </w:r>
      <w:r w:rsidRPr="00334BCD">
        <w:rPr>
          <w:rFonts w:ascii="Calibri" w:hAnsi="Calibri" w:cs="Calibri"/>
          <w:rtl/>
          <w:lang w:bidi="ar-SA"/>
        </w:rPr>
        <w:t xml:space="preserve">. سيستمر تحديد مسار </w:t>
      </w:r>
      <w:r w:rsidRPr="00334BCD">
        <w:rPr>
          <w:rFonts w:ascii="Calibri" w:hAnsi="Calibri" w:cs="Calibri"/>
          <w:rtl/>
          <w:lang w:bidi="ar-SA"/>
        </w:rPr>
        <w:t>سعر الفائدة وفق</w:t>
      </w:r>
      <w:r w:rsidR="00D17DF0" w:rsidRPr="00334BCD">
        <w:rPr>
          <w:rFonts w:ascii="Calibri" w:hAnsi="Calibri" w:cs="Calibri"/>
          <w:rtl/>
          <w:lang w:bidi="ar-SA"/>
        </w:rPr>
        <w:t>اً</w:t>
      </w:r>
      <w:r w:rsidRPr="00334BCD">
        <w:rPr>
          <w:rFonts w:ascii="Calibri" w:hAnsi="Calibri" w:cs="Calibri"/>
          <w:rtl/>
          <w:lang w:bidi="ar-SA"/>
        </w:rPr>
        <w:t xml:space="preserve"> لتطور التضخم</w:t>
      </w:r>
      <w:r w:rsidR="00182EBA" w:rsidRPr="00334BCD">
        <w:rPr>
          <w:rFonts w:ascii="Calibri" w:hAnsi="Calibri" w:cs="Calibri"/>
          <w:rtl/>
          <w:lang w:bidi="ar-SA"/>
        </w:rPr>
        <w:t xml:space="preserve"> المالي</w:t>
      </w:r>
      <w:r w:rsidRPr="00334BCD">
        <w:rPr>
          <w:rFonts w:ascii="Calibri" w:hAnsi="Calibri" w:cs="Calibri"/>
          <w:rtl/>
          <w:lang w:bidi="ar-SA"/>
        </w:rPr>
        <w:t xml:space="preserve"> والنشاط الاقتصادي والتقلبات الجيوسياسية والتطورات المالية.</w:t>
      </w:r>
    </w:p>
    <w:p w:rsidR="00164B76" w:rsidRPr="00334BCD" w:rsidRDefault="00A0366E" w:rsidP="00182EBA">
      <w:pPr>
        <w:bidi/>
        <w:spacing w:line="360" w:lineRule="auto"/>
        <w:rPr>
          <w:rFonts w:ascii="Calibri" w:hAnsi="Calibri" w:cs="Calibri"/>
        </w:rPr>
      </w:pPr>
      <w:r w:rsidRPr="00334BCD">
        <w:rPr>
          <w:rFonts w:ascii="Calibri" w:hAnsi="Calibri" w:cs="Calibri"/>
          <w:rtl/>
          <w:lang w:bidi="ar-SA"/>
        </w:rPr>
        <w:t xml:space="preserve">في هذا السياق، أودّ الإشارة إلى توقعات </w:t>
      </w:r>
      <w:r w:rsidR="00182EBA" w:rsidRPr="00334BCD">
        <w:rPr>
          <w:rFonts w:ascii="Calibri" w:hAnsi="Calibri" w:cs="Calibri"/>
          <w:rtl/>
          <w:lang w:bidi="ar-SA"/>
        </w:rPr>
        <w:t>شعبة</w:t>
      </w:r>
      <w:r w:rsidRPr="00334BCD">
        <w:rPr>
          <w:rFonts w:ascii="Calibri" w:hAnsi="Calibri" w:cs="Calibri"/>
          <w:rtl/>
          <w:lang w:bidi="ar-SA"/>
        </w:rPr>
        <w:t xml:space="preserve"> الأبحاث بأنّ سعر الفائدة في السيناريو الأساسي سيبلغ 3.5% بنهاية عام 2026. من المهم التأكيد على أنّ اللجنة لا تزال ت</w:t>
      </w:r>
      <w:r w:rsidRPr="00334BCD">
        <w:rPr>
          <w:rFonts w:ascii="Calibri" w:hAnsi="Calibri" w:cs="Calibri"/>
          <w:rtl/>
          <w:lang w:bidi="ar-SA"/>
        </w:rPr>
        <w:t xml:space="preserve">ُقيّم أنّ مسار أسعار الفائدة </w:t>
      </w:r>
      <w:r w:rsidR="00182EBA" w:rsidRPr="00334BCD">
        <w:rPr>
          <w:rFonts w:ascii="Calibri" w:hAnsi="Calibri" w:cs="Calibri"/>
          <w:rtl/>
          <w:lang w:bidi="ar-SA"/>
        </w:rPr>
        <w:t xml:space="preserve">في السيناريو الأساسي سيظل </w:t>
      </w:r>
      <w:r w:rsidRPr="00334BCD">
        <w:rPr>
          <w:rFonts w:ascii="Calibri" w:hAnsi="Calibri" w:cs="Calibri"/>
          <w:rtl/>
          <w:lang w:bidi="ar-SA"/>
        </w:rPr>
        <w:t>في المستقبل تدريجي</w:t>
      </w:r>
      <w:r w:rsidR="00D17DF0" w:rsidRPr="00334BCD">
        <w:rPr>
          <w:rFonts w:ascii="Calibri" w:hAnsi="Calibri" w:cs="Calibri"/>
          <w:rtl/>
          <w:lang w:bidi="ar-SA"/>
        </w:rPr>
        <w:t>اً</w:t>
      </w:r>
      <w:r w:rsidRPr="00334BCD">
        <w:rPr>
          <w:rFonts w:ascii="Calibri" w:hAnsi="Calibri" w:cs="Calibri"/>
          <w:rtl/>
          <w:lang w:bidi="ar-SA"/>
        </w:rPr>
        <w:t xml:space="preserve"> وحذر</w:t>
      </w:r>
      <w:r w:rsidR="00D17DF0" w:rsidRPr="00334BCD">
        <w:rPr>
          <w:rFonts w:ascii="Calibri" w:hAnsi="Calibri" w:cs="Calibri"/>
          <w:rtl/>
          <w:lang w:bidi="ar-SA"/>
        </w:rPr>
        <w:t>اً</w:t>
      </w:r>
      <w:r w:rsidRPr="00334BCD">
        <w:rPr>
          <w:rFonts w:ascii="Calibri" w:hAnsi="Calibri" w:cs="Calibri"/>
          <w:rtl/>
          <w:lang w:bidi="ar-SA"/>
        </w:rPr>
        <w:t xml:space="preserve">. </w:t>
      </w:r>
      <w:r w:rsidRPr="00334BCD">
        <w:rPr>
          <w:rFonts w:ascii="Calibri" w:hAnsi="Calibri" w:cs="Calibri"/>
          <w:rtl/>
          <w:lang w:bidi="ar-SA"/>
        </w:rPr>
        <w:lastRenderedPageBreak/>
        <w:t>سيكون من المهم للجنة</w:t>
      </w:r>
      <w:r w:rsidR="00182EBA" w:rsidRPr="00334BCD">
        <w:rPr>
          <w:rFonts w:ascii="Calibri" w:hAnsi="Calibri" w:cs="Calibri"/>
          <w:rtl/>
          <w:lang w:bidi="ar-SA"/>
        </w:rPr>
        <w:t xml:space="preserve"> بشكل خاص</w:t>
      </w:r>
      <w:r w:rsidRPr="00334BCD">
        <w:rPr>
          <w:rFonts w:ascii="Calibri" w:hAnsi="Calibri" w:cs="Calibri"/>
          <w:rtl/>
          <w:lang w:bidi="ar-SA"/>
        </w:rPr>
        <w:t xml:space="preserve"> دراسة آثار تخفيضات أسعار الفائدة التي تمّت حتى الآن على النشاط الاقتصادي و</w:t>
      </w:r>
      <w:r w:rsidR="00182EBA" w:rsidRPr="00334BCD">
        <w:rPr>
          <w:rFonts w:ascii="Calibri" w:hAnsi="Calibri" w:cs="Calibri"/>
          <w:rtl/>
          <w:lang w:bidi="ar-SA"/>
        </w:rPr>
        <w:t xml:space="preserve">على </w:t>
      </w:r>
      <w:r w:rsidRPr="00334BCD">
        <w:rPr>
          <w:rFonts w:ascii="Calibri" w:hAnsi="Calibri" w:cs="Calibri"/>
          <w:rtl/>
          <w:lang w:bidi="ar-SA"/>
        </w:rPr>
        <w:t>التضخم</w:t>
      </w:r>
      <w:r w:rsidR="00182EBA" w:rsidRPr="00334BCD">
        <w:rPr>
          <w:rFonts w:ascii="Calibri" w:hAnsi="Calibri" w:cs="Calibri"/>
          <w:rtl/>
          <w:lang w:bidi="ar-SA"/>
        </w:rPr>
        <w:t xml:space="preserve"> المالي</w:t>
      </w:r>
      <w:r w:rsidRPr="00334BCD">
        <w:rPr>
          <w:rFonts w:ascii="Calibri" w:hAnsi="Calibri" w:cs="Calibri"/>
          <w:rtl/>
          <w:lang w:bidi="ar-SA"/>
        </w:rPr>
        <w:t>، واستقرارها بالقرب من منتصف النطاق المستهدف.</w:t>
      </w:r>
    </w:p>
    <w:p w:rsidR="00164B76" w:rsidRPr="00334BCD" w:rsidRDefault="00A0366E" w:rsidP="00334BCD">
      <w:pPr>
        <w:bidi/>
        <w:spacing w:line="360" w:lineRule="auto"/>
        <w:rPr>
          <w:rFonts w:ascii="Calibri" w:hAnsi="Calibri" w:cs="Calibri"/>
          <w:highlight w:val="yellow"/>
          <w:rtl/>
          <w:lang w:bidi="ar-SA"/>
        </w:rPr>
      </w:pPr>
      <w:r w:rsidRPr="00334BCD">
        <w:rPr>
          <w:rFonts w:ascii="Calibri" w:hAnsi="Calibri" w:cs="Calibri"/>
          <w:rtl/>
          <w:lang w:bidi="ar-SA"/>
        </w:rPr>
        <w:t>شكر</w:t>
      </w:r>
      <w:r w:rsidR="00D17DF0" w:rsidRPr="00334BCD">
        <w:rPr>
          <w:rFonts w:ascii="Calibri" w:hAnsi="Calibri" w:cs="Calibri"/>
          <w:rtl/>
          <w:lang w:bidi="ar-SA"/>
        </w:rPr>
        <w:t>اً</w:t>
      </w:r>
      <w:r w:rsidRPr="00334BCD">
        <w:rPr>
          <w:rFonts w:ascii="Calibri" w:hAnsi="Calibri" w:cs="Calibri"/>
          <w:rtl/>
          <w:lang w:bidi="ar-SA"/>
        </w:rPr>
        <w:t xml:space="preserve"> جزيل</w:t>
      </w:r>
      <w:r w:rsidR="00D17DF0" w:rsidRPr="00334BCD">
        <w:rPr>
          <w:rFonts w:ascii="Calibri" w:hAnsi="Calibri" w:cs="Calibri"/>
          <w:rtl/>
          <w:lang w:bidi="ar-SA"/>
        </w:rPr>
        <w:t>اً</w:t>
      </w:r>
      <w:r w:rsidRPr="00334BCD">
        <w:rPr>
          <w:rFonts w:ascii="Calibri" w:hAnsi="Calibri" w:cs="Calibri"/>
          <w:rtl/>
          <w:lang w:bidi="ar-SA"/>
        </w:rPr>
        <w:t>.</w:t>
      </w:r>
    </w:p>
    <w:bookmarkEnd w:id="0"/>
    <w:p w:rsidR="003E7478" w:rsidRPr="00334BCD" w:rsidRDefault="003E7478" w:rsidP="005E28F6">
      <w:pPr>
        <w:bidi/>
        <w:spacing w:line="360" w:lineRule="auto"/>
        <w:jc w:val="both"/>
        <w:rPr>
          <w:rFonts w:ascii="Calibri" w:hAnsi="Calibri" w:cs="Calibri"/>
          <w:lang w:bidi="ar-SA"/>
        </w:rPr>
      </w:pPr>
    </w:p>
    <w:sectPr w:rsidR="003E7478" w:rsidRPr="00334BCD" w:rsidSect="00CC2499">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A0366E">
      <w:pPr>
        <w:spacing w:after="0" w:line="240" w:lineRule="auto"/>
      </w:pPr>
      <w:r>
        <w:separator/>
      </w:r>
    </w:p>
  </w:endnote>
  <w:endnote w:type="continuationSeparator" w:id="0">
    <w:p w:rsidR="00000000" w:rsidRDefault="00A036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ssistant">
    <w:panose1 w:val="00000500000000000000"/>
    <w:charset w:val="00"/>
    <w:family w:val="auto"/>
    <w:pitch w:val="variable"/>
    <w:sig w:usb0="00000807" w:usb1="40000000" w:usb2="00000000" w:usb3="00000000" w:csb0="0000002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B5" w:rsidRDefault="00F25BB5">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682" w:rsidRDefault="00A0366E" w:rsidP="00F20046">
    <w:pPr>
      <w:pStyle w:val="a7"/>
      <w:rPr>
        <w:rtl/>
      </w:rPr>
    </w:pPr>
    <w:r>
      <w:rPr>
        <w:noProof/>
      </w:rPr>
      <mc:AlternateContent>
        <mc:Choice Requires="wps">
          <w:drawing>
            <wp:anchor distT="0" distB="0" distL="114300" distR="114300" simplePos="0" relativeHeight="251663360" behindDoc="0" locked="0" layoutInCell="1" allowOverlap="1">
              <wp:simplePos x="0" y="0"/>
              <wp:positionH relativeFrom="margin">
                <wp:posOffset>1590675</wp:posOffset>
              </wp:positionH>
              <wp:positionV relativeFrom="paragraph">
                <wp:posOffset>111760</wp:posOffset>
              </wp:positionV>
              <wp:extent cx="2009775" cy="361950"/>
              <wp:effectExtent l="0" t="0" r="0" b="0"/>
              <wp:wrapNone/>
              <wp:docPr id="13" name="תיבת טקסט 13"/>
              <wp:cNvGraphicFramePr/>
              <a:graphic xmlns:a="http://schemas.openxmlformats.org/drawingml/2006/main">
                <a:graphicData uri="http://schemas.microsoft.com/office/word/2010/wordprocessingShape">
                  <wps:wsp>
                    <wps:cNvSpPr txBox="1"/>
                    <wps:spPr>
                      <a:xfrm>
                        <a:off x="0" y="0"/>
                        <a:ext cx="2009775" cy="361950"/>
                      </a:xfrm>
                      <a:prstGeom prst="rect">
                        <a:avLst/>
                      </a:prstGeom>
                      <a:noFill/>
                      <a:ln w="6350">
                        <a:noFill/>
                      </a:ln>
                    </wps:spPr>
                    <wps:txbx>
                      <w:txbxContent>
                        <w:p w:rsidR="00972198" w:rsidRPr="00031A9D" w:rsidRDefault="00A0366E" w:rsidP="00F25BB5">
                          <w:pPr>
                            <w:jc w:val="center"/>
                            <w:rPr>
                              <w:rFonts w:ascii="Calibri" w:hAnsi="Calibri" w:cs="Calibri"/>
                              <w:sz w:val="16"/>
                              <w:szCs w:val="16"/>
                              <w:rtl/>
                            </w:rPr>
                          </w:pPr>
                          <w:r w:rsidRPr="00031A9D">
                            <w:rPr>
                              <w:rFonts w:ascii="Calibri" w:hAnsi="Calibri" w:cs="Times New Roman"/>
                              <w:noProof/>
                              <w:sz w:val="16"/>
                              <w:szCs w:val="16"/>
                              <w:rtl/>
                            </w:rPr>
                            <w:t>פודקאסט  בנק ישראל</w:t>
                          </w:r>
                          <w:r w:rsidRPr="00031A9D">
                            <w:rPr>
                              <w:rFonts w:ascii="Calibri" w:hAnsi="Calibri" w:cs="Calibri"/>
                              <w:noProof/>
                              <w:sz w:val="16"/>
                              <w:szCs w:val="16"/>
                              <w:rtl/>
                            </w:rPr>
                            <w:br/>
                          </w:r>
                          <w:hyperlink r:id="rId1" w:history="1">
                            <w:r w:rsidR="00F25BB5" w:rsidRPr="00F25BB5">
                              <w:rPr>
                                <w:rStyle w:val="Hyperlink"/>
                                <w:rFonts w:ascii="Calibri" w:hAnsi="Calibri" w:cs="Calibri"/>
                                <w:sz w:val="14"/>
                                <w:szCs w:val="14"/>
                              </w:rPr>
                              <w:t>https://www.boi.org.il/bank-of-israel/boi-podcast/</w:t>
                            </w:r>
                          </w:hyperlink>
                          <w:r w:rsidR="00F25BB5">
                            <w:rPr>
                              <w:rFonts w:ascii="Calibri" w:hAnsi="Calibri" w:cs="Calibri"/>
                              <w:sz w:val="16"/>
                              <w:szCs w:val="16"/>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תיבת טקסט 13" o:spid="_x0000_s2049" type="#_x0000_t202" style="width:158.25pt;height:28.5pt;margin-top:8.8pt;margin-left:125.25pt;mso-height-percent:0;mso-height-relative:margin;mso-position-horizontal-relative:margin;mso-width-percent:0;mso-width-relative:margin;mso-wrap-distance-bottom:0;mso-wrap-distance-left:9pt;mso-wrap-distance-right:9pt;mso-wrap-distance-top:0;mso-wrap-style:square;position:absolute;v-text-anchor:top;visibility:visible;z-index:251664384" filled="f" stroked="f" strokeweight="0.5pt">
              <v:textbox>
                <w:txbxContent>
                  <w:p w:rsidR="00972198" w:rsidRPr="00031A9D" w:rsidP="00F25BB5" w14:paraId="7DCF7759" w14:textId="77777777">
                    <w:pPr>
                      <w:jc w:val="center"/>
                      <w:rPr>
                        <w:rFonts w:ascii="Calibri" w:hAnsi="Calibri" w:cs="Calibri"/>
                        <w:sz w:val="16"/>
                        <w:szCs w:val="16"/>
                        <w:rtl/>
                      </w:rPr>
                    </w:pPr>
                    <w:r w:rsidRPr="00031A9D">
                      <w:rPr>
                        <w:rFonts w:ascii="Calibri" w:hAnsi="Calibri" w:cs="Times New Roman"/>
                        <w:noProof/>
                        <w:sz w:val="16"/>
                        <w:szCs w:val="16"/>
                        <w:rtl/>
                      </w:rPr>
                      <w:t xml:space="preserve">פודקאסט </w:t>
                    </w:r>
                    <w:r w:rsidRPr="00031A9D">
                      <w:rPr>
                        <w:rFonts w:ascii="Calibri" w:hAnsi="Calibri" w:cs="Times New Roman"/>
                        <w:noProof/>
                        <w:sz w:val="16"/>
                        <w:szCs w:val="16"/>
                        <w:rtl/>
                      </w:rPr>
                      <w:t xml:space="preserve"> בנק ישראל</w:t>
                    </w:r>
                    <w:r w:rsidRPr="00031A9D">
                      <w:rPr>
                        <w:rFonts w:ascii="Calibri" w:hAnsi="Calibri" w:cs="Calibri"/>
                        <w:noProof/>
                        <w:sz w:val="16"/>
                        <w:szCs w:val="16"/>
                        <w:rtl/>
                      </w:rPr>
                      <w:br/>
                    </w:r>
                    <w:hyperlink r:id="rId2" w:history="1">
                      <w:r w:rsidRPr="00F25BB5" w:rsidR="00F25BB5">
                        <w:rPr>
                          <w:rStyle w:val="Hyperlink"/>
                          <w:rFonts w:ascii="Calibri" w:hAnsi="Calibri" w:cs="Calibri"/>
                          <w:sz w:val="14"/>
                          <w:szCs w:val="14"/>
                        </w:rPr>
                        <w:t>https://www.boi.org.il/bank-of-israel/boi-podcast/</w:t>
                      </w:r>
                    </w:hyperlink>
                    <w:r w:rsidR="00F25BB5">
                      <w:rPr>
                        <w:rFonts w:ascii="Calibri" w:hAnsi="Calibri" w:cs="Calibri"/>
                        <w:sz w:val="16"/>
                        <w:szCs w:val="16"/>
                      </w:rPr>
                      <w:t xml:space="preserve"> </w:t>
                    </w:r>
                  </w:p>
                </w:txbxContent>
              </v:textbox>
              <w10:wrap anchorx="margin"/>
            </v:shape>
          </w:pict>
        </mc:Fallback>
      </mc:AlternateContent>
    </w:r>
    <w:r w:rsidR="00C10172" w:rsidRPr="00571971">
      <w:rPr>
        <w:rFonts w:cs="Calibri"/>
        <w:noProof/>
        <w:rtl/>
      </w:rPr>
      <w:drawing>
        <wp:anchor distT="0" distB="0" distL="114300" distR="114300" simplePos="0" relativeHeight="251667456" behindDoc="0" locked="0" layoutInCell="1" allowOverlap="1">
          <wp:simplePos x="0" y="0"/>
          <wp:positionH relativeFrom="margin">
            <wp:posOffset>5628736</wp:posOffset>
          </wp:positionH>
          <wp:positionV relativeFrom="paragraph">
            <wp:posOffset>-161769</wp:posOffset>
          </wp:positionV>
          <wp:extent cx="310551" cy="310551"/>
          <wp:effectExtent l="0" t="0" r="0" b="0"/>
          <wp:wrapNone/>
          <wp:docPr id="8" name="תמונה 8" descr="\\ntfs-jr-01\sys\מחלקת תקשורת\דוברות\תפעול לשכת הדובר\כלים\לוגו\לוגו חדש 3 שפות 2018\לוגו בלי רקע.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descr="\\ntfs-jr-01\sys\מחלקת תקשורת\דוברות\תפעול לשכת הדובר\כלים\לוגו\לוגו חדש 3 שפות 2018\לוגו בלי רקע.png"/>
                  <pic:cNvPicPr>
                    <a:picLocks noChangeAspect="1" noChangeArrowheads="1"/>
                  </pic:cNvPicPr>
                </pic:nvPicPr>
                <pic:blipFill>
                  <a:blip r:embed="rId3" cstate="print">
                    <a:extLst>
                      <a:ext uri="{28A0092B-C50C-407E-A947-70E740481C1C}">
                        <a14:useLocalDpi xmlns:a14="http://schemas.microsoft.com/office/drawing/2010/main" val="0"/>
                      </a:ext>
                    </a:extLst>
                  </a:blip>
                  <a:stretch>
                    <a:fillRect/>
                  </a:stretch>
                </pic:blipFill>
                <pic:spPr bwMode="auto">
                  <a:xfrm>
                    <a:off x="0" y="0"/>
                    <a:ext cx="310739" cy="310739"/>
                  </a:xfrm>
                  <a:prstGeom prst="rect">
                    <a:avLst/>
                  </a:prstGeom>
                  <a:noFill/>
                  <a:ln>
                    <a:noFill/>
                  </a:ln>
                </pic:spPr>
              </pic:pic>
            </a:graphicData>
          </a:graphic>
          <wp14:sizeRelH relativeFrom="page">
            <wp14:pctWidth>0</wp14:pctWidth>
          </wp14:sizeRelH>
          <wp14:sizeRelV relativeFrom="page">
            <wp14:pctHeight>0</wp14:pctHeight>
          </wp14:sizeRelV>
        </wp:anchor>
      </w:drawing>
    </w:r>
    <w:r w:rsidR="00F20046">
      <w:rPr>
        <w:noProof/>
      </w:rPr>
      <w:drawing>
        <wp:anchor distT="0" distB="0" distL="114300" distR="114300" simplePos="0" relativeHeight="251662336" behindDoc="0" locked="0" layoutInCell="1" allowOverlap="1">
          <wp:simplePos x="0" y="0"/>
          <wp:positionH relativeFrom="column">
            <wp:posOffset>4231257</wp:posOffset>
          </wp:positionH>
          <wp:positionV relativeFrom="paragraph">
            <wp:posOffset>-127468</wp:posOffset>
          </wp:positionV>
          <wp:extent cx="241539" cy="241539"/>
          <wp:effectExtent l="0" t="0" r="6350" b="6350"/>
          <wp:wrapNone/>
          <wp:docPr id="10"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4" cstate="print">
                    <a:duotone>
                      <a:schemeClr val="accent5">
                        <a:shade val="45000"/>
                        <a:satMod val="135000"/>
                      </a:schemeClr>
                      <a:prstClr val="white"/>
                    </a:duotone>
                    <a:extLst>
                      <a:ext uri="{BEBA8EAE-BF5A-486C-A8C5-ECC9F3942E4B}">
                        <a14:imgProps xmlns:a14="http://schemas.microsoft.com/office/drawing/2010/main">
                          <a14:imgLayer>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243290" cy="243290"/>
                  </a:xfrm>
                  <a:prstGeom prst="rect">
                    <a:avLst/>
                  </a:prstGeom>
                </pic:spPr>
              </pic:pic>
            </a:graphicData>
          </a:graphic>
          <wp14:sizeRelH relativeFrom="page">
            <wp14:pctWidth>0</wp14:pctWidth>
          </wp14:sizeRelH>
          <wp14:sizeRelV relativeFrom="page">
            <wp14:pctHeight>0</wp14:pctHeight>
          </wp14:sizeRelV>
        </wp:anchor>
      </w:drawing>
    </w:r>
    <w:r w:rsidR="00F20046" w:rsidRPr="00F20046">
      <w:rPr>
        <w:rFonts w:cs="Calibri"/>
        <w:noProof/>
      </w:rPr>
      <w:drawing>
        <wp:anchor distT="0" distB="0" distL="114300" distR="114300" simplePos="0" relativeHeight="251668480" behindDoc="0" locked="0" layoutInCell="1" allowOverlap="1">
          <wp:simplePos x="0" y="0"/>
          <wp:positionH relativeFrom="column">
            <wp:posOffset>2411084</wp:posOffset>
          </wp:positionH>
          <wp:positionV relativeFrom="paragraph">
            <wp:posOffset>-135638</wp:posOffset>
          </wp:positionV>
          <wp:extent cx="266528" cy="262039"/>
          <wp:effectExtent l="0" t="0" r="635" b="5080"/>
          <wp:wrapNone/>
          <wp:docPr id="19"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תמונה 7"/>
                  <pic:cNvPicPr>
                    <a:picLocks noChangeAspect="1"/>
                  </pic:cNvPicPr>
                </pic:nvPicPr>
                <pic:blipFill>
                  <a:blip r:embed="rId5" cstate="print">
                    <a:duotone>
                      <a:schemeClr val="accent5">
                        <a:shade val="45000"/>
                        <a:satMod val="135000"/>
                      </a:schemeClr>
                      <a:prstClr val="white"/>
                    </a:duotone>
                    <a:extLst>
                      <a:ext uri="{BEBA8EAE-BF5A-486C-A8C5-ECC9F3942E4B}">
                        <a14:imgProps xmlns:a14="http://schemas.microsoft.com/office/drawing/2010/main">
                          <a14:imgLayer>
                            <a14:imgEffect>
                              <a14:backgroundRemoval t="889" b="99556" l="1747" r="98035"/>
                            </a14:imgEffect>
                          </a14:imgLayer>
                        </a14:imgProps>
                      </a:ext>
                      <a:ext uri="{28A0092B-C50C-407E-A947-70E740481C1C}">
                        <a14:useLocalDpi xmlns:a14="http://schemas.microsoft.com/office/drawing/2010/main" val="0"/>
                      </a:ext>
                    </a:extLst>
                  </a:blip>
                  <a:stretch>
                    <a:fillRect/>
                  </a:stretch>
                </pic:blipFill>
                <pic:spPr>
                  <a:xfrm>
                    <a:off x="0" y="0"/>
                    <a:ext cx="272039" cy="267457"/>
                  </a:xfrm>
                  <a:prstGeom prst="rect">
                    <a:avLst/>
                  </a:prstGeom>
                </pic:spPr>
              </pic:pic>
            </a:graphicData>
          </a:graphic>
          <wp14:sizeRelH relativeFrom="page">
            <wp14:pctWidth>0</wp14:pctWidth>
          </wp14:sizeRelH>
          <wp14:sizeRelV relativeFrom="page">
            <wp14:pctHeight>0</wp14:pctHeight>
          </wp14:sizeRelV>
        </wp:anchor>
      </w:drawing>
    </w:r>
    <w:r w:rsidR="00F20046" w:rsidRPr="00F20046">
      <w:rPr>
        <w:rFonts w:cs="Calibri"/>
        <w:noProof/>
      </w:rPr>
      <w:drawing>
        <wp:anchor distT="0" distB="0" distL="114300" distR="114300" simplePos="0" relativeHeight="251669504" behindDoc="0" locked="0" layoutInCell="1" allowOverlap="1">
          <wp:simplePos x="0" y="0"/>
          <wp:positionH relativeFrom="column">
            <wp:posOffset>565030</wp:posOffset>
          </wp:positionH>
          <wp:positionV relativeFrom="paragraph">
            <wp:posOffset>-118386</wp:posOffset>
          </wp:positionV>
          <wp:extent cx="329206" cy="241456"/>
          <wp:effectExtent l="0" t="0" r="0" b="6350"/>
          <wp:wrapNone/>
          <wp:docPr id="21"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תמונה 8"/>
                  <pic:cNvPicPr>
                    <a:picLocks noChangeAspect="1"/>
                  </pic:cNvPicPr>
                </pic:nvPicPr>
                <pic:blipFill>
                  <a:blip r:embed="rId6" cstate="print">
                    <a:duotone>
                      <a:schemeClr val="accent5">
                        <a:shade val="45000"/>
                        <a:satMod val="135000"/>
                      </a:schemeClr>
                      <a:prstClr val="white"/>
                    </a:duotone>
                    <a:extLst>
                      <a:ext uri="{BEBA8EAE-BF5A-486C-A8C5-ECC9F3942E4B}">
                        <a14:imgProps xmlns:a14="http://schemas.microsoft.com/office/drawing/2010/main">
                          <a14:imgLayer>
                            <a14:imgEffect>
                              <a14:backgroundRemoval t="0" b="100000" l="2765" r="98157"/>
                            </a14:imgEffect>
                          </a14:imgLayer>
                        </a14:imgProps>
                      </a:ext>
                      <a:ext uri="{28A0092B-C50C-407E-A947-70E740481C1C}">
                        <a14:useLocalDpi xmlns:a14="http://schemas.microsoft.com/office/drawing/2010/main" val="0"/>
                      </a:ext>
                    </a:extLst>
                  </a:blip>
                  <a:stretch>
                    <a:fillRect/>
                  </a:stretch>
                </pic:blipFill>
                <pic:spPr>
                  <a:xfrm>
                    <a:off x="0" y="0"/>
                    <a:ext cx="329206" cy="241456"/>
                  </a:xfrm>
                  <a:prstGeom prst="rect">
                    <a:avLst/>
                  </a:prstGeom>
                </pic:spPr>
              </pic:pic>
            </a:graphicData>
          </a:graphic>
          <wp14:sizeRelH relativeFrom="page">
            <wp14:pctWidth>0</wp14:pctWidth>
          </wp14:sizeRelH>
          <wp14:sizeRelV relativeFrom="page">
            <wp14:pctHeight>0</wp14:pctHeight>
          </wp14:sizeRelV>
        </wp:anchor>
      </w:drawing>
    </w:r>
    <w:r w:rsidR="00F20046">
      <w:rPr>
        <w:noProof/>
      </w:rPr>
      <mc:AlternateContent>
        <mc:Choice Requires="wps">
          <w:drawing>
            <wp:anchor distT="0" distB="0" distL="114300" distR="114300" simplePos="0" relativeHeight="251670528" behindDoc="0" locked="0" layoutInCell="1" allowOverlap="1">
              <wp:simplePos x="0" y="0"/>
              <wp:positionH relativeFrom="margin">
                <wp:posOffset>-292471</wp:posOffset>
              </wp:positionH>
              <wp:positionV relativeFrom="paragraph">
                <wp:posOffset>76200</wp:posOffset>
              </wp:positionV>
              <wp:extent cx="2130281" cy="621030"/>
              <wp:effectExtent l="0" t="0" r="0" b="7620"/>
              <wp:wrapNone/>
              <wp:docPr id="22" name="תיבת טקסט 22"/>
              <wp:cNvGraphicFramePr/>
              <a:graphic xmlns:a="http://schemas.openxmlformats.org/drawingml/2006/main">
                <a:graphicData uri="http://schemas.microsoft.com/office/word/2010/wordprocessingShape">
                  <wps:wsp>
                    <wps:cNvSpPr txBox="1"/>
                    <wps:spPr>
                      <a:xfrm>
                        <a:off x="0" y="0"/>
                        <a:ext cx="2130281" cy="621030"/>
                      </a:xfrm>
                      <a:prstGeom prst="rect">
                        <a:avLst/>
                      </a:prstGeom>
                      <a:noFill/>
                      <a:ln w="6350">
                        <a:noFill/>
                      </a:ln>
                    </wps:spPr>
                    <wps:txbx>
                      <w:txbxContent>
                        <w:p w:rsidR="00F20046" w:rsidRPr="00031A9D" w:rsidRDefault="00A0366E" w:rsidP="00031A9D">
                          <w:pPr>
                            <w:jc w:val="center"/>
                            <w:rPr>
                              <w:rFonts w:ascii="Calibri" w:hAnsi="Calibri" w:cs="Calibri"/>
                              <w:noProof/>
                              <w:sz w:val="16"/>
                              <w:szCs w:val="16"/>
                              <w:rtl/>
                            </w:rPr>
                          </w:pPr>
                          <w:r w:rsidRPr="00031A9D">
                            <w:rPr>
                              <w:rFonts w:ascii="Calibri" w:hAnsi="Calibri" w:cs="Times New Roman"/>
                              <w:noProof/>
                              <w:sz w:val="16"/>
                              <w:szCs w:val="16"/>
                              <w:rtl/>
                            </w:rPr>
                            <w:t xml:space="preserve">יוטיוב </w:t>
                          </w:r>
                          <w:r w:rsidRPr="00031A9D">
                            <w:rPr>
                              <w:rFonts w:ascii="Calibri" w:hAnsi="Calibri" w:cs="Calibri"/>
                              <w:noProof/>
                              <w:sz w:val="16"/>
                              <w:szCs w:val="16"/>
                              <w:rtl/>
                            </w:rPr>
                            <w:t>-</w:t>
                          </w:r>
                          <w:r w:rsidRPr="00031A9D">
                            <w:rPr>
                              <w:rFonts w:ascii="Calibri" w:hAnsi="Calibri" w:cs="Times New Roman"/>
                              <w:noProof/>
                              <w:sz w:val="16"/>
                              <w:szCs w:val="16"/>
                              <w:rtl/>
                            </w:rPr>
                            <w:t xml:space="preserve"> בנק ישראל</w:t>
                          </w:r>
                          <w:r w:rsidRPr="00031A9D">
                            <w:rPr>
                              <w:rFonts w:ascii="Calibri" w:hAnsi="Calibri" w:cs="Calibri"/>
                              <w:noProof/>
                              <w:sz w:val="16"/>
                              <w:szCs w:val="16"/>
                              <w:rtl/>
                            </w:rPr>
                            <w:br/>
                          </w:r>
                          <w:hyperlink r:id="rId7" w:history="1">
                            <w:r w:rsidRPr="00031A9D">
                              <w:rPr>
                                <w:rStyle w:val="Hyperlink"/>
                                <w:rFonts w:ascii="Calibri" w:hAnsi="Calibri" w:cs="Calibri"/>
                                <w:noProof/>
                                <w:sz w:val="14"/>
                                <w:szCs w:val="14"/>
                              </w:rPr>
                              <w:t>https://www.youtube.com/user/thebankofisrael</w:t>
                            </w:r>
                          </w:hyperlink>
                          <w:r w:rsidRPr="00031A9D">
                            <w:rPr>
                              <w:rFonts w:ascii="Calibri" w:hAnsi="Calibri" w:cs="Calibri"/>
                              <w:noProof/>
                              <w:sz w:val="16"/>
                              <w:szCs w:val="16"/>
                            </w:rPr>
                            <w:tab/>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cx5="http://schemas.microsoft.com/office/drawing/2016/5/11/chartex" xmlns:cx4="http://schemas.microsoft.com/office/drawing/2016/5/10/chartex" xmlns:cx3="http://schemas.microsoft.com/office/drawing/2016/5/9/chartex" xmlns:cx2="http://schemas.microsoft.com/office/drawing/2015/10/21/chartex">
          <w:pict>
            <v:shape id="תיבת טקסט 22" o:spid="_x0000_s2050" type="#_x0000_t202" style="width:167.75pt;height:48.9pt;margin-top:6pt;margin-left:-23.05pt;mso-height-percent:0;mso-height-relative:margin;mso-position-horizontal-relative:margin;mso-width-percent:0;mso-width-relative:margin;mso-wrap-distance-bottom:0;mso-wrap-distance-left:9pt;mso-wrap-distance-right:9pt;mso-wrap-distance-top:0;mso-wrap-style:square;position:absolute;v-text-anchor:top;visibility:visible;z-index:251671552" filled="f" stroked="f" strokeweight="0.5pt">
              <v:textbox>
                <w:txbxContent>
                  <w:p w:rsidR="00F20046" w:rsidRPr="00031A9D" w:rsidP="00031A9D" w14:paraId="17DCEA74" w14:textId="77777777">
                    <w:pPr>
                      <w:jc w:val="center"/>
                      <w:rPr>
                        <w:rFonts w:ascii="Calibri" w:hAnsi="Calibri" w:cs="Calibri"/>
                        <w:noProof/>
                        <w:sz w:val="16"/>
                        <w:szCs w:val="16"/>
                        <w:rtl/>
                      </w:rPr>
                    </w:pPr>
                    <w:r w:rsidRPr="00031A9D">
                      <w:rPr>
                        <w:rFonts w:ascii="Calibri" w:hAnsi="Calibri" w:cs="Times New Roman"/>
                        <w:noProof/>
                        <w:sz w:val="16"/>
                        <w:szCs w:val="16"/>
                        <w:rtl/>
                      </w:rPr>
                      <w:t xml:space="preserve">יוטיוב </w:t>
                    </w:r>
                    <w:r w:rsidRPr="00031A9D">
                      <w:rPr>
                        <w:rFonts w:ascii="Calibri" w:hAnsi="Calibri" w:cs="Calibri"/>
                        <w:noProof/>
                        <w:sz w:val="16"/>
                        <w:szCs w:val="16"/>
                        <w:rtl/>
                      </w:rPr>
                      <w:t>-</w:t>
                    </w:r>
                    <w:r w:rsidRPr="00031A9D">
                      <w:rPr>
                        <w:rFonts w:ascii="Calibri" w:hAnsi="Calibri" w:cs="Times New Roman"/>
                        <w:noProof/>
                        <w:sz w:val="16"/>
                        <w:szCs w:val="16"/>
                        <w:rtl/>
                      </w:rPr>
                      <w:t xml:space="preserve"> בנק י</w:t>
                    </w:r>
                    <w:r w:rsidRPr="00031A9D">
                      <w:rPr>
                        <w:rFonts w:ascii="Calibri" w:hAnsi="Calibri" w:cs="Times New Roman"/>
                        <w:noProof/>
                        <w:sz w:val="16"/>
                        <w:szCs w:val="16"/>
                        <w:rtl/>
                      </w:rPr>
                      <w:t>שראל</w:t>
                    </w:r>
                    <w:r w:rsidRPr="00031A9D">
                      <w:rPr>
                        <w:rFonts w:ascii="Calibri" w:hAnsi="Calibri" w:cs="Calibri"/>
                        <w:noProof/>
                        <w:sz w:val="16"/>
                        <w:szCs w:val="16"/>
                        <w:rtl/>
                      </w:rPr>
                      <w:br/>
                    </w:r>
                    <w:hyperlink r:id="rId11" w:history="1">
                      <w:r w:rsidRPr="00031A9D">
                        <w:rPr>
                          <w:rStyle w:val="Hyperlink"/>
                          <w:rFonts w:ascii="Calibri" w:hAnsi="Calibri" w:cs="Calibri"/>
                          <w:noProof/>
                          <w:sz w:val="14"/>
                          <w:szCs w:val="14"/>
                        </w:rPr>
                        <w:t>https://www.youtube.com/user/thebankofisrael</w:t>
                      </w:r>
                    </w:hyperlink>
                    <w:r w:rsidRPr="00031A9D">
                      <w:rPr>
                        <w:rFonts w:ascii="Calibri" w:hAnsi="Calibri" w:cs="Calibri"/>
                        <w:noProof/>
                        <w:sz w:val="16"/>
                        <w:szCs w:val="16"/>
                      </w:rPr>
                      <w:tab/>
                    </w:r>
                  </w:p>
                </w:txbxContent>
              </v:textbox>
              <w10:wrap anchorx="margin"/>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3257861</wp:posOffset>
              </wp:positionH>
              <wp:positionV relativeFrom="paragraph">
                <wp:posOffset>89750</wp:posOffset>
              </wp:positionV>
              <wp:extent cx="2181860" cy="457200"/>
              <wp:effectExtent l="0" t="0" r="0" b="0"/>
              <wp:wrapNone/>
              <wp:docPr id="9" name="תיבת טקסט 9"/>
              <wp:cNvGraphicFramePr/>
              <a:graphic xmlns:a="http://schemas.openxmlformats.org/drawingml/2006/main">
                <a:graphicData uri="http://schemas.microsoft.com/office/word/2010/wordprocessingShape">
                  <wps:wsp>
                    <wps:cNvSpPr txBox="1"/>
                    <wps:spPr>
                      <a:xfrm>
                        <a:off x="0" y="0"/>
                        <a:ext cx="2181860" cy="457200"/>
                      </a:xfrm>
                      <a:prstGeom prst="rect">
                        <a:avLst/>
                      </a:prstGeom>
                      <a:noFill/>
                      <a:ln w="6350">
                        <a:noFill/>
                      </a:ln>
                    </wps:spPr>
                    <wps:txbx>
                      <w:txbxContent>
                        <w:p w:rsidR="00571971" w:rsidRPr="00031A9D" w:rsidRDefault="00A0366E" w:rsidP="00031A9D">
                          <w:pPr>
                            <w:jc w:val="center"/>
                            <w:rPr>
                              <w:rFonts w:asciiTheme="minorHAnsi" w:hAnsiTheme="minorHAnsi" w:cstheme="minorHAnsi"/>
                              <w:sz w:val="14"/>
                              <w:szCs w:val="14"/>
                              <w:rtl/>
                            </w:rPr>
                          </w:pPr>
                          <w:r w:rsidRPr="00031A9D">
                            <w:rPr>
                              <w:rFonts w:asciiTheme="minorHAnsi" w:hAnsiTheme="minorHAnsi" w:cs="Times New Roman"/>
                              <w:noProof/>
                              <w:sz w:val="16"/>
                              <w:szCs w:val="16"/>
                              <w:rtl/>
                            </w:rPr>
                            <w:t xml:space="preserve">פייסבוק </w:t>
                          </w:r>
                          <w:r w:rsidRPr="00031A9D">
                            <w:rPr>
                              <w:rFonts w:asciiTheme="minorHAnsi" w:hAnsiTheme="minorHAnsi" w:cstheme="minorHAnsi"/>
                              <w:noProof/>
                              <w:sz w:val="16"/>
                              <w:szCs w:val="16"/>
                              <w:rtl/>
                            </w:rPr>
                            <w:t xml:space="preserve">- </w:t>
                          </w:r>
                          <w:r w:rsidRPr="00031A9D">
                            <w:rPr>
                              <w:rFonts w:asciiTheme="minorHAnsi" w:hAnsiTheme="minorHAnsi" w:cs="Times New Roman"/>
                              <w:noProof/>
                              <w:sz w:val="16"/>
                              <w:szCs w:val="16"/>
                              <w:rtl/>
                            </w:rPr>
                            <w:t>בנק ישראל</w:t>
                          </w:r>
                          <w:r w:rsidRPr="00031A9D">
                            <w:rPr>
                              <w:rFonts w:asciiTheme="minorHAnsi" w:hAnsiTheme="minorHAnsi" w:cstheme="minorHAnsi"/>
                              <w:sz w:val="16"/>
                              <w:szCs w:val="16"/>
                              <w:rtl/>
                            </w:rPr>
                            <w:br/>
                          </w:r>
                          <w:hyperlink r:id="rId12" w:history="1">
                            <w:r w:rsidRPr="00031A9D">
                              <w:rPr>
                                <w:rStyle w:val="Hyperlink"/>
                                <w:rFonts w:asciiTheme="minorHAnsi" w:hAnsiTheme="minorHAnsi" w:cstheme="minorHAnsi"/>
                                <w:sz w:val="14"/>
                                <w:szCs w:val="14"/>
                              </w:rPr>
                              <w:t>https://www.facebook.com/bankisraelvc</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anchor>
          </w:drawing>
        </mc:Choice>
        <mc:Fallback xmlns:w16cid="http://schemas.microsoft.com/office/word/2016/wordml/cid" xmlns:cx5="http://schemas.microsoft.com/office/drawing/2016/5/11/chartex" xmlns:cx4="http://schemas.microsoft.com/office/drawing/2016/5/10/chartex" xmlns:cx3="http://schemas.microsoft.com/office/drawing/2016/5/9/chartex" xmlns:cx2="http://schemas.microsoft.com/office/drawing/2015/10/21/chartex">
          <w:pict>
            <v:shape id="תיבת טקסט 9" o:spid="_x0000_s2051" type="#_x0000_t202" style="width:171.8pt;height:36pt;margin-top:7.05pt;margin-left:256.5pt;mso-width-percent:0;mso-width-relative:margin;mso-wrap-distance-bottom:0;mso-wrap-distance-left:9pt;mso-wrap-distance-right:9pt;mso-wrap-distance-top:0;mso-wrap-style:square;position:absolute;v-text-anchor:top;visibility:visible;z-index:251661312" filled="f" stroked="f" strokeweight="0.5pt">
              <v:textbox>
                <w:txbxContent>
                  <w:p w:rsidR="00571971" w:rsidRPr="00031A9D" w:rsidP="00031A9D" w14:paraId="593A64FD" w14:textId="77777777">
                    <w:pPr>
                      <w:jc w:val="center"/>
                      <w:rPr>
                        <w:rFonts w:asciiTheme="minorHAnsi" w:hAnsiTheme="minorHAnsi" w:cstheme="minorHAnsi"/>
                        <w:sz w:val="14"/>
                        <w:szCs w:val="14"/>
                        <w:rtl/>
                      </w:rPr>
                    </w:pPr>
                    <w:r w:rsidRPr="00031A9D">
                      <w:rPr>
                        <w:rFonts w:asciiTheme="minorHAnsi" w:hAnsiTheme="minorHAnsi" w:cs="Times New Roman"/>
                        <w:noProof/>
                        <w:sz w:val="16"/>
                        <w:szCs w:val="16"/>
                        <w:rtl/>
                      </w:rPr>
                      <w:t xml:space="preserve">פייסבוק </w:t>
                    </w:r>
                    <w:r w:rsidRPr="00031A9D">
                      <w:rPr>
                        <w:rFonts w:asciiTheme="minorHAnsi" w:hAnsiTheme="minorHAnsi" w:cstheme="minorHAnsi"/>
                        <w:noProof/>
                        <w:sz w:val="16"/>
                        <w:szCs w:val="16"/>
                        <w:rtl/>
                      </w:rPr>
                      <w:t xml:space="preserve">- </w:t>
                    </w:r>
                    <w:r w:rsidRPr="00031A9D">
                      <w:rPr>
                        <w:rFonts w:asciiTheme="minorHAnsi" w:hAnsiTheme="minorHAnsi" w:cs="Times New Roman"/>
                        <w:noProof/>
                        <w:sz w:val="16"/>
                        <w:szCs w:val="16"/>
                        <w:rtl/>
                      </w:rPr>
                      <w:t>בנק ישראל</w:t>
                    </w:r>
                    <w:r w:rsidRPr="00031A9D">
                      <w:rPr>
                        <w:rFonts w:asciiTheme="minorHAnsi" w:hAnsiTheme="minorHAnsi" w:cstheme="minorHAnsi"/>
                        <w:sz w:val="16"/>
                        <w:szCs w:val="16"/>
                        <w:rtl/>
                      </w:rPr>
                      <w:br/>
                    </w:r>
                    <w:hyperlink r:id="rId13" w:history="1">
                      <w:r w:rsidRPr="00031A9D">
                        <w:rPr>
                          <w:rStyle w:val="Hyperlink"/>
                          <w:rFonts w:asciiTheme="minorHAnsi" w:hAnsiTheme="minorHAnsi" w:cstheme="minorHAnsi"/>
                          <w:sz w:val="14"/>
                          <w:szCs w:val="14"/>
                        </w:rPr>
                        <w:t>https://www.facebook.com/bankisraelvc</w:t>
                      </w:r>
                    </w:hyperlink>
                  </w:p>
                </w:txbxContent>
              </v:textbox>
            </v:shape>
          </w:pict>
        </mc:Fallback>
      </mc:AlternateContent>
    </w:r>
    <w:r w:rsidR="00F20046">
      <w:rPr>
        <w:noProof/>
      </w:rPr>
      <mc:AlternateContent>
        <mc:Choice Requires="wps">
          <w:drawing>
            <wp:anchor distT="0" distB="0" distL="114300" distR="114300" simplePos="0" relativeHeight="251658240" behindDoc="0" locked="0" layoutInCell="1" allowOverlap="1">
              <wp:simplePos x="0" y="0"/>
              <wp:positionH relativeFrom="column">
                <wp:posOffset>5014583</wp:posOffset>
              </wp:positionH>
              <wp:positionV relativeFrom="paragraph">
                <wp:posOffset>89164</wp:posOffset>
              </wp:positionV>
              <wp:extent cx="1535430" cy="457200"/>
              <wp:effectExtent l="0" t="0" r="0" b="0"/>
              <wp:wrapNone/>
              <wp:docPr id="7" name="תיבת טקסט 7"/>
              <wp:cNvGraphicFramePr/>
              <a:graphic xmlns:a="http://schemas.openxmlformats.org/drawingml/2006/main">
                <a:graphicData uri="http://schemas.microsoft.com/office/word/2010/wordprocessingShape">
                  <wps:wsp>
                    <wps:cNvSpPr txBox="1"/>
                    <wps:spPr>
                      <a:xfrm>
                        <a:off x="0" y="0"/>
                        <a:ext cx="1535430" cy="457200"/>
                      </a:xfrm>
                      <a:prstGeom prst="rect">
                        <a:avLst/>
                      </a:prstGeom>
                      <a:noFill/>
                      <a:ln w="6350">
                        <a:noFill/>
                      </a:ln>
                    </wps:spPr>
                    <wps:txbx>
                      <w:txbxContent>
                        <w:p w:rsidR="00571971" w:rsidRPr="00031A9D" w:rsidRDefault="00A0366E" w:rsidP="00F20046">
                          <w:pPr>
                            <w:jc w:val="center"/>
                            <w:rPr>
                              <w:rFonts w:ascii="Calibri" w:hAnsi="Calibri" w:cs="Calibri"/>
                              <w:sz w:val="14"/>
                              <w:szCs w:val="14"/>
                              <w:rtl/>
                            </w:rPr>
                          </w:pPr>
                          <w:r w:rsidRPr="00031A9D">
                            <w:rPr>
                              <w:rFonts w:ascii="Assistant" w:hAnsi="Assistant" w:cs="Assistant"/>
                              <w:noProof/>
                              <w:sz w:val="14"/>
                              <w:szCs w:val="14"/>
                              <w:rtl/>
                            </w:rPr>
                            <w:t xml:space="preserve">אתר בנק ישראל </w:t>
                          </w:r>
                          <w:hyperlink r:id="rId14" w:history="1">
                            <w:r w:rsidRPr="00031A9D">
                              <w:rPr>
                                <w:rStyle w:val="Hyperlink"/>
                                <w:rFonts w:ascii="Calibri" w:hAnsi="Calibri" w:cs="Calibri"/>
                                <w:sz w:val="14"/>
                                <w:szCs w:val="14"/>
                              </w:rPr>
                              <w:t>https://www.boi.org.il</w:t>
                            </w:r>
                            <w:r w:rsidRPr="00031A9D">
                              <w:rPr>
                                <w:rStyle w:val="Hyperlink"/>
                                <w:rFonts w:ascii="Calibri" w:hAnsi="Calibri" w:cs="Calibri"/>
                                <w:sz w:val="14"/>
                                <w:szCs w:val="14"/>
                                <w:rtl/>
                              </w:rPr>
                              <w:t>/</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anchor>
          </w:drawing>
        </mc:Choice>
        <mc:Fallback xmlns:w16cid="http://schemas.microsoft.com/office/word/2016/wordml/cid" xmlns:cx5="http://schemas.microsoft.com/office/drawing/2016/5/11/chartex" xmlns:cx4="http://schemas.microsoft.com/office/drawing/2016/5/10/chartex" xmlns:cx3="http://schemas.microsoft.com/office/drawing/2016/5/9/chartex" xmlns:cx2="http://schemas.microsoft.com/office/drawing/2015/10/21/chartex">
          <w:pict>
            <v:shape id="תיבת טקסט 7" o:spid="_x0000_s2052" type="#_x0000_t202" style="width:120.9pt;height:36pt;margin-top:7pt;margin-left:394.85pt;mso-width-percent:0;mso-width-relative:margin;mso-wrap-distance-bottom:0;mso-wrap-distance-left:9pt;mso-wrap-distance-right:9pt;mso-wrap-distance-top:0;mso-wrap-style:square;position:absolute;v-text-anchor:top;visibility:visible;z-index:251659264" filled="f" stroked="f" strokeweight="0.5pt">
              <v:textbox>
                <w:txbxContent>
                  <w:p w:rsidR="00571971" w:rsidRPr="00031A9D" w:rsidP="00F20046" w14:paraId="4EF932BD" w14:textId="77777777">
                    <w:pPr>
                      <w:jc w:val="center"/>
                      <w:rPr>
                        <w:rFonts w:ascii="Calibri" w:hAnsi="Calibri" w:cs="Calibri"/>
                        <w:sz w:val="14"/>
                        <w:szCs w:val="14"/>
                        <w:rtl/>
                      </w:rPr>
                    </w:pPr>
                    <w:r w:rsidRPr="00031A9D">
                      <w:rPr>
                        <w:rFonts w:ascii="Assistant" w:hAnsi="Assistant" w:cs="Assistant"/>
                        <w:noProof/>
                        <w:sz w:val="14"/>
                        <w:szCs w:val="14"/>
                        <w:rtl/>
                      </w:rPr>
                      <w:t xml:space="preserve">אתר בנק ישראל </w:t>
                    </w:r>
                    <w:hyperlink r:id="rId15" w:history="1">
                      <w:r w:rsidRPr="00031A9D">
                        <w:rPr>
                          <w:rStyle w:val="Hyperlink"/>
                          <w:rFonts w:ascii="Calibri" w:hAnsi="Calibri" w:cs="Calibri"/>
                          <w:sz w:val="14"/>
                          <w:szCs w:val="14"/>
                        </w:rPr>
                        <w:t>https://www.boi.org.il</w:t>
                      </w:r>
                      <w:r w:rsidRPr="00031A9D">
                        <w:rPr>
                          <w:rStyle w:val="Hyperlink"/>
                          <w:rFonts w:ascii="Calibri" w:hAnsi="Calibri" w:cs="Calibri"/>
                          <w:sz w:val="14"/>
                          <w:szCs w:val="14"/>
                          <w:rtl/>
                        </w:rPr>
                        <w:t>/</w:t>
                      </w:r>
                    </w:hyperlink>
                  </w:p>
                </w:txbxContent>
              </v:textbox>
            </v:shape>
          </w:pict>
        </mc:Fallback>
      </mc:AlternateContent>
    </w:r>
    <w:r w:rsidR="00B677DC">
      <w:rPr>
        <w:noProof/>
      </w:rPr>
      <mc:AlternateContent>
        <mc:Choice Requires="wps">
          <w:drawing>
            <wp:anchor distT="0" distB="0" distL="114300" distR="114300" simplePos="0" relativeHeight="251665408" behindDoc="0" locked="0" layoutInCell="1" allowOverlap="1">
              <wp:simplePos x="0" y="0"/>
              <wp:positionH relativeFrom="column">
                <wp:posOffset>-81915</wp:posOffset>
              </wp:positionH>
              <wp:positionV relativeFrom="paragraph">
                <wp:posOffset>-223149</wp:posOffset>
              </wp:positionV>
              <wp:extent cx="6228080" cy="0"/>
              <wp:effectExtent l="0" t="0" r="20320" b="19050"/>
              <wp:wrapNone/>
              <wp:docPr id="15" name="מחבר ישר 15"/>
              <wp:cNvGraphicFramePr/>
              <a:graphic xmlns:a="http://schemas.openxmlformats.org/drawingml/2006/main">
                <a:graphicData uri="http://schemas.microsoft.com/office/word/2010/wordprocessingShape">
                  <wps:wsp>
                    <wps:cNvCnPr/>
                    <wps:spPr>
                      <a:xfrm flipH="1">
                        <a:off x="0" y="0"/>
                        <a:ext cx="6228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id="http://schemas.microsoft.com/office/word/2016/wordml/cid" xmlns:cx5="http://schemas.microsoft.com/office/drawing/2016/5/11/chartex" xmlns:cx4="http://schemas.microsoft.com/office/drawing/2016/5/10/chartex" xmlns:cx3="http://schemas.microsoft.com/office/drawing/2016/5/9/chartex" xmlns:cx2="http://schemas.microsoft.com/office/drawing/2015/10/21/chartex">
          <w:pict>
            <v:line id="מחבר ישר 15" o:spid="_x0000_s2053" style="flip:x;mso-wrap-distance-bottom:0;mso-wrap-distance-left:9pt;mso-wrap-distance-right:9pt;mso-wrap-distance-top:0;mso-wrap-style:square;position:absolute;visibility:visible;z-index:251666432" from="-6.45pt,-17.55pt" to="483.95pt,-17.55pt" strokecolor="black"/>
          </w:pict>
        </mc:Fallback>
      </mc:AlternateContent>
    </w:r>
    <w:r w:rsidR="00972198" w:rsidRPr="00571971">
      <w:rPr>
        <w:rFonts w:cs="Calibri"/>
        <w:noProof/>
        <w:rt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B5" w:rsidRDefault="00F25BB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A0366E">
      <w:pPr>
        <w:spacing w:after="0" w:line="240" w:lineRule="auto"/>
      </w:pPr>
      <w:r>
        <w:separator/>
      </w:r>
    </w:p>
  </w:footnote>
  <w:footnote w:type="continuationSeparator" w:id="0">
    <w:p w:rsidR="00000000" w:rsidRDefault="00A036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B5" w:rsidRDefault="00F25BB5">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B5" w:rsidRDefault="00F25BB5">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B5" w:rsidRDefault="00F25BB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C6049"/>
    <w:multiLevelType w:val="hybridMultilevel"/>
    <w:tmpl w:val="3A4AADEA"/>
    <w:lvl w:ilvl="0" w:tplc="F940C3EA">
      <w:numFmt w:val="bullet"/>
      <w:lvlText w:val=""/>
      <w:lvlJc w:val="left"/>
      <w:pPr>
        <w:ind w:left="720" w:hanging="360"/>
      </w:pPr>
      <w:rPr>
        <w:rFonts w:ascii="Symbol" w:eastAsia="David" w:hAnsi="Symbol" w:cstheme="minorHAnsi" w:hint="default"/>
      </w:rPr>
    </w:lvl>
    <w:lvl w:ilvl="1" w:tplc="8F588BAA" w:tentative="1">
      <w:start w:val="1"/>
      <w:numFmt w:val="bullet"/>
      <w:lvlText w:val="o"/>
      <w:lvlJc w:val="left"/>
      <w:pPr>
        <w:ind w:left="1440" w:hanging="360"/>
      </w:pPr>
      <w:rPr>
        <w:rFonts w:ascii="Courier New" w:hAnsi="Courier New" w:cs="Courier New" w:hint="default"/>
      </w:rPr>
    </w:lvl>
    <w:lvl w:ilvl="2" w:tplc="73CA9A0E" w:tentative="1">
      <w:start w:val="1"/>
      <w:numFmt w:val="bullet"/>
      <w:lvlText w:val=""/>
      <w:lvlJc w:val="left"/>
      <w:pPr>
        <w:ind w:left="2160" w:hanging="360"/>
      </w:pPr>
      <w:rPr>
        <w:rFonts w:ascii="Wingdings" w:hAnsi="Wingdings" w:hint="default"/>
      </w:rPr>
    </w:lvl>
    <w:lvl w:ilvl="3" w:tplc="89027CD0" w:tentative="1">
      <w:start w:val="1"/>
      <w:numFmt w:val="bullet"/>
      <w:lvlText w:val=""/>
      <w:lvlJc w:val="left"/>
      <w:pPr>
        <w:ind w:left="2880" w:hanging="360"/>
      </w:pPr>
      <w:rPr>
        <w:rFonts w:ascii="Symbol" w:hAnsi="Symbol" w:hint="default"/>
      </w:rPr>
    </w:lvl>
    <w:lvl w:ilvl="4" w:tplc="AE8E2CBA" w:tentative="1">
      <w:start w:val="1"/>
      <w:numFmt w:val="bullet"/>
      <w:lvlText w:val="o"/>
      <w:lvlJc w:val="left"/>
      <w:pPr>
        <w:ind w:left="3600" w:hanging="360"/>
      </w:pPr>
      <w:rPr>
        <w:rFonts w:ascii="Courier New" w:hAnsi="Courier New" w:cs="Courier New" w:hint="default"/>
      </w:rPr>
    </w:lvl>
    <w:lvl w:ilvl="5" w:tplc="6024BE78" w:tentative="1">
      <w:start w:val="1"/>
      <w:numFmt w:val="bullet"/>
      <w:lvlText w:val=""/>
      <w:lvlJc w:val="left"/>
      <w:pPr>
        <w:ind w:left="4320" w:hanging="360"/>
      </w:pPr>
      <w:rPr>
        <w:rFonts w:ascii="Wingdings" w:hAnsi="Wingdings" w:hint="default"/>
      </w:rPr>
    </w:lvl>
    <w:lvl w:ilvl="6" w:tplc="93EA0788" w:tentative="1">
      <w:start w:val="1"/>
      <w:numFmt w:val="bullet"/>
      <w:lvlText w:val=""/>
      <w:lvlJc w:val="left"/>
      <w:pPr>
        <w:ind w:left="5040" w:hanging="360"/>
      </w:pPr>
      <w:rPr>
        <w:rFonts w:ascii="Symbol" w:hAnsi="Symbol" w:hint="default"/>
      </w:rPr>
    </w:lvl>
    <w:lvl w:ilvl="7" w:tplc="5866C668" w:tentative="1">
      <w:start w:val="1"/>
      <w:numFmt w:val="bullet"/>
      <w:lvlText w:val="o"/>
      <w:lvlJc w:val="left"/>
      <w:pPr>
        <w:ind w:left="5760" w:hanging="360"/>
      </w:pPr>
      <w:rPr>
        <w:rFonts w:ascii="Courier New" w:hAnsi="Courier New" w:cs="Courier New" w:hint="default"/>
      </w:rPr>
    </w:lvl>
    <w:lvl w:ilvl="8" w:tplc="2662F11C" w:tentative="1">
      <w:start w:val="1"/>
      <w:numFmt w:val="bullet"/>
      <w:lvlText w:val=""/>
      <w:lvlJc w:val="left"/>
      <w:pPr>
        <w:ind w:left="6480" w:hanging="360"/>
      </w:pPr>
      <w:rPr>
        <w:rFonts w:ascii="Wingdings" w:hAnsi="Wingdings" w:hint="default"/>
      </w:rPr>
    </w:lvl>
  </w:abstractNum>
  <w:abstractNum w:abstractNumId="1" w15:restartNumberingAfterBreak="0">
    <w:nsid w:val="301D0147"/>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0654D7F"/>
    <w:multiLevelType w:val="hybridMultilevel"/>
    <w:tmpl w:val="7ECE0DC4"/>
    <w:lvl w:ilvl="0" w:tplc="B22A6B6C">
      <w:start w:val="1"/>
      <w:numFmt w:val="bullet"/>
      <w:lvlText w:val=""/>
      <w:lvlJc w:val="left"/>
      <w:pPr>
        <w:ind w:left="1513" w:hanging="360"/>
      </w:pPr>
      <w:rPr>
        <w:rFonts w:ascii="Symbol" w:hAnsi="Symbol" w:hint="default"/>
      </w:rPr>
    </w:lvl>
    <w:lvl w:ilvl="1" w:tplc="7AE42402" w:tentative="1">
      <w:start w:val="1"/>
      <w:numFmt w:val="bullet"/>
      <w:lvlText w:val="o"/>
      <w:lvlJc w:val="left"/>
      <w:pPr>
        <w:ind w:left="2233" w:hanging="360"/>
      </w:pPr>
      <w:rPr>
        <w:rFonts w:ascii="Courier New" w:hAnsi="Courier New" w:cs="Courier New" w:hint="default"/>
      </w:rPr>
    </w:lvl>
    <w:lvl w:ilvl="2" w:tplc="AF48E078" w:tentative="1">
      <w:start w:val="1"/>
      <w:numFmt w:val="bullet"/>
      <w:lvlText w:val=""/>
      <w:lvlJc w:val="left"/>
      <w:pPr>
        <w:ind w:left="2953" w:hanging="360"/>
      </w:pPr>
      <w:rPr>
        <w:rFonts w:ascii="Wingdings" w:hAnsi="Wingdings" w:hint="default"/>
      </w:rPr>
    </w:lvl>
    <w:lvl w:ilvl="3" w:tplc="E8CEC7AE" w:tentative="1">
      <w:start w:val="1"/>
      <w:numFmt w:val="bullet"/>
      <w:lvlText w:val=""/>
      <w:lvlJc w:val="left"/>
      <w:pPr>
        <w:ind w:left="3673" w:hanging="360"/>
      </w:pPr>
      <w:rPr>
        <w:rFonts w:ascii="Symbol" w:hAnsi="Symbol" w:hint="default"/>
      </w:rPr>
    </w:lvl>
    <w:lvl w:ilvl="4" w:tplc="19B484D0" w:tentative="1">
      <w:start w:val="1"/>
      <w:numFmt w:val="bullet"/>
      <w:lvlText w:val="o"/>
      <w:lvlJc w:val="left"/>
      <w:pPr>
        <w:ind w:left="4393" w:hanging="360"/>
      </w:pPr>
      <w:rPr>
        <w:rFonts w:ascii="Courier New" w:hAnsi="Courier New" w:cs="Courier New" w:hint="default"/>
      </w:rPr>
    </w:lvl>
    <w:lvl w:ilvl="5" w:tplc="7DB2A930" w:tentative="1">
      <w:start w:val="1"/>
      <w:numFmt w:val="bullet"/>
      <w:lvlText w:val=""/>
      <w:lvlJc w:val="left"/>
      <w:pPr>
        <w:ind w:left="5113" w:hanging="360"/>
      </w:pPr>
      <w:rPr>
        <w:rFonts w:ascii="Wingdings" w:hAnsi="Wingdings" w:hint="default"/>
      </w:rPr>
    </w:lvl>
    <w:lvl w:ilvl="6" w:tplc="2D4C0E44" w:tentative="1">
      <w:start w:val="1"/>
      <w:numFmt w:val="bullet"/>
      <w:lvlText w:val=""/>
      <w:lvlJc w:val="left"/>
      <w:pPr>
        <w:ind w:left="5833" w:hanging="360"/>
      </w:pPr>
      <w:rPr>
        <w:rFonts w:ascii="Symbol" w:hAnsi="Symbol" w:hint="default"/>
      </w:rPr>
    </w:lvl>
    <w:lvl w:ilvl="7" w:tplc="CCA8E728" w:tentative="1">
      <w:start w:val="1"/>
      <w:numFmt w:val="bullet"/>
      <w:lvlText w:val="o"/>
      <w:lvlJc w:val="left"/>
      <w:pPr>
        <w:ind w:left="6553" w:hanging="360"/>
      </w:pPr>
      <w:rPr>
        <w:rFonts w:ascii="Courier New" w:hAnsi="Courier New" w:cs="Courier New" w:hint="default"/>
      </w:rPr>
    </w:lvl>
    <w:lvl w:ilvl="8" w:tplc="75E8C1EA" w:tentative="1">
      <w:start w:val="1"/>
      <w:numFmt w:val="bullet"/>
      <w:lvlText w:val=""/>
      <w:lvlJc w:val="left"/>
      <w:pPr>
        <w:ind w:left="7273" w:hanging="360"/>
      </w:pPr>
      <w:rPr>
        <w:rFonts w:ascii="Wingdings" w:hAnsi="Wingdings" w:hint="default"/>
      </w:rPr>
    </w:lvl>
  </w:abstractNum>
  <w:abstractNum w:abstractNumId="3" w15:restartNumberingAfterBreak="0">
    <w:nsid w:val="52210C5A"/>
    <w:multiLevelType w:val="hybridMultilevel"/>
    <w:tmpl w:val="1F0214CA"/>
    <w:lvl w:ilvl="0" w:tplc="C5109D92">
      <w:numFmt w:val="bullet"/>
      <w:lvlText w:val=""/>
      <w:lvlJc w:val="left"/>
      <w:pPr>
        <w:ind w:left="668" w:hanging="360"/>
      </w:pPr>
      <w:rPr>
        <w:rFonts w:ascii="Symbol" w:eastAsiaTheme="minorHAnsi" w:hAnsi="Symbol" w:cs="Assistant" w:hint="default"/>
      </w:rPr>
    </w:lvl>
    <w:lvl w:ilvl="1" w:tplc="58C4B2A0">
      <w:start w:val="1"/>
      <w:numFmt w:val="bullet"/>
      <w:lvlText w:val="o"/>
      <w:lvlJc w:val="left"/>
      <w:pPr>
        <w:ind w:left="1388" w:hanging="360"/>
      </w:pPr>
      <w:rPr>
        <w:rFonts w:ascii="Courier New" w:hAnsi="Courier New" w:cs="Courier New" w:hint="default"/>
      </w:rPr>
    </w:lvl>
    <w:lvl w:ilvl="2" w:tplc="446A113A" w:tentative="1">
      <w:start w:val="1"/>
      <w:numFmt w:val="bullet"/>
      <w:lvlText w:val=""/>
      <w:lvlJc w:val="left"/>
      <w:pPr>
        <w:ind w:left="2108" w:hanging="360"/>
      </w:pPr>
      <w:rPr>
        <w:rFonts w:ascii="Wingdings" w:hAnsi="Wingdings" w:hint="default"/>
      </w:rPr>
    </w:lvl>
    <w:lvl w:ilvl="3" w:tplc="4B183126" w:tentative="1">
      <w:start w:val="1"/>
      <w:numFmt w:val="bullet"/>
      <w:lvlText w:val=""/>
      <w:lvlJc w:val="left"/>
      <w:pPr>
        <w:ind w:left="2828" w:hanging="360"/>
      </w:pPr>
      <w:rPr>
        <w:rFonts w:ascii="Symbol" w:hAnsi="Symbol" w:hint="default"/>
      </w:rPr>
    </w:lvl>
    <w:lvl w:ilvl="4" w:tplc="C3F07D06" w:tentative="1">
      <w:start w:val="1"/>
      <w:numFmt w:val="bullet"/>
      <w:lvlText w:val="o"/>
      <w:lvlJc w:val="left"/>
      <w:pPr>
        <w:ind w:left="3548" w:hanging="360"/>
      </w:pPr>
      <w:rPr>
        <w:rFonts w:ascii="Courier New" w:hAnsi="Courier New" w:cs="Courier New" w:hint="default"/>
      </w:rPr>
    </w:lvl>
    <w:lvl w:ilvl="5" w:tplc="CEAE8D04" w:tentative="1">
      <w:start w:val="1"/>
      <w:numFmt w:val="bullet"/>
      <w:lvlText w:val=""/>
      <w:lvlJc w:val="left"/>
      <w:pPr>
        <w:ind w:left="4268" w:hanging="360"/>
      </w:pPr>
      <w:rPr>
        <w:rFonts w:ascii="Wingdings" w:hAnsi="Wingdings" w:hint="default"/>
      </w:rPr>
    </w:lvl>
    <w:lvl w:ilvl="6" w:tplc="58A418C0" w:tentative="1">
      <w:start w:val="1"/>
      <w:numFmt w:val="bullet"/>
      <w:lvlText w:val=""/>
      <w:lvlJc w:val="left"/>
      <w:pPr>
        <w:ind w:left="4988" w:hanging="360"/>
      </w:pPr>
      <w:rPr>
        <w:rFonts w:ascii="Symbol" w:hAnsi="Symbol" w:hint="default"/>
      </w:rPr>
    </w:lvl>
    <w:lvl w:ilvl="7" w:tplc="F524099A" w:tentative="1">
      <w:start w:val="1"/>
      <w:numFmt w:val="bullet"/>
      <w:lvlText w:val="o"/>
      <w:lvlJc w:val="left"/>
      <w:pPr>
        <w:ind w:left="5708" w:hanging="360"/>
      </w:pPr>
      <w:rPr>
        <w:rFonts w:ascii="Courier New" w:hAnsi="Courier New" w:cs="Courier New" w:hint="default"/>
      </w:rPr>
    </w:lvl>
    <w:lvl w:ilvl="8" w:tplc="9948FC3E" w:tentative="1">
      <w:start w:val="1"/>
      <w:numFmt w:val="bullet"/>
      <w:lvlText w:val=""/>
      <w:lvlJc w:val="left"/>
      <w:pPr>
        <w:ind w:left="6428" w:hanging="360"/>
      </w:pPr>
      <w:rPr>
        <w:rFonts w:ascii="Wingdings" w:hAnsi="Wingdings" w:hint="default"/>
      </w:rPr>
    </w:lvl>
  </w:abstractNum>
  <w:abstractNum w:abstractNumId="4" w15:restartNumberingAfterBreak="0">
    <w:nsid w:val="577F64B2"/>
    <w:multiLevelType w:val="hybridMultilevel"/>
    <w:tmpl w:val="A3EC1298"/>
    <w:lvl w:ilvl="0" w:tplc="FA48375E">
      <w:start w:val="1"/>
      <w:numFmt w:val="bullet"/>
      <w:lvlText w:val=""/>
      <w:lvlJc w:val="left"/>
      <w:pPr>
        <w:ind w:left="720" w:hanging="360"/>
      </w:pPr>
      <w:rPr>
        <w:rFonts w:ascii="Symbol" w:hAnsi="Symbol" w:hint="default"/>
      </w:rPr>
    </w:lvl>
    <w:lvl w:ilvl="1" w:tplc="7D62BA60" w:tentative="1">
      <w:start w:val="1"/>
      <w:numFmt w:val="bullet"/>
      <w:lvlText w:val="o"/>
      <w:lvlJc w:val="left"/>
      <w:pPr>
        <w:ind w:left="1440" w:hanging="360"/>
      </w:pPr>
      <w:rPr>
        <w:rFonts w:ascii="Courier New" w:hAnsi="Courier New" w:cs="Courier New" w:hint="default"/>
      </w:rPr>
    </w:lvl>
    <w:lvl w:ilvl="2" w:tplc="65FABD48" w:tentative="1">
      <w:start w:val="1"/>
      <w:numFmt w:val="bullet"/>
      <w:lvlText w:val=""/>
      <w:lvlJc w:val="left"/>
      <w:pPr>
        <w:ind w:left="2160" w:hanging="360"/>
      </w:pPr>
      <w:rPr>
        <w:rFonts w:ascii="Wingdings" w:hAnsi="Wingdings" w:hint="default"/>
      </w:rPr>
    </w:lvl>
    <w:lvl w:ilvl="3" w:tplc="1C683CD2" w:tentative="1">
      <w:start w:val="1"/>
      <w:numFmt w:val="bullet"/>
      <w:lvlText w:val=""/>
      <w:lvlJc w:val="left"/>
      <w:pPr>
        <w:ind w:left="2880" w:hanging="360"/>
      </w:pPr>
      <w:rPr>
        <w:rFonts w:ascii="Symbol" w:hAnsi="Symbol" w:hint="default"/>
      </w:rPr>
    </w:lvl>
    <w:lvl w:ilvl="4" w:tplc="D014423A" w:tentative="1">
      <w:start w:val="1"/>
      <w:numFmt w:val="bullet"/>
      <w:lvlText w:val="o"/>
      <w:lvlJc w:val="left"/>
      <w:pPr>
        <w:ind w:left="3600" w:hanging="360"/>
      </w:pPr>
      <w:rPr>
        <w:rFonts w:ascii="Courier New" w:hAnsi="Courier New" w:cs="Courier New" w:hint="default"/>
      </w:rPr>
    </w:lvl>
    <w:lvl w:ilvl="5" w:tplc="FB0ECE9C" w:tentative="1">
      <w:start w:val="1"/>
      <w:numFmt w:val="bullet"/>
      <w:lvlText w:val=""/>
      <w:lvlJc w:val="left"/>
      <w:pPr>
        <w:ind w:left="4320" w:hanging="360"/>
      </w:pPr>
      <w:rPr>
        <w:rFonts w:ascii="Wingdings" w:hAnsi="Wingdings" w:hint="default"/>
      </w:rPr>
    </w:lvl>
    <w:lvl w:ilvl="6" w:tplc="E612CC18" w:tentative="1">
      <w:start w:val="1"/>
      <w:numFmt w:val="bullet"/>
      <w:lvlText w:val=""/>
      <w:lvlJc w:val="left"/>
      <w:pPr>
        <w:ind w:left="5040" w:hanging="360"/>
      </w:pPr>
      <w:rPr>
        <w:rFonts w:ascii="Symbol" w:hAnsi="Symbol" w:hint="default"/>
      </w:rPr>
    </w:lvl>
    <w:lvl w:ilvl="7" w:tplc="553E80E4" w:tentative="1">
      <w:start w:val="1"/>
      <w:numFmt w:val="bullet"/>
      <w:lvlText w:val="o"/>
      <w:lvlJc w:val="left"/>
      <w:pPr>
        <w:ind w:left="5760" w:hanging="360"/>
      </w:pPr>
      <w:rPr>
        <w:rFonts w:ascii="Courier New" w:hAnsi="Courier New" w:cs="Courier New" w:hint="default"/>
      </w:rPr>
    </w:lvl>
    <w:lvl w:ilvl="8" w:tplc="4C6E6BB2" w:tentative="1">
      <w:start w:val="1"/>
      <w:numFmt w:val="bullet"/>
      <w:lvlText w:val=""/>
      <w:lvlJc w:val="left"/>
      <w:pPr>
        <w:ind w:left="6480" w:hanging="360"/>
      </w:pPr>
      <w:rPr>
        <w:rFonts w:ascii="Wingdings" w:hAnsi="Wingdings" w:hint="default"/>
      </w:rPr>
    </w:lvl>
  </w:abstractNum>
  <w:abstractNum w:abstractNumId="5" w15:restartNumberingAfterBreak="0">
    <w:nsid w:val="780941A4"/>
    <w:multiLevelType w:val="hybridMultilevel"/>
    <w:tmpl w:val="D5825F84"/>
    <w:lvl w:ilvl="0" w:tplc="EA4C1038">
      <w:start w:val="1"/>
      <w:numFmt w:val="bullet"/>
      <w:lvlText w:val=""/>
      <w:lvlJc w:val="left"/>
      <w:pPr>
        <w:ind w:left="720" w:hanging="360"/>
      </w:pPr>
      <w:rPr>
        <w:rFonts w:ascii="Symbol" w:hAnsi="Symbol" w:hint="default"/>
      </w:rPr>
    </w:lvl>
    <w:lvl w:ilvl="1" w:tplc="768EC124" w:tentative="1">
      <w:start w:val="1"/>
      <w:numFmt w:val="bullet"/>
      <w:lvlText w:val="o"/>
      <w:lvlJc w:val="left"/>
      <w:pPr>
        <w:ind w:left="1440" w:hanging="360"/>
      </w:pPr>
      <w:rPr>
        <w:rFonts w:ascii="Courier New" w:hAnsi="Courier New" w:cs="Courier New" w:hint="default"/>
      </w:rPr>
    </w:lvl>
    <w:lvl w:ilvl="2" w:tplc="1AFA4486" w:tentative="1">
      <w:start w:val="1"/>
      <w:numFmt w:val="bullet"/>
      <w:lvlText w:val=""/>
      <w:lvlJc w:val="left"/>
      <w:pPr>
        <w:ind w:left="2160" w:hanging="360"/>
      </w:pPr>
      <w:rPr>
        <w:rFonts w:ascii="Wingdings" w:hAnsi="Wingdings" w:hint="default"/>
      </w:rPr>
    </w:lvl>
    <w:lvl w:ilvl="3" w:tplc="3E78E4EE" w:tentative="1">
      <w:start w:val="1"/>
      <w:numFmt w:val="bullet"/>
      <w:lvlText w:val=""/>
      <w:lvlJc w:val="left"/>
      <w:pPr>
        <w:ind w:left="2880" w:hanging="360"/>
      </w:pPr>
      <w:rPr>
        <w:rFonts w:ascii="Symbol" w:hAnsi="Symbol" w:hint="default"/>
      </w:rPr>
    </w:lvl>
    <w:lvl w:ilvl="4" w:tplc="03B0E25A" w:tentative="1">
      <w:start w:val="1"/>
      <w:numFmt w:val="bullet"/>
      <w:lvlText w:val="o"/>
      <w:lvlJc w:val="left"/>
      <w:pPr>
        <w:ind w:left="3600" w:hanging="360"/>
      </w:pPr>
      <w:rPr>
        <w:rFonts w:ascii="Courier New" w:hAnsi="Courier New" w:cs="Courier New" w:hint="default"/>
      </w:rPr>
    </w:lvl>
    <w:lvl w:ilvl="5" w:tplc="1C10F8D4" w:tentative="1">
      <w:start w:val="1"/>
      <w:numFmt w:val="bullet"/>
      <w:lvlText w:val=""/>
      <w:lvlJc w:val="left"/>
      <w:pPr>
        <w:ind w:left="4320" w:hanging="360"/>
      </w:pPr>
      <w:rPr>
        <w:rFonts w:ascii="Wingdings" w:hAnsi="Wingdings" w:hint="default"/>
      </w:rPr>
    </w:lvl>
    <w:lvl w:ilvl="6" w:tplc="753E5D96" w:tentative="1">
      <w:start w:val="1"/>
      <w:numFmt w:val="bullet"/>
      <w:lvlText w:val=""/>
      <w:lvlJc w:val="left"/>
      <w:pPr>
        <w:ind w:left="5040" w:hanging="360"/>
      </w:pPr>
      <w:rPr>
        <w:rFonts w:ascii="Symbol" w:hAnsi="Symbol" w:hint="default"/>
      </w:rPr>
    </w:lvl>
    <w:lvl w:ilvl="7" w:tplc="C002A976" w:tentative="1">
      <w:start w:val="1"/>
      <w:numFmt w:val="bullet"/>
      <w:lvlText w:val="o"/>
      <w:lvlJc w:val="left"/>
      <w:pPr>
        <w:ind w:left="5760" w:hanging="360"/>
      </w:pPr>
      <w:rPr>
        <w:rFonts w:ascii="Courier New" w:hAnsi="Courier New" w:cs="Courier New" w:hint="default"/>
      </w:rPr>
    </w:lvl>
    <w:lvl w:ilvl="8" w:tplc="BF967896"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40A"/>
    <w:rsid w:val="0000680E"/>
    <w:rsid w:val="00012503"/>
    <w:rsid w:val="00031A9D"/>
    <w:rsid w:val="00040A7F"/>
    <w:rsid w:val="00045C65"/>
    <w:rsid w:val="00055CC5"/>
    <w:rsid w:val="00065B9B"/>
    <w:rsid w:val="000727FD"/>
    <w:rsid w:val="00084B5A"/>
    <w:rsid w:val="000857B7"/>
    <w:rsid w:val="00087BB3"/>
    <w:rsid w:val="00095555"/>
    <w:rsid w:val="00096238"/>
    <w:rsid w:val="000A5329"/>
    <w:rsid w:val="000A7AB1"/>
    <w:rsid w:val="000C1E4D"/>
    <w:rsid w:val="000D2157"/>
    <w:rsid w:val="000D5445"/>
    <w:rsid w:val="000E7ED2"/>
    <w:rsid w:val="00100012"/>
    <w:rsid w:val="00113BC9"/>
    <w:rsid w:val="00115277"/>
    <w:rsid w:val="00115FEF"/>
    <w:rsid w:val="00127DAC"/>
    <w:rsid w:val="00151A07"/>
    <w:rsid w:val="00156135"/>
    <w:rsid w:val="00162DCC"/>
    <w:rsid w:val="00164B76"/>
    <w:rsid w:val="00166658"/>
    <w:rsid w:val="00166DBC"/>
    <w:rsid w:val="001705B9"/>
    <w:rsid w:val="00170DDB"/>
    <w:rsid w:val="001742C1"/>
    <w:rsid w:val="00182EBA"/>
    <w:rsid w:val="00184E4C"/>
    <w:rsid w:val="0019079B"/>
    <w:rsid w:val="00196785"/>
    <w:rsid w:val="001A2670"/>
    <w:rsid w:val="001A53CE"/>
    <w:rsid w:val="001B05C6"/>
    <w:rsid w:val="001B28C8"/>
    <w:rsid w:val="001B5E43"/>
    <w:rsid w:val="001C194B"/>
    <w:rsid w:val="001C7D79"/>
    <w:rsid w:val="001D5E62"/>
    <w:rsid w:val="001E0275"/>
    <w:rsid w:val="001E2886"/>
    <w:rsid w:val="001E2A91"/>
    <w:rsid w:val="001E46DB"/>
    <w:rsid w:val="001F2BE7"/>
    <w:rsid w:val="00223D37"/>
    <w:rsid w:val="00225BDF"/>
    <w:rsid w:val="0023179B"/>
    <w:rsid w:val="00245BA3"/>
    <w:rsid w:val="00256095"/>
    <w:rsid w:val="00256D97"/>
    <w:rsid w:val="00265657"/>
    <w:rsid w:val="00267872"/>
    <w:rsid w:val="00274912"/>
    <w:rsid w:val="00275FE8"/>
    <w:rsid w:val="002834B6"/>
    <w:rsid w:val="00290B54"/>
    <w:rsid w:val="00297F94"/>
    <w:rsid w:val="002A2E4C"/>
    <w:rsid w:val="002A3CC4"/>
    <w:rsid w:val="002B564E"/>
    <w:rsid w:val="002B7877"/>
    <w:rsid w:val="002C05A5"/>
    <w:rsid w:val="002C754F"/>
    <w:rsid w:val="002D7AA8"/>
    <w:rsid w:val="002E330F"/>
    <w:rsid w:val="002E5F96"/>
    <w:rsid w:val="002F62A1"/>
    <w:rsid w:val="00301F96"/>
    <w:rsid w:val="003144E6"/>
    <w:rsid w:val="00315D7C"/>
    <w:rsid w:val="00316C9F"/>
    <w:rsid w:val="0031701E"/>
    <w:rsid w:val="0032792A"/>
    <w:rsid w:val="00334BCD"/>
    <w:rsid w:val="003353C9"/>
    <w:rsid w:val="00341083"/>
    <w:rsid w:val="00352E3C"/>
    <w:rsid w:val="003552BD"/>
    <w:rsid w:val="0036030B"/>
    <w:rsid w:val="003641E2"/>
    <w:rsid w:val="00370E6F"/>
    <w:rsid w:val="0037101B"/>
    <w:rsid w:val="003730B8"/>
    <w:rsid w:val="00375149"/>
    <w:rsid w:val="003A1561"/>
    <w:rsid w:val="003C2931"/>
    <w:rsid w:val="003E7478"/>
    <w:rsid w:val="003F01E4"/>
    <w:rsid w:val="003F57B2"/>
    <w:rsid w:val="00407D90"/>
    <w:rsid w:val="00431BB6"/>
    <w:rsid w:val="00440E7F"/>
    <w:rsid w:val="004537A7"/>
    <w:rsid w:val="004561A3"/>
    <w:rsid w:val="00460DDF"/>
    <w:rsid w:val="00461C90"/>
    <w:rsid w:val="00471092"/>
    <w:rsid w:val="004A120F"/>
    <w:rsid w:val="004A32D7"/>
    <w:rsid w:val="004A6295"/>
    <w:rsid w:val="004C6182"/>
    <w:rsid w:val="004C7925"/>
    <w:rsid w:val="004F26A1"/>
    <w:rsid w:val="004F5E3C"/>
    <w:rsid w:val="00500BC2"/>
    <w:rsid w:val="005521C1"/>
    <w:rsid w:val="00567B1A"/>
    <w:rsid w:val="00571971"/>
    <w:rsid w:val="0057422C"/>
    <w:rsid w:val="00575141"/>
    <w:rsid w:val="0059782C"/>
    <w:rsid w:val="005A52A2"/>
    <w:rsid w:val="005C5BF9"/>
    <w:rsid w:val="005D5F2B"/>
    <w:rsid w:val="005E28F6"/>
    <w:rsid w:val="00614024"/>
    <w:rsid w:val="00632CD2"/>
    <w:rsid w:val="006344CC"/>
    <w:rsid w:val="0063559D"/>
    <w:rsid w:val="0063690B"/>
    <w:rsid w:val="00640309"/>
    <w:rsid w:val="00660075"/>
    <w:rsid w:val="00660F46"/>
    <w:rsid w:val="006811C3"/>
    <w:rsid w:val="006907D5"/>
    <w:rsid w:val="0069557C"/>
    <w:rsid w:val="006959AC"/>
    <w:rsid w:val="006C5099"/>
    <w:rsid w:val="006F0964"/>
    <w:rsid w:val="00701240"/>
    <w:rsid w:val="00715D7F"/>
    <w:rsid w:val="00716C90"/>
    <w:rsid w:val="007172E4"/>
    <w:rsid w:val="00737090"/>
    <w:rsid w:val="00780795"/>
    <w:rsid w:val="00783F55"/>
    <w:rsid w:val="007916D5"/>
    <w:rsid w:val="0079406F"/>
    <w:rsid w:val="00797111"/>
    <w:rsid w:val="007A0330"/>
    <w:rsid w:val="007A25C0"/>
    <w:rsid w:val="007A2A08"/>
    <w:rsid w:val="007B2299"/>
    <w:rsid w:val="007B2E35"/>
    <w:rsid w:val="007B64D4"/>
    <w:rsid w:val="007C40B7"/>
    <w:rsid w:val="007C41CE"/>
    <w:rsid w:val="007E3CCC"/>
    <w:rsid w:val="00803D2A"/>
    <w:rsid w:val="008058DF"/>
    <w:rsid w:val="00810049"/>
    <w:rsid w:val="008137A5"/>
    <w:rsid w:val="00832597"/>
    <w:rsid w:val="008371BA"/>
    <w:rsid w:val="00844664"/>
    <w:rsid w:val="008466F0"/>
    <w:rsid w:val="008473FB"/>
    <w:rsid w:val="00850CC4"/>
    <w:rsid w:val="00886388"/>
    <w:rsid w:val="008B3199"/>
    <w:rsid w:val="008C47FB"/>
    <w:rsid w:val="008C4A46"/>
    <w:rsid w:val="008C706D"/>
    <w:rsid w:val="008D5488"/>
    <w:rsid w:val="008E2484"/>
    <w:rsid w:val="008F0B52"/>
    <w:rsid w:val="008F617A"/>
    <w:rsid w:val="00914AC1"/>
    <w:rsid w:val="00921F03"/>
    <w:rsid w:val="0095375C"/>
    <w:rsid w:val="00965C79"/>
    <w:rsid w:val="00972198"/>
    <w:rsid w:val="00984B1A"/>
    <w:rsid w:val="009851B0"/>
    <w:rsid w:val="00994D93"/>
    <w:rsid w:val="00996DA6"/>
    <w:rsid w:val="009A089E"/>
    <w:rsid w:val="009A50FF"/>
    <w:rsid w:val="009B0FA7"/>
    <w:rsid w:val="009B2E19"/>
    <w:rsid w:val="009C6D0D"/>
    <w:rsid w:val="009E2FD2"/>
    <w:rsid w:val="00A0366E"/>
    <w:rsid w:val="00A076E6"/>
    <w:rsid w:val="00A13844"/>
    <w:rsid w:val="00A27085"/>
    <w:rsid w:val="00A344EF"/>
    <w:rsid w:val="00A41BD0"/>
    <w:rsid w:val="00A47944"/>
    <w:rsid w:val="00A61A41"/>
    <w:rsid w:val="00A6309F"/>
    <w:rsid w:val="00A678C6"/>
    <w:rsid w:val="00A71B93"/>
    <w:rsid w:val="00A730E0"/>
    <w:rsid w:val="00A8460D"/>
    <w:rsid w:val="00A92A3D"/>
    <w:rsid w:val="00AA00A5"/>
    <w:rsid w:val="00AB01E0"/>
    <w:rsid w:val="00AB37A4"/>
    <w:rsid w:val="00AC35CD"/>
    <w:rsid w:val="00AE7479"/>
    <w:rsid w:val="00AF1FA7"/>
    <w:rsid w:val="00B071B6"/>
    <w:rsid w:val="00B13490"/>
    <w:rsid w:val="00B161CC"/>
    <w:rsid w:val="00B35876"/>
    <w:rsid w:val="00B569FD"/>
    <w:rsid w:val="00B63A33"/>
    <w:rsid w:val="00B677DC"/>
    <w:rsid w:val="00B70E6F"/>
    <w:rsid w:val="00B91BF0"/>
    <w:rsid w:val="00B955C2"/>
    <w:rsid w:val="00BA0282"/>
    <w:rsid w:val="00BB6985"/>
    <w:rsid w:val="00BD0783"/>
    <w:rsid w:val="00BD17EF"/>
    <w:rsid w:val="00BD7743"/>
    <w:rsid w:val="00BE729B"/>
    <w:rsid w:val="00BF4F97"/>
    <w:rsid w:val="00BF5589"/>
    <w:rsid w:val="00C0095C"/>
    <w:rsid w:val="00C02512"/>
    <w:rsid w:val="00C10172"/>
    <w:rsid w:val="00C25C86"/>
    <w:rsid w:val="00C36D00"/>
    <w:rsid w:val="00C42A4B"/>
    <w:rsid w:val="00C463C1"/>
    <w:rsid w:val="00C46931"/>
    <w:rsid w:val="00C47A89"/>
    <w:rsid w:val="00C73E6B"/>
    <w:rsid w:val="00C85D4E"/>
    <w:rsid w:val="00C9088B"/>
    <w:rsid w:val="00C91BA8"/>
    <w:rsid w:val="00C94FDB"/>
    <w:rsid w:val="00CA2ACF"/>
    <w:rsid w:val="00CB5C9F"/>
    <w:rsid w:val="00CB5CD9"/>
    <w:rsid w:val="00CB74C6"/>
    <w:rsid w:val="00CC2499"/>
    <w:rsid w:val="00CC57F4"/>
    <w:rsid w:val="00CC73CB"/>
    <w:rsid w:val="00CD11DB"/>
    <w:rsid w:val="00CD2037"/>
    <w:rsid w:val="00CD2A65"/>
    <w:rsid w:val="00CE2F8B"/>
    <w:rsid w:val="00D004D1"/>
    <w:rsid w:val="00D02324"/>
    <w:rsid w:val="00D06884"/>
    <w:rsid w:val="00D15579"/>
    <w:rsid w:val="00D17DF0"/>
    <w:rsid w:val="00D362DE"/>
    <w:rsid w:val="00D45541"/>
    <w:rsid w:val="00D53BFE"/>
    <w:rsid w:val="00D73D49"/>
    <w:rsid w:val="00D747A1"/>
    <w:rsid w:val="00D85F94"/>
    <w:rsid w:val="00D878DF"/>
    <w:rsid w:val="00DB09F3"/>
    <w:rsid w:val="00DC23E1"/>
    <w:rsid w:val="00DC727C"/>
    <w:rsid w:val="00DD2E1F"/>
    <w:rsid w:val="00DE140A"/>
    <w:rsid w:val="00DF4B57"/>
    <w:rsid w:val="00E04682"/>
    <w:rsid w:val="00E20D4C"/>
    <w:rsid w:val="00E22BAA"/>
    <w:rsid w:val="00E44A34"/>
    <w:rsid w:val="00E52D98"/>
    <w:rsid w:val="00E52DAA"/>
    <w:rsid w:val="00E566ED"/>
    <w:rsid w:val="00E728E5"/>
    <w:rsid w:val="00E731F0"/>
    <w:rsid w:val="00E80E0F"/>
    <w:rsid w:val="00E84228"/>
    <w:rsid w:val="00EC51AC"/>
    <w:rsid w:val="00ED67BE"/>
    <w:rsid w:val="00EE07B1"/>
    <w:rsid w:val="00EF41BE"/>
    <w:rsid w:val="00F11065"/>
    <w:rsid w:val="00F20046"/>
    <w:rsid w:val="00F25BB5"/>
    <w:rsid w:val="00F40307"/>
    <w:rsid w:val="00F571F9"/>
    <w:rsid w:val="00F655AC"/>
    <w:rsid w:val="00F8256F"/>
    <w:rsid w:val="00F95970"/>
    <w:rsid w:val="00FB0F06"/>
    <w:rsid w:val="00FB1B10"/>
    <w:rsid w:val="00FB278F"/>
    <w:rsid w:val="00FB3D7B"/>
    <w:rsid w:val="00FB6F6A"/>
    <w:rsid w:val="00FC67CB"/>
    <w:rsid w:val="00FD61EB"/>
    <w:rsid w:val="00FE245D"/>
    <w:rsid w:val="00FE3344"/>
    <w:rsid w:val="00FF51E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1A9D"/>
    <w:pPr>
      <w:spacing w:after="160" w:line="259" w:lineRule="auto"/>
    </w:pPr>
    <w:rPr>
      <w:rFonts w:ascii="David" w:eastAsia="David" w:hAnsi="David" w:cs="David"/>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575141"/>
    <w:rPr>
      <w:color w:val="0000FF"/>
      <w:u w:val="single"/>
    </w:rPr>
  </w:style>
  <w:style w:type="paragraph" w:styleId="a3">
    <w:name w:val="Balloon Text"/>
    <w:basedOn w:val="a"/>
    <w:link w:val="a4"/>
    <w:uiPriority w:val="99"/>
    <w:semiHidden/>
    <w:unhideWhenUsed/>
    <w:rsid w:val="007B64D4"/>
    <w:pPr>
      <w:spacing w:after="0" w:line="240" w:lineRule="auto"/>
    </w:pPr>
    <w:rPr>
      <w:rFonts w:ascii="Tahoma" w:hAnsi="Tahoma" w:cs="Tahoma"/>
      <w:sz w:val="18"/>
      <w:szCs w:val="18"/>
    </w:rPr>
  </w:style>
  <w:style w:type="character" w:customStyle="1" w:styleId="a4">
    <w:name w:val="טקסט בלונים תו"/>
    <w:basedOn w:val="a0"/>
    <w:link w:val="a3"/>
    <w:uiPriority w:val="99"/>
    <w:semiHidden/>
    <w:rsid w:val="007B64D4"/>
    <w:rPr>
      <w:rFonts w:ascii="Tahoma" w:hAnsi="Tahoma" w:cs="Tahoma"/>
      <w:sz w:val="18"/>
      <w:szCs w:val="18"/>
    </w:rPr>
  </w:style>
  <w:style w:type="paragraph" w:styleId="a5">
    <w:name w:val="header"/>
    <w:basedOn w:val="a"/>
    <w:link w:val="a6"/>
    <w:uiPriority w:val="99"/>
    <w:unhideWhenUsed/>
    <w:rsid w:val="00E04682"/>
    <w:pPr>
      <w:tabs>
        <w:tab w:val="center" w:pos="4153"/>
        <w:tab w:val="right" w:pos="8306"/>
      </w:tabs>
      <w:spacing w:after="0" w:line="240" w:lineRule="auto"/>
    </w:pPr>
  </w:style>
  <w:style w:type="character" w:customStyle="1" w:styleId="a6">
    <w:name w:val="כותרת עליונה תו"/>
    <w:basedOn w:val="a0"/>
    <w:link w:val="a5"/>
    <w:uiPriority w:val="99"/>
    <w:rsid w:val="00E04682"/>
  </w:style>
  <w:style w:type="paragraph" w:styleId="a7">
    <w:name w:val="footer"/>
    <w:basedOn w:val="a"/>
    <w:link w:val="a8"/>
    <w:uiPriority w:val="99"/>
    <w:unhideWhenUsed/>
    <w:rsid w:val="00E04682"/>
    <w:pPr>
      <w:tabs>
        <w:tab w:val="center" w:pos="4153"/>
        <w:tab w:val="right" w:pos="8306"/>
      </w:tabs>
      <w:spacing w:after="0" w:line="240" w:lineRule="auto"/>
    </w:pPr>
  </w:style>
  <w:style w:type="character" w:customStyle="1" w:styleId="a8">
    <w:name w:val="כותרת תחתונה תו"/>
    <w:basedOn w:val="a0"/>
    <w:link w:val="a7"/>
    <w:uiPriority w:val="99"/>
    <w:rsid w:val="00E04682"/>
  </w:style>
  <w:style w:type="paragraph" w:styleId="a9">
    <w:name w:val="List Paragraph"/>
    <w:aliases w:val="פיסקת רשימה12,פיסקת רשימה121,פיסקת רשימה2,פיסקת רשימה11"/>
    <w:basedOn w:val="a"/>
    <w:link w:val="aa"/>
    <w:uiPriority w:val="34"/>
    <w:qFormat/>
    <w:rsid w:val="00CD2A65"/>
    <w:pPr>
      <w:ind w:left="720"/>
      <w:contextualSpacing/>
    </w:pPr>
  </w:style>
  <w:style w:type="character" w:styleId="ab">
    <w:name w:val="annotation reference"/>
    <w:basedOn w:val="a0"/>
    <w:uiPriority w:val="99"/>
    <w:semiHidden/>
    <w:unhideWhenUsed/>
    <w:rsid w:val="004F26A1"/>
    <w:rPr>
      <w:sz w:val="16"/>
      <w:szCs w:val="16"/>
    </w:rPr>
  </w:style>
  <w:style w:type="paragraph" w:styleId="ac">
    <w:name w:val="annotation text"/>
    <w:basedOn w:val="a"/>
    <w:link w:val="ad"/>
    <w:uiPriority w:val="99"/>
    <w:semiHidden/>
    <w:unhideWhenUsed/>
    <w:rsid w:val="004F26A1"/>
    <w:pPr>
      <w:spacing w:line="240" w:lineRule="auto"/>
    </w:pPr>
    <w:rPr>
      <w:sz w:val="20"/>
      <w:szCs w:val="20"/>
    </w:rPr>
  </w:style>
  <w:style w:type="character" w:customStyle="1" w:styleId="ad">
    <w:name w:val="טקסט הערה תו"/>
    <w:basedOn w:val="a0"/>
    <w:link w:val="ac"/>
    <w:uiPriority w:val="99"/>
    <w:semiHidden/>
    <w:rsid w:val="004F26A1"/>
    <w:rPr>
      <w:sz w:val="20"/>
      <w:szCs w:val="20"/>
    </w:rPr>
  </w:style>
  <w:style w:type="paragraph" w:styleId="ae">
    <w:name w:val="annotation subject"/>
    <w:basedOn w:val="ac"/>
    <w:next w:val="ac"/>
    <w:link w:val="af"/>
    <w:uiPriority w:val="99"/>
    <w:semiHidden/>
    <w:unhideWhenUsed/>
    <w:rsid w:val="004F26A1"/>
    <w:rPr>
      <w:b/>
      <w:bCs/>
    </w:rPr>
  </w:style>
  <w:style w:type="character" w:customStyle="1" w:styleId="af">
    <w:name w:val="נושא הערה תו"/>
    <w:basedOn w:val="ad"/>
    <w:link w:val="ae"/>
    <w:uiPriority w:val="99"/>
    <w:semiHidden/>
    <w:rsid w:val="004F26A1"/>
    <w:rPr>
      <w:b/>
      <w:bCs/>
      <w:sz w:val="20"/>
      <w:szCs w:val="20"/>
    </w:rPr>
  </w:style>
  <w:style w:type="character" w:styleId="FollowedHyperlink">
    <w:name w:val="FollowedHyperlink"/>
    <w:basedOn w:val="a0"/>
    <w:uiPriority w:val="99"/>
    <w:semiHidden/>
    <w:unhideWhenUsed/>
    <w:rsid w:val="00B569FD"/>
    <w:rPr>
      <w:color w:val="800080" w:themeColor="followedHyperlink"/>
      <w:u w:val="single"/>
    </w:rPr>
  </w:style>
  <w:style w:type="character" w:customStyle="1" w:styleId="aa">
    <w:name w:val="פיסקת רשימה תו"/>
    <w:aliases w:val="פיסקת רשימה12 תו,פיסקת רשימה121 תו,פיסקת רשימה2 תו,פיסקת רשימה11 תו"/>
    <w:basedOn w:val="a0"/>
    <w:link w:val="a9"/>
    <w:uiPriority w:val="34"/>
    <w:rsid w:val="00031A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3" Type="http://schemas.openxmlformats.org/officeDocument/2006/relationships/hyperlink" Target="https://www.facebook.com/bankisraelvc" TargetMode="External"/><Relationship Id="rId3" Type="http://schemas.openxmlformats.org/officeDocument/2006/relationships/image" Target="media/image2.png"/><Relationship Id="rId7" Type="http://schemas.openxmlformats.org/officeDocument/2006/relationships/hyperlink" Target="https://www.youtube.com/user/thebankofisrael" TargetMode="External"/><Relationship Id="rId12" Type="http://schemas.openxmlformats.org/officeDocument/2006/relationships/hyperlink" Target="https://www.facebook.com/bankisraelvc" TargetMode="External"/><Relationship Id="rId2" Type="http://schemas.openxmlformats.org/officeDocument/2006/relationships/hyperlink" Target="https://www.boi.org.il/bank-of-israel/boi-podcast/" TargetMode="External"/><Relationship Id="rId1" Type="http://schemas.openxmlformats.org/officeDocument/2006/relationships/hyperlink" Target="https://www.boi.org.il/bank-of-israel/boi-podcast/" TargetMode="External"/><Relationship Id="rId6" Type="http://schemas.openxmlformats.org/officeDocument/2006/relationships/image" Target="media/image5.png"/><Relationship Id="rId11" Type="http://schemas.openxmlformats.org/officeDocument/2006/relationships/hyperlink" Target="https://www.youtube.com/user/thebankofisrael" TargetMode="External"/><Relationship Id="rId5" Type="http://schemas.openxmlformats.org/officeDocument/2006/relationships/image" Target="media/image4.png"/><Relationship Id="rId15" Type="http://schemas.openxmlformats.org/officeDocument/2006/relationships/hyperlink" Target="https://www.boi.org.il/" TargetMode="External"/><Relationship Id="rId4" Type="http://schemas.openxmlformats.org/officeDocument/2006/relationships/image" Target="media/image3.png"/><Relationship Id="rId14" Type="http://schemas.openxmlformats.org/officeDocument/2006/relationships/hyperlink" Target="https://www.boi.org.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1499</Words>
  <Characters>7499</Characters>
  <Application>Microsoft Office Word</Application>
  <DocSecurity>4</DocSecurity>
  <Lines>62</Lines>
  <Paragraphs>17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2026-01-12T14:28:00Z</dcterms:created>
  <dcterms:modified xsi:type="dcterms:W3CDTF">2026-01-12T14:28:00Z</dcterms:modified>
</cp:coreProperties>
</file>