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jc w:val="center"/>
        <w:tblLayout w:type="fixed"/>
        <w:tblLook w:val="0000" w:firstRow="0" w:lastRow="0" w:firstColumn="0" w:lastColumn="0" w:noHBand="0" w:noVBand="0"/>
      </w:tblPr>
      <w:tblGrid>
        <w:gridCol w:w="2840"/>
        <w:gridCol w:w="2596"/>
        <w:gridCol w:w="3084"/>
      </w:tblGrid>
      <w:tr w:rsidR="00DD5923" w:rsidRPr="00DB1CBC" w:rsidTr="00BC41DB">
        <w:trPr>
          <w:jc w:val="center"/>
        </w:trPr>
        <w:tc>
          <w:tcPr>
            <w:tcW w:w="2840" w:type="dxa"/>
            <w:tcBorders>
              <w:top w:val="nil"/>
              <w:left w:val="nil"/>
              <w:bottom w:val="nil"/>
              <w:right w:val="nil"/>
            </w:tcBorders>
            <w:vAlign w:val="center"/>
          </w:tcPr>
          <w:p w:rsidR="00DD5923" w:rsidRPr="00520BB4" w:rsidRDefault="00DD5923" w:rsidP="00BD5207">
            <w:pPr>
              <w:bidi/>
              <w:spacing w:line="360" w:lineRule="auto"/>
              <w:jc w:val="center"/>
              <w:rPr>
                <w:rFonts w:cs="David"/>
                <w:b/>
                <w:bCs/>
                <w:sz w:val="28"/>
                <w:szCs w:val="28"/>
              </w:rPr>
            </w:pPr>
            <w:r w:rsidRPr="00520BB4">
              <w:rPr>
                <w:rFonts w:cs="David"/>
                <w:b/>
                <w:bCs/>
                <w:sz w:val="28"/>
                <w:szCs w:val="28"/>
                <w:rtl/>
              </w:rPr>
              <w:t>בנ</w:t>
            </w:r>
            <w:r w:rsidRPr="00520BB4">
              <w:rPr>
                <w:rFonts w:cs="David" w:hint="cs"/>
                <w:b/>
                <w:bCs/>
                <w:sz w:val="28"/>
                <w:szCs w:val="28"/>
                <w:rtl/>
              </w:rPr>
              <w:t xml:space="preserve">ק </w:t>
            </w:r>
            <w:r w:rsidRPr="00520BB4">
              <w:rPr>
                <w:rFonts w:cs="David"/>
                <w:b/>
                <w:bCs/>
                <w:sz w:val="28"/>
                <w:szCs w:val="28"/>
                <w:rtl/>
              </w:rPr>
              <w:t>יש</w:t>
            </w:r>
            <w:r w:rsidRPr="00520BB4">
              <w:rPr>
                <w:rFonts w:cs="David" w:hint="cs"/>
                <w:b/>
                <w:bCs/>
                <w:sz w:val="28"/>
                <w:szCs w:val="28"/>
                <w:rtl/>
              </w:rPr>
              <w:t>ראל</w:t>
            </w:r>
          </w:p>
          <w:p w:rsidR="00DD5923" w:rsidRDefault="00DD5923" w:rsidP="00BD5207">
            <w:pPr>
              <w:bidi/>
              <w:spacing w:line="360" w:lineRule="auto"/>
              <w:ind w:right="-101"/>
              <w:jc w:val="center"/>
              <w:rPr>
                <w:sz w:val="24"/>
                <w:szCs w:val="24"/>
              </w:rPr>
            </w:pPr>
            <w:r w:rsidRPr="00520BB4">
              <w:rPr>
                <w:rFonts w:cs="David"/>
                <w:sz w:val="24"/>
                <w:szCs w:val="24"/>
                <w:rtl/>
              </w:rPr>
              <w:t>דו</w:t>
            </w:r>
            <w:r w:rsidRPr="00520BB4">
              <w:rPr>
                <w:rFonts w:cs="David" w:hint="cs"/>
                <w:sz w:val="24"/>
                <w:szCs w:val="24"/>
                <w:rtl/>
              </w:rPr>
              <w:t>בר</w:t>
            </w:r>
            <w:r w:rsidRPr="00520BB4">
              <w:rPr>
                <w:rFonts w:cs="David"/>
                <w:sz w:val="24"/>
                <w:szCs w:val="24"/>
                <w:rtl/>
              </w:rPr>
              <w:t>ות</w:t>
            </w:r>
            <w:r w:rsidRPr="00520BB4">
              <w:rPr>
                <w:rFonts w:cs="David" w:hint="cs"/>
                <w:sz w:val="24"/>
                <w:szCs w:val="24"/>
                <w:rtl/>
              </w:rPr>
              <w:t xml:space="preserve"> והסברה כלכלית</w:t>
            </w:r>
          </w:p>
        </w:tc>
        <w:tc>
          <w:tcPr>
            <w:tcW w:w="2596" w:type="dxa"/>
            <w:tcBorders>
              <w:top w:val="nil"/>
              <w:left w:val="nil"/>
              <w:bottom w:val="nil"/>
              <w:right w:val="nil"/>
            </w:tcBorders>
          </w:tcPr>
          <w:p w:rsidR="00DD5923" w:rsidRDefault="00F36470" w:rsidP="00BD5207">
            <w:pPr>
              <w:bidi/>
              <w:jc w:val="center"/>
            </w:pPr>
            <w:r>
              <w:rPr>
                <w:noProof/>
                <w:rtl/>
                <w:lang w:eastAsia="en-US"/>
              </w:rPr>
              <w:drawing>
                <wp:inline distT="0" distB="0" distL="0" distR="0">
                  <wp:extent cx="981886" cy="542925"/>
                  <wp:effectExtent l="0" t="0" r="8890" b="0"/>
                  <wp:docPr id="2" name="תמונה 2" descr="C:\Users\u20m\AppData\Local\Microsoft\Windows\Temporary Internet Files\Content.Outlook\QG6DHDKN\60Y+bank_Color_CMYK_300D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m\AppData\Local\Microsoft\Windows\Temporary Internet Files\Content.Outlook\QG6DHDKN\60Y+bank_Color_CMYK_300DPI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886" cy="542925"/>
                          </a:xfrm>
                          <a:prstGeom prst="rect">
                            <a:avLst/>
                          </a:prstGeom>
                          <a:noFill/>
                          <a:ln>
                            <a:noFill/>
                          </a:ln>
                        </pic:spPr>
                      </pic:pic>
                    </a:graphicData>
                  </a:graphic>
                </wp:inline>
              </w:drawing>
            </w:r>
          </w:p>
        </w:tc>
        <w:tc>
          <w:tcPr>
            <w:tcW w:w="3084" w:type="dxa"/>
            <w:tcBorders>
              <w:top w:val="nil"/>
              <w:left w:val="nil"/>
              <w:bottom w:val="nil"/>
              <w:right w:val="nil"/>
            </w:tcBorders>
            <w:vAlign w:val="center"/>
          </w:tcPr>
          <w:p w:rsidR="00DD5923" w:rsidRDefault="00DD5923" w:rsidP="003B5DE7">
            <w:pPr>
              <w:bidi/>
              <w:spacing w:line="480" w:lineRule="auto"/>
              <w:jc w:val="right"/>
              <w:rPr>
                <w:rFonts w:cs="David"/>
                <w:sz w:val="24"/>
                <w:szCs w:val="24"/>
              </w:rPr>
            </w:pPr>
            <w:r>
              <w:rPr>
                <w:rFonts w:cs="David" w:hint="eastAsia"/>
                <w:sz w:val="24"/>
                <w:szCs w:val="24"/>
                <w:rtl/>
              </w:rPr>
              <w:t>‏</w:t>
            </w:r>
            <w:r w:rsidR="00CB5842">
              <w:rPr>
                <w:rFonts w:cs="David" w:hint="cs"/>
                <w:sz w:val="24"/>
                <w:szCs w:val="24"/>
                <w:rtl/>
              </w:rPr>
              <w:t>ירושלים, כ"</w:t>
            </w:r>
            <w:r w:rsidR="003B5DE7">
              <w:rPr>
                <w:rFonts w:cs="David" w:hint="cs"/>
                <w:sz w:val="24"/>
                <w:szCs w:val="24"/>
                <w:rtl/>
              </w:rPr>
              <w:t>ח</w:t>
            </w:r>
            <w:r w:rsidR="00081BCE">
              <w:rPr>
                <w:rFonts w:cs="David" w:hint="cs"/>
                <w:sz w:val="24"/>
                <w:szCs w:val="24"/>
                <w:rtl/>
              </w:rPr>
              <w:t xml:space="preserve"> ב</w:t>
            </w:r>
            <w:r w:rsidR="00AC2075">
              <w:rPr>
                <w:rFonts w:cs="David" w:hint="cs"/>
                <w:sz w:val="24"/>
                <w:szCs w:val="24"/>
                <w:rtl/>
              </w:rPr>
              <w:t>אייר</w:t>
            </w:r>
            <w:r w:rsidR="004625EB">
              <w:rPr>
                <w:rFonts w:cs="David"/>
                <w:sz w:val="24"/>
                <w:szCs w:val="24"/>
                <w:rtl/>
              </w:rPr>
              <w:t xml:space="preserve"> </w:t>
            </w:r>
            <w:proofErr w:type="spellStart"/>
            <w:r w:rsidR="00614095">
              <w:rPr>
                <w:rFonts w:cs="David" w:hint="cs"/>
                <w:sz w:val="24"/>
                <w:szCs w:val="24"/>
                <w:rtl/>
              </w:rPr>
              <w:t>ה</w:t>
            </w:r>
            <w:r w:rsidR="004625EB">
              <w:rPr>
                <w:rFonts w:cs="David"/>
                <w:sz w:val="24"/>
                <w:szCs w:val="24"/>
                <w:rtl/>
              </w:rPr>
              <w:t>תשע"</w:t>
            </w:r>
            <w:r w:rsidR="004625EB">
              <w:rPr>
                <w:rFonts w:cs="David" w:hint="cs"/>
                <w:sz w:val="24"/>
                <w:szCs w:val="24"/>
                <w:rtl/>
              </w:rPr>
              <w:t>ד</w:t>
            </w:r>
            <w:proofErr w:type="spellEnd"/>
          </w:p>
          <w:p w:rsidR="00DD5923" w:rsidRPr="00DF107C" w:rsidRDefault="00DD5923" w:rsidP="003B5DE7">
            <w:pPr>
              <w:bidi/>
              <w:spacing w:line="480" w:lineRule="auto"/>
              <w:jc w:val="right"/>
              <w:rPr>
                <w:rFonts w:cs="David"/>
                <w:sz w:val="24"/>
                <w:szCs w:val="24"/>
              </w:rPr>
            </w:pPr>
            <w:r>
              <w:rPr>
                <w:rFonts w:cs="David" w:hint="eastAsia"/>
                <w:sz w:val="24"/>
                <w:szCs w:val="24"/>
                <w:rtl/>
              </w:rPr>
              <w:t>‏‏</w:t>
            </w:r>
            <w:r w:rsidR="00CB5842">
              <w:rPr>
                <w:rFonts w:cs="David" w:hint="cs"/>
                <w:sz w:val="24"/>
                <w:szCs w:val="24"/>
                <w:rtl/>
              </w:rPr>
              <w:t>2</w:t>
            </w:r>
            <w:r w:rsidR="003B5DE7">
              <w:rPr>
                <w:rFonts w:cs="David" w:hint="cs"/>
                <w:sz w:val="24"/>
                <w:szCs w:val="24"/>
                <w:rtl/>
              </w:rPr>
              <w:t>8</w:t>
            </w:r>
            <w:r w:rsidR="00AC2075">
              <w:rPr>
                <w:rFonts w:cs="David" w:hint="cs"/>
                <w:sz w:val="24"/>
                <w:szCs w:val="24"/>
                <w:rtl/>
              </w:rPr>
              <w:t xml:space="preserve"> במאי</w:t>
            </w:r>
            <w:r w:rsidR="00D81EC3">
              <w:rPr>
                <w:rFonts w:cs="David" w:hint="cs"/>
                <w:sz w:val="24"/>
                <w:szCs w:val="24"/>
                <w:rtl/>
              </w:rPr>
              <w:t xml:space="preserve"> 2014</w:t>
            </w:r>
          </w:p>
        </w:tc>
      </w:tr>
    </w:tbl>
    <w:p w:rsidR="00FE034E" w:rsidRDefault="00FE034E" w:rsidP="00BD5207">
      <w:pPr>
        <w:bidi/>
        <w:rPr>
          <w:rtl/>
        </w:rPr>
      </w:pPr>
    </w:p>
    <w:p w:rsidR="007E18EE" w:rsidRDefault="007E18EE" w:rsidP="00BD5207">
      <w:pPr>
        <w:bidi/>
        <w:spacing w:line="360" w:lineRule="auto"/>
        <w:ind w:right="-101"/>
        <w:rPr>
          <w:rFonts w:cs="David"/>
          <w:sz w:val="24"/>
          <w:szCs w:val="24"/>
          <w:rtl/>
        </w:rPr>
      </w:pPr>
      <w:r w:rsidRPr="007E18EE">
        <w:rPr>
          <w:rFonts w:cs="David" w:hint="cs"/>
          <w:sz w:val="24"/>
          <w:szCs w:val="24"/>
          <w:rtl/>
        </w:rPr>
        <w:t>הודעה לעיתונות:</w:t>
      </w:r>
    </w:p>
    <w:p w:rsidR="004D699A" w:rsidRDefault="004D699A" w:rsidP="004D699A">
      <w:pPr>
        <w:bidi/>
        <w:spacing w:line="360" w:lineRule="auto"/>
        <w:jc w:val="center"/>
        <w:rPr>
          <w:rFonts w:cs="David"/>
          <w:b/>
          <w:bCs/>
          <w:sz w:val="28"/>
          <w:szCs w:val="28"/>
          <w:u w:val="single"/>
          <w:rtl/>
        </w:rPr>
      </w:pPr>
    </w:p>
    <w:p w:rsidR="004D699A" w:rsidRPr="00C23B00" w:rsidRDefault="004D699A" w:rsidP="004D699A">
      <w:pPr>
        <w:bidi/>
        <w:spacing w:line="360" w:lineRule="auto"/>
        <w:jc w:val="center"/>
        <w:rPr>
          <w:rFonts w:cs="David"/>
          <w:b/>
          <w:bCs/>
          <w:sz w:val="28"/>
          <w:szCs w:val="28"/>
          <w:u w:val="single"/>
          <w:rtl/>
        </w:rPr>
      </w:pPr>
      <w:r>
        <w:rPr>
          <w:rFonts w:cs="David" w:hint="cs"/>
          <w:b/>
          <w:bCs/>
          <w:sz w:val="28"/>
          <w:szCs w:val="28"/>
          <w:u w:val="single"/>
          <w:rtl/>
        </w:rPr>
        <w:t>הוראה חדשה בנושא  פתיחת חשבון עובר ושב ביתרת זכות וניהולו</w:t>
      </w:r>
      <w:r w:rsidRPr="00C23B00">
        <w:rPr>
          <w:rFonts w:cs="David" w:hint="cs"/>
          <w:b/>
          <w:bCs/>
          <w:sz w:val="28"/>
          <w:szCs w:val="28"/>
          <w:u w:val="single"/>
          <w:rtl/>
        </w:rPr>
        <w:t xml:space="preserve"> </w:t>
      </w:r>
    </w:p>
    <w:p w:rsidR="004D699A" w:rsidRDefault="004D699A" w:rsidP="004D699A">
      <w:pPr>
        <w:bidi/>
        <w:spacing w:line="360" w:lineRule="auto"/>
        <w:jc w:val="both"/>
        <w:rPr>
          <w:rFonts w:cs="David"/>
          <w:b/>
          <w:bCs/>
          <w:sz w:val="24"/>
          <w:szCs w:val="24"/>
          <w:rtl/>
        </w:rPr>
      </w:pPr>
    </w:p>
    <w:p w:rsidR="00443FBC" w:rsidRDefault="00443FBC" w:rsidP="00443FBC">
      <w:pPr>
        <w:bidi/>
        <w:spacing w:line="360" w:lineRule="auto"/>
        <w:jc w:val="both"/>
        <w:rPr>
          <w:rFonts w:cs="David"/>
          <w:b/>
          <w:bCs/>
          <w:sz w:val="24"/>
          <w:szCs w:val="24"/>
          <w:rtl/>
        </w:rPr>
      </w:pPr>
      <w:r>
        <w:rPr>
          <w:rFonts w:cs="David" w:hint="cs"/>
          <w:b/>
          <w:bCs/>
          <w:sz w:val="24"/>
          <w:szCs w:val="24"/>
          <w:rtl/>
        </w:rPr>
        <w:t xml:space="preserve">המפקח על הבנקים הוציא הוראה שמגדירה מהם המקרים בהם תאגיד בנקאי מחויב להיענות לבקשת לקוח לפתוח חשבון עובר ושב ביתרת זכות. צעד זה יבטיח שתעודת הזהות הבנקאית, שהפיקוח הודיע על כוונתו להשיק, לא תפגע ביכולתן של  שאוכלוסיות חלשות לפתוח חשבון עובר ושב מסוג זה ולנהלו. </w:t>
      </w:r>
    </w:p>
    <w:p w:rsidR="00443FBC" w:rsidRDefault="00443FBC" w:rsidP="00443FBC">
      <w:pPr>
        <w:bidi/>
        <w:spacing w:line="360" w:lineRule="auto"/>
        <w:jc w:val="both"/>
        <w:rPr>
          <w:rFonts w:cs="David"/>
          <w:b/>
          <w:bCs/>
          <w:sz w:val="24"/>
          <w:szCs w:val="24"/>
          <w:rtl/>
        </w:rPr>
      </w:pPr>
    </w:p>
    <w:p w:rsidR="00443FBC" w:rsidRDefault="00443FBC" w:rsidP="00443FBC">
      <w:pPr>
        <w:bidi/>
        <w:spacing w:after="240" w:line="360" w:lineRule="auto"/>
        <w:jc w:val="both"/>
        <w:rPr>
          <w:rFonts w:cs="David"/>
          <w:sz w:val="24"/>
          <w:szCs w:val="24"/>
          <w:rtl/>
        </w:rPr>
      </w:pPr>
      <w:r w:rsidRPr="00DC636C">
        <w:rPr>
          <w:rFonts w:cs="David" w:hint="cs"/>
          <w:b/>
          <w:bCs/>
          <w:sz w:val="24"/>
          <w:szCs w:val="24"/>
          <w:rtl/>
        </w:rPr>
        <w:t>דוד זקן, המפקח על ה</w:t>
      </w:r>
      <w:bookmarkStart w:id="0" w:name="_GoBack"/>
      <w:bookmarkEnd w:id="0"/>
      <w:r w:rsidRPr="00DC636C">
        <w:rPr>
          <w:rFonts w:cs="David" w:hint="cs"/>
          <w:b/>
          <w:bCs/>
          <w:sz w:val="24"/>
          <w:szCs w:val="24"/>
          <w:rtl/>
        </w:rPr>
        <w:t>בנקים</w:t>
      </w:r>
      <w:r>
        <w:rPr>
          <w:rFonts w:cs="David" w:hint="cs"/>
          <w:sz w:val="24"/>
          <w:szCs w:val="24"/>
          <w:rtl/>
        </w:rPr>
        <w:t>, מציין: "חשבון עובר ושב הנו שירות חיוני, המהווה אמצעי בסיסי לניהול מרבית הפעילות הפיננסית של כל משק בית. מטרת ההוראה להבטיח שגם אוכלוסיות חלשות יוכלו לנהל חשבון עובר ושב ביתרת זכות, לעשות שימוש באמצעי  תשלום</w:t>
      </w:r>
      <w:r w:rsidRPr="005E1827">
        <w:rPr>
          <w:rtl/>
        </w:rPr>
        <w:t xml:space="preserve"> </w:t>
      </w:r>
      <w:r>
        <w:rPr>
          <w:rFonts w:cs="David"/>
          <w:sz w:val="24"/>
          <w:szCs w:val="24"/>
          <w:rtl/>
        </w:rPr>
        <w:t>מגוונים</w:t>
      </w:r>
      <w:r w:rsidRPr="005E1827">
        <w:rPr>
          <w:rFonts w:cs="David"/>
          <w:sz w:val="24"/>
          <w:szCs w:val="24"/>
          <w:rtl/>
        </w:rPr>
        <w:t xml:space="preserve"> ולעקוב אחר חשבונם באופן עצמאי ויעיל</w:t>
      </w:r>
      <w:r>
        <w:rPr>
          <w:rFonts w:cs="David" w:hint="cs"/>
          <w:sz w:val="24"/>
          <w:szCs w:val="24"/>
          <w:rtl/>
        </w:rPr>
        <w:t>."</w:t>
      </w:r>
    </w:p>
    <w:p w:rsidR="00443FBC" w:rsidRDefault="00443FBC" w:rsidP="00443FBC">
      <w:pPr>
        <w:bidi/>
        <w:spacing w:after="240" w:line="360" w:lineRule="auto"/>
        <w:jc w:val="both"/>
        <w:rPr>
          <w:rFonts w:cs="David"/>
          <w:sz w:val="24"/>
          <w:szCs w:val="24"/>
          <w:rtl/>
        </w:rPr>
      </w:pPr>
      <w:r>
        <w:rPr>
          <w:rFonts w:cs="David" w:hint="cs"/>
          <w:sz w:val="24"/>
          <w:szCs w:val="24"/>
          <w:rtl/>
        </w:rPr>
        <w:t>המפקח מוסיף: "במקביל למאמצינו ליישם את  תעודת הזהות הבנקאית שתכלול את דירוג האשראי לצורך הגברת התחרות במערכת הבנקאית, אנו נוקטים בפעולות נוספות שמטרתן להסיר את החשש מפני הדרה של אוכלוסיות חלשות מקבלת שירותים בסיסיים במערכת הבנקאית.".</w:t>
      </w:r>
    </w:p>
    <w:p w:rsidR="00443FBC" w:rsidRDefault="00443FBC" w:rsidP="00443FBC">
      <w:pPr>
        <w:bidi/>
        <w:spacing w:after="240" w:line="360" w:lineRule="auto"/>
        <w:jc w:val="both"/>
        <w:rPr>
          <w:rFonts w:cs="David"/>
          <w:sz w:val="24"/>
          <w:szCs w:val="24"/>
          <w:rtl/>
        </w:rPr>
      </w:pPr>
      <w:r>
        <w:rPr>
          <w:rFonts w:cs="David" w:hint="cs"/>
          <w:sz w:val="24"/>
          <w:szCs w:val="24"/>
          <w:rtl/>
        </w:rPr>
        <w:t xml:space="preserve">בהתאם לחוק הבנקאות (שירות ללקוח), מוטלת על התאגידים הבנקאיים חובה לפתוח חשבון עובר ושב ביתרת זכות (להבדיל ממתן אשראי, שהתאגיד העסקי רשאי לסרב לתת על פי שיקוליו העסקיים), והם רשאים לסרב לבקשה לפתיחת חשבון כזה רק מטעמים סבירים. במסגרת ההוראה החדשה (הוראת ניהול בנקאי תקין מס' 422), קבע המפקח על הבנקים את אותם מקרים, אשר בהתקיימם הם בלבד, לא תתקבל טענת "סירוב סביר", והתאגיד הבנקאי יהיה מחויב לפתוח חשבון: </w:t>
      </w:r>
    </w:p>
    <w:p w:rsidR="00443FBC" w:rsidRDefault="00443FBC" w:rsidP="00443FBC">
      <w:pPr>
        <w:pStyle w:val="aa"/>
        <w:numPr>
          <w:ilvl w:val="0"/>
          <w:numId w:val="2"/>
        </w:numPr>
        <w:bidi/>
        <w:spacing w:after="240" w:line="360" w:lineRule="auto"/>
        <w:jc w:val="both"/>
        <w:rPr>
          <w:rFonts w:cs="David"/>
          <w:sz w:val="24"/>
          <w:szCs w:val="24"/>
        </w:rPr>
      </w:pPr>
      <w:r>
        <w:rPr>
          <w:rFonts w:cs="David" w:hint="cs"/>
          <w:sz w:val="24"/>
          <w:szCs w:val="24"/>
          <w:rtl/>
        </w:rPr>
        <w:t xml:space="preserve">לקוח מוגבל, או לקוח מוגבל חמור, או לקוח מוגבל מיוחד, כמשמעותם בחוק שיקים ללא כיסוי, </w:t>
      </w:r>
      <w:proofErr w:type="spellStart"/>
      <w:r>
        <w:rPr>
          <w:rFonts w:cs="David" w:hint="cs"/>
          <w:sz w:val="24"/>
          <w:szCs w:val="24"/>
          <w:rtl/>
        </w:rPr>
        <w:t>התשמ"א</w:t>
      </w:r>
      <w:proofErr w:type="spellEnd"/>
      <w:r>
        <w:rPr>
          <w:rFonts w:cs="David" w:hint="cs"/>
          <w:sz w:val="24"/>
          <w:szCs w:val="24"/>
          <w:rtl/>
        </w:rPr>
        <w:t>- 1981. לרבות לקוח שהוגבל בעבר לפי הוראות חוק זה;</w:t>
      </w:r>
    </w:p>
    <w:p w:rsidR="00443FBC" w:rsidRDefault="00443FBC" w:rsidP="00443FBC">
      <w:pPr>
        <w:pStyle w:val="aa"/>
        <w:numPr>
          <w:ilvl w:val="0"/>
          <w:numId w:val="2"/>
        </w:numPr>
        <w:bidi/>
        <w:spacing w:after="240" w:line="360" w:lineRule="auto"/>
        <w:jc w:val="both"/>
        <w:rPr>
          <w:rFonts w:cs="David"/>
          <w:sz w:val="24"/>
          <w:szCs w:val="24"/>
        </w:rPr>
      </w:pPr>
      <w:r>
        <w:rPr>
          <w:rFonts w:cs="David" w:hint="cs"/>
          <w:sz w:val="24"/>
          <w:szCs w:val="24"/>
          <w:rtl/>
        </w:rPr>
        <w:t>לקוח בהליך פשיטת רגל, לרבות לקוח שהיה בעבר בהליך פשיטת רגל;</w:t>
      </w:r>
    </w:p>
    <w:p w:rsidR="00443FBC" w:rsidRDefault="00443FBC" w:rsidP="00443FBC">
      <w:pPr>
        <w:pStyle w:val="aa"/>
        <w:numPr>
          <w:ilvl w:val="0"/>
          <w:numId w:val="2"/>
        </w:numPr>
        <w:bidi/>
        <w:spacing w:after="240" w:line="360" w:lineRule="auto"/>
        <w:jc w:val="both"/>
        <w:rPr>
          <w:rFonts w:cs="David"/>
          <w:sz w:val="24"/>
          <w:szCs w:val="24"/>
        </w:rPr>
      </w:pPr>
      <w:r>
        <w:rPr>
          <w:rFonts w:cs="David" w:hint="cs"/>
          <w:sz w:val="24"/>
          <w:szCs w:val="24"/>
          <w:rtl/>
        </w:rPr>
        <w:t>לקוח אשר הוטל עיקול על חשבונותיו;</w:t>
      </w:r>
    </w:p>
    <w:p w:rsidR="00443FBC" w:rsidRDefault="00443FBC" w:rsidP="00443FBC">
      <w:pPr>
        <w:pStyle w:val="aa"/>
        <w:numPr>
          <w:ilvl w:val="0"/>
          <w:numId w:val="2"/>
        </w:numPr>
        <w:bidi/>
        <w:spacing w:after="240" w:line="360" w:lineRule="auto"/>
        <w:jc w:val="both"/>
        <w:rPr>
          <w:rFonts w:cs="David"/>
          <w:sz w:val="24"/>
          <w:szCs w:val="24"/>
        </w:rPr>
      </w:pPr>
      <w:r>
        <w:rPr>
          <w:rFonts w:cs="David" w:hint="cs"/>
          <w:sz w:val="24"/>
          <w:szCs w:val="24"/>
          <w:rtl/>
        </w:rPr>
        <w:t xml:space="preserve">לקוח אשר מתנהל או התנהל בעבר, בינו לבין תאגיד בנקאי אחר, הליך משפטי שמקורו בגביית חוב.   </w:t>
      </w:r>
    </w:p>
    <w:p w:rsidR="00443FBC" w:rsidRDefault="00443FBC" w:rsidP="00443FBC">
      <w:pPr>
        <w:bidi/>
        <w:spacing w:after="240" w:line="360" w:lineRule="auto"/>
        <w:jc w:val="both"/>
        <w:rPr>
          <w:rFonts w:cs="David"/>
          <w:sz w:val="24"/>
          <w:szCs w:val="24"/>
          <w:rtl/>
        </w:rPr>
      </w:pPr>
    </w:p>
    <w:p w:rsidR="00443FBC" w:rsidRDefault="00443FBC" w:rsidP="00443FBC">
      <w:pPr>
        <w:bidi/>
        <w:spacing w:after="240" w:line="360" w:lineRule="auto"/>
        <w:jc w:val="both"/>
        <w:rPr>
          <w:rFonts w:cs="David"/>
          <w:sz w:val="24"/>
          <w:szCs w:val="24"/>
          <w:rtl/>
        </w:rPr>
      </w:pPr>
      <w:r>
        <w:rPr>
          <w:rFonts w:cs="David" w:hint="cs"/>
          <w:sz w:val="24"/>
          <w:szCs w:val="24"/>
          <w:rtl/>
        </w:rPr>
        <w:lastRenderedPageBreak/>
        <w:t>ה</w:t>
      </w:r>
      <w:r w:rsidRPr="007F2904">
        <w:rPr>
          <w:rFonts w:cs="David" w:hint="cs"/>
          <w:sz w:val="24"/>
          <w:szCs w:val="24"/>
          <w:rtl/>
        </w:rPr>
        <w:t xml:space="preserve">הוראה </w:t>
      </w:r>
      <w:r>
        <w:rPr>
          <w:rFonts w:cs="David" w:hint="cs"/>
          <w:sz w:val="24"/>
          <w:szCs w:val="24"/>
          <w:rtl/>
        </w:rPr>
        <w:t>מגדירה בנוסף את אמצעי התשלום והשירותים אשר תאגיד בנקאי יהיה מחויב, ככלל, להעמיד לרשות הלקוח:</w:t>
      </w:r>
    </w:p>
    <w:p w:rsidR="00443FBC" w:rsidRDefault="00443FBC" w:rsidP="00443FBC">
      <w:pPr>
        <w:pStyle w:val="aa"/>
        <w:numPr>
          <w:ilvl w:val="0"/>
          <w:numId w:val="3"/>
        </w:numPr>
        <w:bidi/>
        <w:spacing w:after="240" w:line="360" w:lineRule="auto"/>
        <w:jc w:val="both"/>
        <w:rPr>
          <w:rFonts w:cs="David"/>
          <w:sz w:val="24"/>
          <w:szCs w:val="24"/>
        </w:rPr>
      </w:pPr>
      <w:r w:rsidRPr="007F2904">
        <w:rPr>
          <w:rFonts w:cs="David" w:hint="cs"/>
          <w:sz w:val="24"/>
          <w:szCs w:val="24"/>
          <w:rtl/>
        </w:rPr>
        <w:t>ביצוע תשלו</w:t>
      </w:r>
      <w:r>
        <w:rPr>
          <w:rFonts w:cs="David" w:hint="cs"/>
          <w:sz w:val="24"/>
          <w:szCs w:val="24"/>
          <w:rtl/>
        </w:rPr>
        <w:t>מים בדרך של חיובים על פי הרשאה;</w:t>
      </w:r>
    </w:p>
    <w:p w:rsidR="00443FBC" w:rsidRDefault="00443FBC" w:rsidP="00443FBC">
      <w:pPr>
        <w:pStyle w:val="aa"/>
        <w:numPr>
          <w:ilvl w:val="0"/>
          <w:numId w:val="3"/>
        </w:numPr>
        <w:bidi/>
        <w:spacing w:after="240" w:line="360" w:lineRule="auto"/>
        <w:jc w:val="both"/>
        <w:rPr>
          <w:rFonts w:cs="David"/>
          <w:sz w:val="24"/>
          <w:szCs w:val="24"/>
        </w:rPr>
      </w:pPr>
      <w:r>
        <w:rPr>
          <w:rFonts w:cs="David" w:hint="cs"/>
          <w:sz w:val="24"/>
          <w:szCs w:val="24"/>
          <w:rtl/>
        </w:rPr>
        <w:t xml:space="preserve">שימוש בכרטיס לחיוב </w:t>
      </w:r>
      <w:proofErr w:type="spellStart"/>
      <w:r>
        <w:rPr>
          <w:rFonts w:cs="David" w:hint="cs"/>
          <w:sz w:val="24"/>
          <w:szCs w:val="24"/>
          <w:rtl/>
        </w:rPr>
        <w:t>מיידי</w:t>
      </w:r>
      <w:proofErr w:type="spellEnd"/>
      <w:r>
        <w:rPr>
          <w:rFonts w:cs="David" w:hint="cs"/>
          <w:sz w:val="24"/>
          <w:szCs w:val="24"/>
          <w:rtl/>
        </w:rPr>
        <w:t>;</w:t>
      </w:r>
    </w:p>
    <w:p w:rsidR="00443FBC" w:rsidRDefault="00443FBC" w:rsidP="00443FBC">
      <w:pPr>
        <w:pStyle w:val="aa"/>
        <w:numPr>
          <w:ilvl w:val="0"/>
          <w:numId w:val="3"/>
        </w:numPr>
        <w:bidi/>
        <w:spacing w:after="240" w:line="360" w:lineRule="auto"/>
        <w:jc w:val="both"/>
        <w:rPr>
          <w:rFonts w:cs="David"/>
          <w:sz w:val="24"/>
          <w:szCs w:val="24"/>
        </w:rPr>
      </w:pPr>
      <w:r>
        <w:rPr>
          <w:rFonts w:cs="David" w:hint="cs"/>
          <w:sz w:val="24"/>
          <w:szCs w:val="24"/>
          <w:rtl/>
        </w:rPr>
        <w:t>שימוש בכרטיס לצורך משיכת מזומנים;</w:t>
      </w:r>
    </w:p>
    <w:p w:rsidR="00443FBC" w:rsidRDefault="00443FBC" w:rsidP="00443FBC">
      <w:pPr>
        <w:pStyle w:val="aa"/>
        <w:numPr>
          <w:ilvl w:val="0"/>
          <w:numId w:val="3"/>
        </w:numPr>
        <w:bidi/>
        <w:spacing w:after="240" w:line="360" w:lineRule="auto"/>
        <w:jc w:val="both"/>
        <w:rPr>
          <w:rFonts w:cs="David"/>
          <w:sz w:val="24"/>
          <w:szCs w:val="24"/>
        </w:rPr>
      </w:pPr>
      <w:r>
        <w:rPr>
          <w:rFonts w:cs="David" w:hint="cs"/>
          <w:sz w:val="24"/>
          <w:szCs w:val="24"/>
          <w:rtl/>
        </w:rPr>
        <w:t>שירות אחזור מידע באמצעות עמדת שירות בסניף;</w:t>
      </w:r>
    </w:p>
    <w:p w:rsidR="00443FBC" w:rsidRPr="007F2904" w:rsidRDefault="00443FBC" w:rsidP="00443FBC">
      <w:pPr>
        <w:pStyle w:val="aa"/>
        <w:numPr>
          <w:ilvl w:val="0"/>
          <w:numId w:val="3"/>
        </w:numPr>
        <w:bidi/>
        <w:spacing w:after="240" w:line="360" w:lineRule="auto"/>
        <w:jc w:val="both"/>
        <w:rPr>
          <w:rFonts w:cs="David"/>
          <w:sz w:val="24"/>
          <w:szCs w:val="24"/>
          <w:rtl/>
        </w:rPr>
      </w:pPr>
      <w:r w:rsidRPr="007F2904">
        <w:rPr>
          <w:rFonts w:cs="David" w:hint="cs"/>
          <w:sz w:val="24"/>
          <w:szCs w:val="24"/>
          <w:rtl/>
        </w:rPr>
        <w:t>גישה לחשבון באמצעות אתר האינטרנט של הבנק</w:t>
      </w:r>
      <w:r>
        <w:rPr>
          <w:rFonts w:cs="David" w:hint="cs"/>
          <w:sz w:val="24"/>
          <w:szCs w:val="24"/>
          <w:rtl/>
        </w:rPr>
        <w:t>.</w:t>
      </w:r>
    </w:p>
    <w:p w:rsidR="00443FBC" w:rsidRDefault="00443FBC" w:rsidP="00443FBC">
      <w:pPr>
        <w:bidi/>
        <w:spacing w:after="240" w:line="360" w:lineRule="auto"/>
        <w:jc w:val="both"/>
        <w:rPr>
          <w:rFonts w:cs="David"/>
          <w:sz w:val="24"/>
          <w:szCs w:val="24"/>
          <w:rtl/>
        </w:rPr>
      </w:pPr>
      <w:r>
        <w:rPr>
          <w:rFonts w:cs="David" w:hint="cs"/>
          <w:sz w:val="24"/>
          <w:szCs w:val="24"/>
          <w:rtl/>
        </w:rPr>
        <w:t xml:space="preserve">הבנקים גם נדרשים לפרסם באתר האינטרנט שלהם את רשימת אמצעי התשלום והשירותים הנ"ל העומדים לרשות לקוחותיהם, וכן למסור ללקוח אשר הגיש בקשה לפתיחת חשבון ונענה בסירוב את ההחלטה בכתב, בתוך 5 ימי עסקים ממועד הגשת הבקשה.   </w:t>
      </w:r>
    </w:p>
    <w:p w:rsidR="00443FBC" w:rsidRDefault="00443FBC" w:rsidP="00443FBC">
      <w:pPr>
        <w:bidi/>
        <w:spacing w:after="240" w:line="360" w:lineRule="auto"/>
        <w:jc w:val="both"/>
        <w:rPr>
          <w:rFonts w:cs="David"/>
          <w:sz w:val="24"/>
          <w:szCs w:val="24"/>
          <w:rtl/>
        </w:rPr>
      </w:pPr>
      <w:r>
        <w:rPr>
          <w:rFonts w:cs="David" w:hint="cs"/>
          <w:sz w:val="24"/>
          <w:szCs w:val="24"/>
          <w:rtl/>
        </w:rPr>
        <w:t>ההוראה תכנס לתוקף בהדרגה במהלך מחצית השנה הקרובה, כאשר חובת הבנקים לפתוח חשבון עובר ושב ביתרת זכות, בנסיבות המוזכרות בהוראה, הנו מידי.</w:t>
      </w:r>
    </w:p>
    <w:p w:rsidR="00443FBC" w:rsidRPr="00717AD9" w:rsidRDefault="00443FBC" w:rsidP="00443FBC">
      <w:pPr>
        <w:bidi/>
        <w:spacing w:line="360" w:lineRule="auto"/>
        <w:ind w:right="-101"/>
        <w:rPr>
          <w:rFonts w:cs="David"/>
          <w:sz w:val="24"/>
          <w:szCs w:val="24"/>
        </w:rPr>
      </w:pPr>
      <w:r>
        <w:rPr>
          <w:rFonts w:cs="David" w:hint="cs"/>
          <w:sz w:val="24"/>
          <w:szCs w:val="24"/>
          <w:rtl/>
        </w:rPr>
        <w:t>כצעד משלים להוראה, בכוונת הפיקוח על הבנקים לאסוף מידע אודות המקרים בהם סירב הבנק  לפתוח חשבון ביתרת זכות, ומאפייניהם.</w:t>
      </w:r>
    </w:p>
    <w:p w:rsidR="00C04A6B" w:rsidRPr="00443FBC" w:rsidRDefault="00C04A6B" w:rsidP="00520BB4">
      <w:pPr>
        <w:pStyle w:val="a9"/>
        <w:spacing w:before="240" w:after="0" w:line="240" w:lineRule="auto"/>
        <w:ind w:left="0" w:right="-180" w:firstLine="0"/>
        <w:rPr>
          <w:sz w:val="24"/>
        </w:rPr>
      </w:pPr>
    </w:p>
    <w:sectPr w:rsidR="00C04A6B" w:rsidRPr="00443FBC" w:rsidSect="00AE591E">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A6B" w:rsidRDefault="00C04A6B" w:rsidP="00C04A6B">
      <w:r>
        <w:separator/>
      </w:r>
    </w:p>
  </w:endnote>
  <w:endnote w:type="continuationSeparator" w:id="0">
    <w:p w:rsidR="00C04A6B" w:rsidRDefault="00C04A6B" w:rsidP="00C04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57" w:rsidRDefault="00A15F5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57" w:rsidRDefault="00A15F5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57" w:rsidRDefault="00A15F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A6B" w:rsidRDefault="00C04A6B" w:rsidP="00C04A6B">
      <w:r>
        <w:separator/>
      </w:r>
    </w:p>
  </w:footnote>
  <w:footnote w:type="continuationSeparator" w:id="0">
    <w:p w:rsidR="00C04A6B" w:rsidRDefault="00C04A6B" w:rsidP="00C04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57" w:rsidRDefault="00A15F5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57" w:rsidRDefault="00A15F5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57" w:rsidRDefault="00A15F5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B67E39"/>
    <w:multiLevelType w:val="hybridMultilevel"/>
    <w:tmpl w:val="40BE0958"/>
    <w:lvl w:ilvl="0" w:tplc="0409000F">
      <w:start w:val="1"/>
      <w:numFmt w:val="decimal"/>
      <w:lvlText w:val="%1."/>
      <w:lvlJc w:val="left"/>
      <w:pPr>
        <w:ind w:left="883" w:hanging="360"/>
      </w:p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1">
    <w:nsid w:val="6ADB1B02"/>
    <w:multiLevelType w:val="hybridMultilevel"/>
    <w:tmpl w:val="A9F0D2E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nsid w:val="6E0C14AE"/>
    <w:multiLevelType w:val="hybridMultilevel"/>
    <w:tmpl w:val="9398C2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923"/>
    <w:rsid w:val="00016D86"/>
    <w:rsid w:val="00081BCE"/>
    <w:rsid w:val="00115A82"/>
    <w:rsid w:val="00177686"/>
    <w:rsid w:val="00180E8A"/>
    <w:rsid w:val="001B5E0C"/>
    <w:rsid w:val="001D7646"/>
    <w:rsid w:val="001E5A00"/>
    <w:rsid w:val="002438E2"/>
    <w:rsid w:val="0025393A"/>
    <w:rsid w:val="002630B7"/>
    <w:rsid w:val="002B3FB0"/>
    <w:rsid w:val="002D510A"/>
    <w:rsid w:val="0031161D"/>
    <w:rsid w:val="003537B9"/>
    <w:rsid w:val="003810D6"/>
    <w:rsid w:val="003901E0"/>
    <w:rsid w:val="003A4EDC"/>
    <w:rsid w:val="003B5DE7"/>
    <w:rsid w:val="0041690A"/>
    <w:rsid w:val="00420F93"/>
    <w:rsid w:val="00421F80"/>
    <w:rsid w:val="00443FBC"/>
    <w:rsid w:val="0044713E"/>
    <w:rsid w:val="004625EB"/>
    <w:rsid w:val="004A5826"/>
    <w:rsid w:val="004B11CB"/>
    <w:rsid w:val="004B5D8D"/>
    <w:rsid w:val="004D699A"/>
    <w:rsid w:val="004E23AC"/>
    <w:rsid w:val="004F06E0"/>
    <w:rsid w:val="00502068"/>
    <w:rsid w:val="00515549"/>
    <w:rsid w:val="00520BB4"/>
    <w:rsid w:val="00614095"/>
    <w:rsid w:val="0064287F"/>
    <w:rsid w:val="00651CB7"/>
    <w:rsid w:val="00661ADC"/>
    <w:rsid w:val="006C01FB"/>
    <w:rsid w:val="006C2B75"/>
    <w:rsid w:val="00762D5A"/>
    <w:rsid w:val="007E18EE"/>
    <w:rsid w:val="007F013B"/>
    <w:rsid w:val="00826810"/>
    <w:rsid w:val="00837763"/>
    <w:rsid w:val="00852D44"/>
    <w:rsid w:val="0086330B"/>
    <w:rsid w:val="00881EF7"/>
    <w:rsid w:val="008928BC"/>
    <w:rsid w:val="008B55E9"/>
    <w:rsid w:val="008B5665"/>
    <w:rsid w:val="008D1016"/>
    <w:rsid w:val="00923E37"/>
    <w:rsid w:val="00961EFC"/>
    <w:rsid w:val="00970911"/>
    <w:rsid w:val="00972F89"/>
    <w:rsid w:val="009818C2"/>
    <w:rsid w:val="009B71E4"/>
    <w:rsid w:val="009C16BD"/>
    <w:rsid w:val="00A13688"/>
    <w:rsid w:val="00A15F57"/>
    <w:rsid w:val="00A57161"/>
    <w:rsid w:val="00AA51B0"/>
    <w:rsid w:val="00AA7ED7"/>
    <w:rsid w:val="00AB409F"/>
    <w:rsid w:val="00AC2075"/>
    <w:rsid w:val="00AD759C"/>
    <w:rsid w:val="00AE591E"/>
    <w:rsid w:val="00B058F3"/>
    <w:rsid w:val="00B2503D"/>
    <w:rsid w:val="00B45A8A"/>
    <w:rsid w:val="00B77C1D"/>
    <w:rsid w:val="00B84BD7"/>
    <w:rsid w:val="00BC41DB"/>
    <w:rsid w:val="00BC5A6D"/>
    <w:rsid w:val="00BD5207"/>
    <w:rsid w:val="00BE235C"/>
    <w:rsid w:val="00BE49A2"/>
    <w:rsid w:val="00C04A6B"/>
    <w:rsid w:val="00C22C24"/>
    <w:rsid w:val="00C25C1C"/>
    <w:rsid w:val="00C45C9C"/>
    <w:rsid w:val="00C656C3"/>
    <w:rsid w:val="00C84B20"/>
    <w:rsid w:val="00CB1B2B"/>
    <w:rsid w:val="00CB5842"/>
    <w:rsid w:val="00D15A8B"/>
    <w:rsid w:val="00D3721C"/>
    <w:rsid w:val="00D81EC3"/>
    <w:rsid w:val="00D87DC1"/>
    <w:rsid w:val="00D969AD"/>
    <w:rsid w:val="00DD5923"/>
    <w:rsid w:val="00E72A42"/>
    <w:rsid w:val="00E85E11"/>
    <w:rsid w:val="00EA052D"/>
    <w:rsid w:val="00ED153D"/>
    <w:rsid w:val="00ED5B1D"/>
    <w:rsid w:val="00EF5DC9"/>
    <w:rsid w:val="00F36470"/>
    <w:rsid w:val="00F75061"/>
    <w:rsid w:val="00F96916"/>
    <w:rsid w:val="00FD4DC2"/>
    <w:rsid w:val="00FE034E"/>
    <w:rsid w:val="00FF32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923"/>
    <w:pPr>
      <w:spacing w:after="0" w:line="240" w:lineRule="auto"/>
    </w:pPr>
    <w:rPr>
      <w:rFonts w:ascii="Times New Roman" w:eastAsia="Times New Roman" w:hAnsi="Times New Roman" w:cs="Miriam"/>
      <w:sz w:val="20"/>
      <w:szCs w:val="20"/>
      <w:lang w:eastAsia="he-IL"/>
    </w:rPr>
  </w:style>
  <w:style w:type="paragraph" w:styleId="4">
    <w:name w:val="heading 4"/>
    <w:basedOn w:val="a"/>
    <w:next w:val="a"/>
    <w:link w:val="40"/>
    <w:qFormat/>
    <w:rsid w:val="00520BB4"/>
    <w:pPr>
      <w:keepNext/>
      <w:jc w:val="center"/>
      <w:outlineLvl w:val="3"/>
    </w:pPr>
    <w:rPr>
      <w:rFonts w:cs="David"/>
      <w:b/>
      <w:bCs/>
      <w:color w:val="000000"/>
      <w:spacing w:val="-4"/>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923"/>
    <w:rPr>
      <w:rFonts w:ascii="Tahoma" w:hAnsi="Tahoma" w:cs="Tahoma"/>
      <w:sz w:val="16"/>
      <w:szCs w:val="16"/>
    </w:rPr>
  </w:style>
  <w:style w:type="character" w:customStyle="1" w:styleId="a4">
    <w:name w:val="טקסט בלונים תו"/>
    <w:basedOn w:val="a0"/>
    <w:link w:val="a3"/>
    <w:uiPriority w:val="99"/>
    <w:semiHidden/>
    <w:rsid w:val="00DD5923"/>
    <w:rPr>
      <w:rFonts w:ascii="Tahoma" w:eastAsia="Times New Roman" w:hAnsi="Tahoma" w:cs="Tahoma"/>
      <w:sz w:val="16"/>
      <w:szCs w:val="16"/>
      <w:lang w:eastAsia="he-IL"/>
    </w:rPr>
  </w:style>
  <w:style w:type="paragraph" w:styleId="a5">
    <w:name w:val="header"/>
    <w:basedOn w:val="a"/>
    <w:link w:val="a6"/>
    <w:uiPriority w:val="99"/>
    <w:unhideWhenUsed/>
    <w:rsid w:val="00C04A6B"/>
    <w:pPr>
      <w:tabs>
        <w:tab w:val="center" w:pos="4153"/>
        <w:tab w:val="right" w:pos="8306"/>
      </w:tabs>
    </w:pPr>
  </w:style>
  <w:style w:type="character" w:customStyle="1" w:styleId="a6">
    <w:name w:val="כותרת עליונה תו"/>
    <w:basedOn w:val="a0"/>
    <w:link w:val="a5"/>
    <w:uiPriority w:val="99"/>
    <w:rsid w:val="00C04A6B"/>
    <w:rPr>
      <w:rFonts w:ascii="Times New Roman" w:eastAsia="Times New Roman" w:hAnsi="Times New Roman" w:cs="Miriam"/>
      <w:sz w:val="20"/>
      <w:szCs w:val="20"/>
      <w:lang w:eastAsia="he-IL"/>
    </w:rPr>
  </w:style>
  <w:style w:type="paragraph" w:styleId="a7">
    <w:name w:val="footer"/>
    <w:basedOn w:val="a"/>
    <w:link w:val="a8"/>
    <w:uiPriority w:val="99"/>
    <w:unhideWhenUsed/>
    <w:rsid w:val="00C04A6B"/>
    <w:pPr>
      <w:tabs>
        <w:tab w:val="center" w:pos="4153"/>
        <w:tab w:val="right" w:pos="8306"/>
      </w:tabs>
    </w:pPr>
  </w:style>
  <w:style w:type="character" w:customStyle="1" w:styleId="a8">
    <w:name w:val="כותרת תחתונה תו"/>
    <w:basedOn w:val="a0"/>
    <w:link w:val="a7"/>
    <w:uiPriority w:val="99"/>
    <w:rsid w:val="00C04A6B"/>
    <w:rPr>
      <w:rFonts w:ascii="Times New Roman" w:eastAsia="Times New Roman" w:hAnsi="Times New Roman" w:cs="Miriam"/>
      <w:sz w:val="20"/>
      <w:szCs w:val="20"/>
      <w:lang w:eastAsia="he-IL"/>
    </w:rPr>
  </w:style>
  <w:style w:type="character" w:customStyle="1" w:styleId="40">
    <w:name w:val="כותרת 4 תו"/>
    <w:basedOn w:val="a0"/>
    <w:link w:val="4"/>
    <w:rsid w:val="00520BB4"/>
    <w:rPr>
      <w:rFonts w:ascii="Times New Roman" w:eastAsia="Times New Roman" w:hAnsi="Times New Roman" w:cs="David"/>
      <w:b/>
      <w:bCs/>
      <w:color w:val="000000"/>
      <w:spacing w:val="-4"/>
      <w:sz w:val="28"/>
      <w:szCs w:val="28"/>
      <w:u w:val="single"/>
      <w:lang w:eastAsia="he-IL"/>
    </w:rPr>
  </w:style>
  <w:style w:type="paragraph" w:styleId="a9">
    <w:name w:val="Block Text"/>
    <w:basedOn w:val="a"/>
    <w:rsid w:val="00520BB4"/>
    <w:pPr>
      <w:bidi/>
      <w:spacing w:after="120" w:line="480" w:lineRule="auto"/>
      <w:ind w:left="-57" w:hanging="1"/>
      <w:jc w:val="both"/>
    </w:pPr>
    <w:rPr>
      <w:rFonts w:cs="David"/>
      <w:sz w:val="22"/>
      <w:szCs w:val="24"/>
    </w:rPr>
  </w:style>
  <w:style w:type="character" w:styleId="Hyperlink">
    <w:name w:val="Hyperlink"/>
    <w:rsid w:val="00520BB4"/>
    <w:rPr>
      <w:color w:val="0000FF"/>
      <w:u w:val="single"/>
    </w:rPr>
  </w:style>
  <w:style w:type="paragraph" w:styleId="aa">
    <w:name w:val="List Paragraph"/>
    <w:basedOn w:val="a"/>
    <w:uiPriority w:val="34"/>
    <w:qFormat/>
    <w:rsid w:val="004D699A"/>
    <w:pPr>
      <w:spacing w:after="200" w:line="276" w:lineRule="auto"/>
      <w:ind w:left="720"/>
      <w:contextualSpacing/>
    </w:pPr>
    <w:rPr>
      <w:rFonts w:ascii="Calibri" w:eastAsia="Calibri" w:hAnsi="Calibri"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923"/>
    <w:pPr>
      <w:spacing w:after="0" w:line="240" w:lineRule="auto"/>
    </w:pPr>
    <w:rPr>
      <w:rFonts w:ascii="Times New Roman" w:eastAsia="Times New Roman" w:hAnsi="Times New Roman" w:cs="Miriam"/>
      <w:sz w:val="20"/>
      <w:szCs w:val="20"/>
      <w:lang w:eastAsia="he-IL"/>
    </w:rPr>
  </w:style>
  <w:style w:type="paragraph" w:styleId="4">
    <w:name w:val="heading 4"/>
    <w:basedOn w:val="a"/>
    <w:next w:val="a"/>
    <w:link w:val="40"/>
    <w:qFormat/>
    <w:rsid w:val="00520BB4"/>
    <w:pPr>
      <w:keepNext/>
      <w:jc w:val="center"/>
      <w:outlineLvl w:val="3"/>
    </w:pPr>
    <w:rPr>
      <w:rFonts w:cs="David"/>
      <w:b/>
      <w:bCs/>
      <w:color w:val="000000"/>
      <w:spacing w:val="-4"/>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5923"/>
    <w:rPr>
      <w:rFonts w:ascii="Tahoma" w:hAnsi="Tahoma" w:cs="Tahoma"/>
      <w:sz w:val="16"/>
      <w:szCs w:val="16"/>
    </w:rPr>
  </w:style>
  <w:style w:type="character" w:customStyle="1" w:styleId="a4">
    <w:name w:val="טקסט בלונים תו"/>
    <w:basedOn w:val="a0"/>
    <w:link w:val="a3"/>
    <w:uiPriority w:val="99"/>
    <w:semiHidden/>
    <w:rsid w:val="00DD5923"/>
    <w:rPr>
      <w:rFonts w:ascii="Tahoma" w:eastAsia="Times New Roman" w:hAnsi="Tahoma" w:cs="Tahoma"/>
      <w:sz w:val="16"/>
      <w:szCs w:val="16"/>
      <w:lang w:eastAsia="he-IL"/>
    </w:rPr>
  </w:style>
  <w:style w:type="paragraph" w:styleId="a5">
    <w:name w:val="header"/>
    <w:basedOn w:val="a"/>
    <w:link w:val="a6"/>
    <w:uiPriority w:val="99"/>
    <w:unhideWhenUsed/>
    <w:rsid w:val="00C04A6B"/>
    <w:pPr>
      <w:tabs>
        <w:tab w:val="center" w:pos="4153"/>
        <w:tab w:val="right" w:pos="8306"/>
      </w:tabs>
    </w:pPr>
  </w:style>
  <w:style w:type="character" w:customStyle="1" w:styleId="a6">
    <w:name w:val="כותרת עליונה תו"/>
    <w:basedOn w:val="a0"/>
    <w:link w:val="a5"/>
    <w:uiPriority w:val="99"/>
    <w:rsid w:val="00C04A6B"/>
    <w:rPr>
      <w:rFonts w:ascii="Times New Roman" w:eastAsia="Times New Roman" w:hAnsi="Times New Roman" w:cs="Miriam"/>
      <w:sz w:val="20"/>
      <w:szCs w:val="20"/>
      <w:lang w:eastAsia="he-IL"/>
    </w:rPr>
  </w:style>
  <w:style w:type="paragraph" w:styleId="a7">
    <w:name w:val="footer"/>
    <w:basedOn w:val="a"/>
    <w:link w:val="a8"/>
    <w:uiPriority w:val="99"/>
    <w:unhideWhenUsed/>
    <w:rsid w:val="00C04A6B"/>
    <w:pPr>
      <w:tabs>
        <w:tab w:val="center" w:pos="4153"/>
        <w:tab w:val="right" w:pos="8306"/>
      </w:tabs>
    </w:pPr>
  </w:style>
  <w:style w:type="character" w:customStyle="1" w:styleId="a8">
    <w:name w:val="כותרת תחתונה תו"/>
    <w:basedOn w:val="a0"/>
    <w:link w:val="a7"/>
    <w:uiPriority w:val="99"/>
    <w:rsid w:val="00C04A6B"/>
    <w:rPr>
      <w:rFonts w:ascii="Times New Roman" w:eastAsia="Times New Roman" w:hAnsi="Times New Roman" w:cs="Miriam"/>
      <w:sz w:val="20"/>
      <w:szCs w:val="20"/>
      <w:lang w:eastAsia="he-IL"/>
    </w:rPr>
  </w:style>
  <w:style w:type="character" w:customStyle="1" w:styleId="40">
    <w:name w:val="כותרת 4 תו"/>
    <w:basedOn w:val="a0"/>
    <w:link w:val="4"/>
    <w:rsid w:val="00520BB4"/>
    <w:rPr>
      <w:rFonts w:ascii="Times New Roman" w:eastAsia="Times New Roman" w:hAnsi="Times New Roman" w:cs="David"/>
      <w:b/>
      <w:bCs/>
      <w:color w:val="000000"/>
      <w:spacing w:val="-4"/>
      <w:sz w:val="28"/>
      <w:szCs w:val="28"/>
      <w:u w:val="single"/>
      <w:lang w:eastAsia="he-IL"/>
    </w:rPr>
  </w:style>
  <w:style w:type="paragraph" w:styleId="a9">
    <w:name w:val="Block Text"/>
    <w:basedOn w:val="a"/>
    <w:rsid w:val="00520BB4"/>
    <w:pPr>
      <w:bidi/>
      <w:spacing w:after="120" w:line="480" w:lineRule="auto"/>
      <w:ind w:left="-57" w:hanging="1"/>
      <w:jc w:val="both"/>
    </w:pPr>
    <w:rPr>
      <w:rFonts w:cs="David"/>
      <w:sz w:val="22"/>
      <w:szCs w:val="24"/>
    </w:rPr>
  </w:style>
  <w:style w:type="character" w:styleId="Hyperlink">
    <w:name w:val="Hyperlink"/>
    <w:rsid w:val="00520BB4"/>
    <w:rPr>
      <w:color w:val="0000FF"/>
      <w:u w:val="single"/>
    </w:rPr>
  </w:style>
  <w:style w:type="paragraph" w:styleId="aa">
    <w:name w:val="List Paragraph"/>
    <w:basedOn w:val="a"/>
    <w:uiPriority w:val="34"/>
    <w:qFormat/>
    <w:rsid w:val="004D699A"/>
    <w:pPr>
      <w:spacing w:after="200" w:line="276" w:lineRule="auto"/>
      <w:ind w:left="720"/>
      <w:contextualSpacing/>
    </w:pPr>
    <w:rPr>
      <w:rFonts w:ascii="Calibri" w:eastAsia="Calibri" w:hAnsi="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WaveListOrderValu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0644CCD52964FE4BBD8AB8E0B060EA47" ma:contentTypeVersion="3" ma:contentTypeDescription="צור מסמך חדש." ma:contentTypeScope="" ma:versionID="2bb10b40ee8d3a599c5f62d28aa9a0b5">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c347f0a8e3e1664f2bb8f913eca227a"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1:eWaveListOrderValu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element name="eWaveListOrderValue" ma:index="10" nillable="true" ma:displayName="סידור" ma:decimals="2" ma:internalName="eWaveListOrderValue"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1" nillable="true" ma:displayName="תאריך יצירה" ma:description="התאריך שבו נוצר משאב זה"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EDE0F-0E80-4E1F-A0E2-2E9920CC2E63}"/>
</file>

<file path=customXml/itemProps2.xml><?xml version="1.0" encoding="utf-8"?>
<ds:datastoreItem xmlns:ds="http://schemas.openxmlformats.org/officeDocument/2006/customXml" ds:itemID="{7D6BAFAB-2911-4774-9EB2-3D02D9236387}"/>
</file>

<file path=customXml/itemProps3.xml><?xml version="1.0" encoding="utf-8"?>
<ds:datastoreItem xmlns:ds="http://schemas.openxmlformats.org/officeDocument/2006/customXml" ds:itemID="{382F6A5C-420D-41AD-898C-8AA72F1708E4}"/>
</file>

<file path=customXml/itemProps4.xml><?xml version="1.0" encoding="utf-8"?>
<ds:datastoreItem xmlns:ds="http://schemas.openxmlformats.org/officeDocument/2006/customXml" ds:itemID="{13979708-205E-4A31-8707-71B89CA4CEB3}"/>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2013</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LinksUpToDate>false</LinksUpToDate>
  <CharactersWithSpaces>2411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2014-05-28T07:21:00Z</dcterms:created>
  <dcterms:modified xsi:type="dcterms:W3CDTF">2014-05-28T09:28:00Z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0x0101000644CCD52964FE4BBD8AB8E0B060EA47</vt:lpwstr>
  </property>
</Properties>
</file>