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75343" w14:textId="4DA8FDED" w:rsidR="00445F3E" w:rsidRDefault="00821CB5" w:rsidP="00821CB5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noProof/>
        </w:rPr>
        <w:drawing>
          <wp:inline distT="0" distB="0" distL="0" distR="0" wp14:anchorId="79E962CA" wp14:editId="463F2DFA">
            <wp:extent cx="762635" cy="762635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BB782" w14:textId="77777777" w:rsidR="00445F3E" w:rsidRPr="00F203E3" w:rsidRDefault="00445F3E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14:paraId="5FEC0092" w14:textId="7AE21C7C" w:rsidR="00650B9A" w:rsidRPr="00F203E3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F203E3">
        <w:rPr>
          <w:rFonts w:asciiTheme="minorHAnsi" w:hAnsiTheme="minorHAnsi" w:cstheme="minorHAnsi"/>
          <w:bCs/>
        </w:rPr>
        <w:t>BANK OF ISRAEL</w:t>
      </w:r>
    </w:p>
    <w:p w14:paraId="7BDED074" w14:textId="1F140308" w:rsidR="00650B9A" w:rsidRPr="00F203E3" w:rsidRDefault="00650B9A" w:rsidP="0009048D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</w:rPr>
      </w:pPr>
      <w:r w:rsidRPr="00F203E3">
        <w:rPr>
          <w:rFonts w:asciiTheme="minorHAnsi" w:hAnsiTheme="minorHAnsi" w:cstheme="minorHAnsi"/>
        </w:rPr>
        <w:t xml:space="preserve">Office of the </w:t>
      </w:r>
      <w:r w:rsidR="0009048D" w:rsidRPr="00F203E3">
        <w:rPr>
          <w:rFonts w:asciiTheme="minorHAnsi" w:hAnsiTheme="minorHAnsi" w:cstheme="minorHAnsi"/>
        </w:rPr>
        <w:t>Spokesperson and Economic Information</w:t>
      </w:r>
    </w:p>
    <w:p w14:paraId="5DC516B5" w14:textId="6D04FE8F" w:rsidR="0009048D" w:rsidRPr="00F203E3" w:rsidRDefault="0009048D" w:rsidP="0009048D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</w:rPr>
      </w:pPr>
    </w:p>
    <w:p w14:paraId="10E398BC" w14:textId="368CADAA" w:rsidR="00F203E3" w:rsidRDefault="00F203E3" w:rsidP="00F203E3">
      <w:pPr>
        <w:pStyle w:val="regpar"/>
        <w:spacing w:line="300" w:lineRule="atLeast"/>
        <w:ind w:firstLine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DATE \@ "dd-MMM-yy" </w:instrText>
      </w:r>
      <w:r>
        <w:rPr>
          <w:rFonts w:asciiTheme="minorHAnsi" w:hAnsiTheme="minorHAnsi" w:cstheme="minorHAnsi"/>
          <w:b/>
          <w:bCs/>
        </w:rPr>
        <w:fldChar w:fldCharType="separate"/>
      </w:r>
      <w:r w:rsidR="007C1820">
        <w:rPr>
          <w:rFonts w:asciiTheme="minorHAnsi" w:hAnsiTheme="minorHAnsi" w:cstheme="minorHAnsi"/>
          <w:b/>
          <w:bCs/>
          <w:noProof/>
        </w:rPr>
        <w:t>08-Mar-26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70C2155" w14:textId="7A405401" w:rsidR="00F203E3" w:rsidRPr="00F203E3" w:rsidRDefault="00F203E3" w:rsidP="00F203E3">
      <w:pPr>
        <w:pStyle w:val="regpar"/>
        <w:spacing w:line="300" w:lineRule="atLeast"/>
        <w:ind w:firstLine="0"/>
        <w:jc w:val="left"/>
        <w:rPr>
          <w:rFonts w:asciiTheme="minorHAnsi" w:hAnsiTheme="minorHAnsi" w:cstheme="minorHAnsi"/>
          <w:bCs/>
        </w:rPr>
      </w:pPr>
      <w:r w:rsidRPr="00F203E3">
        <w:rPr>
          <w:rFonts w:asciiTheme="minorHAnsi" w:hAnsiTheme="minorHAnsi" w:cstheme="minorHAnsi"/>
          <w:bCs/>
        </w:rPr>
        <w:t xml:space="preserve">Press Release: </w:t>
      </w:r>
    </w:p>
    <w:p w14:paraId="2F190391" w14:textId="77777777" w:rsidR="00F203E3" w:rsidRPr="00F203E3" w:rsidRDefault="00F203E3" w:rsidP="008503B3">
      <w:pPr>
        <w:pStyle w:val="regpar"/>
        <w:ind w:firstLine="0"/>
        <w:jc w:val="center"/>
        <w:rPr>
          <w:rFonts w:asciiTheme="minorHAnsi" w:hAnsiTheme="minorHAnsi" w:cstheme="minorHAnsi"/>
          <w:b/>
          <w:bCs/>
        </w:rPr>
      </w:pPr>
    </w:p>
    <w:p w14:paraId="57364676" w14:textId="583A0F82" w:rsidR="00477DE2" w:rsidRPr="00F203E3" w:rsidRDefault="00477DE2" w:rsidP="00477DE2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EC5E43" w14:textId="77777777" w:rsidR="007C1820" w:rsidRPr="006C11C7" w:rsidRDefault="007C1820" w:rsidP="007C1820">
      <w:pPr>
        <w:pStyle w:val="PressReleaseTitle"/>
        <w:tabs>
          <w:tab w:val="clear" w:pos="4156"/>
          <w:tab w:val="clear" w:pos="8312"/>
        </w:tabs>
        <w:rPr>
          <w:rFonts w:asciiTheme="minorHAnsi" w:hAnsiTheme="minorHAnsi" w:cstheme="minorHAnsi"/>
          <w:sz w:val="28"/>
          <w:szCs w:val="28"/>
          <w:rtl/>
        </w:rPr>
      </w:pPr>
      <w:bookmarkStart w:id="0" w:name="_GoBack"/>
      <w:r w:rsidRPr="006C11C7">
        <w:rPr>
          <w:rFonts w:asciiTheme="minorHAnsi" w:hAnsiTheme="minorHAnsi" w:cstheme="minorHAnsi"/>
          <w:sz w:val="28"/>
          <w:szCs w:val="28"/>
        </w:rPr>
        <w:t>Foreign Exchange Reserves at the Bank of Israel, February 2026</w:t>
      </w:r>
    </w:p>
    <w:bookmarkEnd w:id="0"/>
    <w:p w14:paraId="38E90F93" w14:textId="77777777" w:rsidR="007C1820" w:rsidRPr="007C1820" w:rsidRDefault="007C1820" w:rsidP="007C1820">
      <w:pPr>
        <w:pStyle w:val="regpar"/>
        <w:ind w:firstLine="0"/>
        <w:jc w:val="center"/>
        <w:outlineLvl w:val="0"/>
        <w:rPr>
          <w:rFonts w:asciiTheme="minorHAnsi" w:hAnsiTheme="minorHAnsi" w:cstheme="minorHAnsi"/>
        </w:rPr>
      </w:pPr>
    </w:p>
    <w:p w14:paraId="60074F12" w14:textId="77777777" w:rsidR="007C1820" w:rsidRPr="007C1820" w:rsidRDefault="007C1820" w:rsidP="007C1820">
      <w:pPr>
        <w:pStyle w:val="PS"/>
        <w:spacing w:line="300" w:lineRule="exact"/>
        <w:ind w:right="-1" w:firstLine="0"/>
        <w:jc w:val="both"/>
        <w:rPr>
          <w:rFonts w:asciiTheme="minorHAnsi" w:hAnsiTheme="minorHAnsi" w:cstheme="minorHAnsi"/>
        </w:rPr>
      </w:pPr>
      <w:r w:rsidRPr="007C1820">
        <w:rPr>
          <w:rFonts w:asciiTheme="minorHAnsi" w:hAnsiTheme="minorHAnsi" w:cstheme="minorHAnsi"/>
        </w:rPr>
        <w:t>Israel’s foreign exchange reserves at the end of February 2026 stood at $234,553 million, an increase of $1,511 million from their level at the end of the previous month. The level of the reserves relative to GDP was 38.2 percent (Figure 1).</w:t>
      </w:r>
    </w:p>
    <w:p w14:paraId="1371491F" w14:textId="77777777" w:rsidR="007C1820" w:rsidRPr="007C1820" w:rsidRDefault="007C1820" w:rsidP="007C1820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14:paraId="7C0EED18" w14:textId="77777777" w:rsidR="007C1820" w:rsidRPr="007C1820" w:rsidRDefault="007C1820" w:rsidP="007C1820">
      <w:pPr>
        <w:pStyle w:val="PS"/>
        <w:tabs>
          <w:tab w:val="left" w:pos="3510"/>
        </w:tabs>
        <w:ind w:firstLine="0"/>
        <w:jc w:val="both"/>
        <w:rPr>
          <w:rFonts w:asciiTheme="minorHAnsi" w:hAnsiTheme="minorHAnsi" w:cstheme="minorHAnsi"/>
        </w:rPr>
      </w:pPr>
      <w:r w:rsidRPr="007C1820">
        <w:rPr>
          <w:rFonts w:asciiTheme="minorHAnsi" w:hAnsiTheme="minorHAnsi" w:cstheme="minorHAnsi"/>
        </w:rPr>
        <w:t>The increase was mainly the result of a revaluation</w:t>
      </w:r>
      <w:r w:rsidRPr="007C1820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 w:rsidRPr="007C1820">
        <w:rPr>
          <w:rFonts w:asciiTheme="minorHAnsi" w:hAnsiTheme="minorHAnsi" w:cstheme="minorHAnsi"/>
        </w:rPr>
        <w:t xml:space="preserve"> that increased the reserves by approximately $1,739 million, which </w:t>
      </w:r>
      <w:proofErr w:type="gramStart"/>
      <w:r w:rsidRPr="007C1820">
        <w:rPr>
          <w:rFonts w:asciiTheme="minorHAnsi" w:hAnsiTheme="minorHAnsi" w:cstheme="minorHAnsi"/>
        </w:rPr>
        <w:t>was offset</w:t>
      </w:r>
      <w:proofErr w:type="gramEnd"/>
      <w:r w:rsidRPr="007C1820">
        <w:rPr>
          <w:rFonts w:asciiTheme="minorHAnsi" w:hAnsiTheme="minorHAnsi" w:cstheme="minorHAnsi"/>
        </w:rPr>
        <w:t xml:space="preserve"> by the government’s foreign exchange activities totaling approximately $271 million.</w:t>
      </w:r>
    </w:p>
    <w:p w14:paraId="63AAB2D1" w14:textId="77777777" w:rsidR="007C1820" w:rsidRPr="007C1820" w:rsidRDefault="007C1820" w:rsidP="007C1820">
      <w:pPr>
        <w:pStyle w:val="PS"/>
        <w:ind w:firstLine="0"/>
        <w:jc w:val="both"/>
        <w:rPr>
          <w:rFonts w:asciiTheme="minorHAnsi" w:hAnsiTheme="minorHAnsi" w:cstheme="minorHAnsi"/>
          <w:b/>
          <w:bCs/>
          <w:rtl/>
        </w:rPr>
      </w:pPr>
    </w:p>
    <w:p w14:paraId="269AFAEE" w14:textId="77777777" w:rsidR="007C1820" w:rsidRPr="007C1820" w:rsidRDefault="007C1820" w:rsidP="007C1820">
      <w:pPr>
        <w:pStyle w:val="PS"/>
        <w:spacing w:line="300" w:lineRule="exact"/>
        <w:ind w:firstLine="0"/>
        <w:jc w:val="center"/>
        <w:rPr>
          <w:rFonts w:asciiTheme="minorHAnsi" w:hAnsiTheme="minorHAnsi" w:cstheme="minorHAnsi"/>
          <w:bCs/>
        </w:rPr>
      </w:pPr>
      <w:r w:rsidRPr="007C1820">
        <w:rPr>
          <w:rFonts w:asciiTheme="minorHAnsi" w:hAnsiTheme="minorHAnsi" w:cstheme="minorHAnsi"/>
          <w:b/>
          <w:bCs/>
        </w:rPr>
        <w:t xml:space="preserve">Israel's Foreign Exchange Reserves </w:t>
      </w:r>
      <w:r w:rsidRPr="007C1820">
        <w:rPr>
          <w:rFonts w:asciiTheme="minorHAnsi" w:hAnsiTheme="minorHAnsi" w:cstheme="minorHAnsi"/>
        </w:rPr>
        <w:t>(</w:t>
      </w:r>
      <w:r w:rsidRPr="007C1820">
        <w:rPr>
          <w:rFonts w:asciiTheme="minorHAnsi" w:hAnsiTheme="minorHAnsi" w:cstheme="minorHAnsi"/>
          <w:bCs/>
        </w:rPr>
        <w:t>$ million)</w:t>
      </w:r>
    </w:p>
    <w:p w14:paraId="229951BB" w14:textId="77777777" w:rsidR="007C1820" w:rsidRPr="007C1820" w:rsidRDefault="007C1820" w:rsidP="007C1820">
      <w:pPr>
        <w:pStyle w:val="regpar"/>
        <w:spacing w:line="240" w:lineRule="auto"/>
        <w:ind w:right="-17" w:firstLine="0"/>
        <w:jc w:val="center"/>
        <w:rPr>
          <w:rFonts w:asciiTheme="minorHAnsi" w:hAnsiTheme="minorHAnsi" w:cstheme="minorHAns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7C1820" w:rsidRPr="007C1820" w14:paraId="75A974FE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6EE14188" w14:textId="77777777" w:rsidR="007C1820" w:rsidRPr="007C1820" w:rsidRDefault="007C1820" w:rsidP="007C1820">
            <w:pPr>
              <w:ind w:leftChars="-235" w:left="190" w:hangingChars="314" w:hanging="7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1820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D00" w14:textId="77777777" w:rsidR="007C1820" w:rsidRPr="007C1820" w:rsidRDefault="007C1820" w:rsidP="007C18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C1820">
              <w:rPr>
                <w:rFonts w:asciiTheme="minorHAnsi" w:hAnsiTheme="minorHAnsi" w:cstheme="minorHAnsi"/>
                <w:b/>
                <w:bCs/>
                <w:color w:val="000000"/>
              </w:rPr>
              <w:t>Reserves excluding IMF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6BC" w14:textId="77777777" w:rsidR="007C1820" w:rsidRPr="007C1820" w:rsidRDefault="007C1820" w:rsidP="007C18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C1820">
              <w:rPr>
                <w:rFonts w:asciiTheme="minorHAnsi" w:hAnsiTheme="minorHAnsi" w:cstheme="minorHAnsi"/>
                <w:b/>
                <w:bCs/>
                <w:color w:val="000000"/>
              </w:rPr>
              <w:t>Reserves at the IMF</w:t>
            </w:r>
            <w:r w:rsidRPr="007C1820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D0E" w14:textId="77777777" w:rsidR="007C1820" w:rsidRPr="007C1820" w:rsidRDefault="007C1820" w:rsidP="007C18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C1820">
              <w:rPr>
                <w:rFonts w:asciiTheme="minorHAnsi" w:hAnsiTheme="minorHAnsi" w:cstheme="minorHAnsi"/>
                <w:b/>
                <w:bCs/>
                <w:color w:val="000000"/>
              </w:rPr>
              <w:t>Total Foreign Exchange Reserves</w:t>
            </w:r>
          </w:p>
        </w:tc>
      </w:tr>
      <w:tr w:rsidR="007C1820" w:rsidRPr="007C1820" w14:paraId="0DA7CE32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3C59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February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D06A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229,917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4130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82C7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234,553</w:t>
            </w:r>
          </w:p>
        </w:tc>
      </w:tr>
      <w:tr w:rsidR="007C1820" w:rsidRPr="007C1820" w14:paraId="376BAED2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E1157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January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C2F81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228,360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73185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8400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233,042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7C1820" w:rsidRPr="007C1820" w14:paraId="411535C8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7852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AA6F2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224,834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84DC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4,674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9176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229,508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7C1820" w:rsidRPr="007C1820" w14:paraId="6FDBDC7A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124B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C2E1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0056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D1D6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231,425</w:t>
            </w:r>
          </w:p>
        </w:tc>
      </w:tr>
      <w:tr w:rsidR="007C1820" w:rsidRPr="007C1820" w14:paraId="24951A90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1713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1D53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1E8CB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A64F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231,954</w:t>
            </w:r>
          </w:p>
        </w:tc>
      </w:tr>
      <w:tr w:rsidR="007C1820" w:rsidRPr="007C1820" w14:paraId="7E0B8949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D584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DC34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rtl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9A05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89792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231,880</w:t>
            </w:r>
          </w:p>
        </w:tc>
      </w:tr>
      <w:tr w:rsidR="007C1820" w:rsidRPr="007C1820" w14:paraId="1391AA6F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EC024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DDA0E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225,694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0EAC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B02D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230,320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7C1820" w:rsidRPr="007C1820" w14:paraId="5A47B9AF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1002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F299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9134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4585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226,768</w:t>
            </w:r>
          </w:p>
        </w:tc>
      </w:tr>
      <w:tr w:rsidR="007C1820" w:rsidRPr="007C1820" w14:paraId="2EC39A55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5B86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DB34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2439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5960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228,250</w:t>
            </w:r>
          </w:p>
        </w:tc>
      </w:tr>
      <w:tr w:rsidR="007C1820" w:rsidRPr="007C1820" w14:paraId="4EBE4DAA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47C48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A1FC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219,086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137E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FA589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223,639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7C1820" w:rsidRPr="007C1820" w14:paraId="0E2D095E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44E0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D4892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60B58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DDA7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222,035</w:t>
            </w:r>
          </w:p>
        </w:tc>
      </w:tr>
      <w:tr w:rsidR="007C1820" w:rsidRPr="007C1820" w14:paraId="0CA4BB7F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0960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DAADB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214,394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03427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D9688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218,810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7C1820" w:rsidRPr="007C1820" w14:paraId="6DB38F85" w14:textId="77777777" w:rsidTr="00E33470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B3AE" w14:textId="77777777" w:rsidR="007C1820" w:rsidRPr="007C1820" w:rsidRDefault="007C1820" w:rsidP="007C1820">
            <w:pPr>
              <w:tabs>
                <w:tab w:val="left" w:pos="873"/>
              </w:tabs>
              <w:rPr>
                <w:rFonts w:asciiTheme="minorHAnsi" w:hAnsiTheme="minorHAnsi" w:cstheme="minorHAnsi"/>
              </w:rPr>
            </w:pPr>
            <w:r w:rsidRPr="007C1820">
              <w:rPr>
                <w:rFonts w:asciiTheme="minorHAnsi" w:hAnsiTheme="minorHAnsi" w:cstheme="minorHAns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EB0F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215,898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77EA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12134" w14:textId="77777777" w:rsidR="007C1820" w:rsidRPr="007C1820" w:rsidRDefault="007C1820" w:rsidP="007C1820">
            <w:pPr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7C1820">
              <w:rPr>
                <w:rFonts w:asciiTheme="minorHAnsi" w:hAnsiTheme="minorHAnsi" w:cstheme="minorHAnsi"/>
                <w:color w:val="000000"/>
              </w:rPr>
              <w:t>220,254</w:t>
            </w:r>
            <w:r w:rsidRPr="007C1820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</w:tbl>
    <w:p w14:paraId="1C95D409" w14:textId="77777777" w:rsidR="007C1820" w:rsidRPr="007C1820" w:rsidRDefault="007C1820" w:rsidP="007C1820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36879097" w14:textId="2BF66EA6" w:rsidR="007C1820" w:rsidRPr="007C1820" w:rsidRDefault="007C1820" w:rsidP="007C1820">
      <w:pPr>
        <w:rPr>
          <w:rFonts w:asciiTheme="minorHAnsi" w:hAnsiTheme="minorHAnsi" w:cstheme="minorHAnsi"/>
          <w:b/>
          <w:bCs/>
        </w:rPr>
      </w:pPr>
      <w:r w:rsidRPr="007C1820">
        <w:rPr>
          <w:rFonts w:asciiTheme="minorHAnsi" w:hAnsiTheme="minorHAnsi" w:cstheme="minorHAnsi"/>
          <w:b/>
          <w:bCs/>
        </w:rPr>
        <w:br w:type="page"/>
      </w:r>
    </w:p>
    <w:p w14:paraId="09C2D111" w14:textId="77777777" w:rsidR="007C1820" w:rsidRPr="007C1820" w:rsidRDefault="007C1820" w:rsidP="007C1820">
      <w:pPr>
        <w:pStyle w:val="regpar"/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7C1820">
        <w:rPr>
          <w:rFonts w:asciiTheme="minorHAnsi" w:hAnsiTheme="minorHAnsi" w:cstheme="minorHAnsi"/>
          <w:b/>
          <w:bCs/>
        </w:rPr>
        <w:lastRenderedPageBreak/>
        <w:t>Figure 1</w:t>
      </w:r>
    </w:p>
    <w:p w14:paraId="11DB3559" w14:textId="77777777" w:rsidR="007C1820" w:rsidRPr="007C1820" w:rsidRDefault="007C1820" w:rsidP="007C1820">
      <w:pPr>
        <w:pStyle w:val="regpar"/>
        <w:tabs>
          <w:tab w:val="left" w:pos="709"/>
        </w:tabs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7C1820">
        <w:rPr>
          <w:rFonts w:asciiTheme="minorHAnsi" w:hAnsiTheme="minorHAnsi" w:cstheme="minorHAnsi"/>
          <w:b/>
          <w:bCs/>
        </w:rPr>
        <w:t>Level of foreign exchange reserves, and their ratio to GDP, 2008–2026</w:t>
      </w:r>
    </w:p>
    <w:p w14:paraId="219A4557" w14:textId="77777777" w:rsidR="007C1820" w:rsidRPr="007C1820" w:rsidRDefault="007C1820" w:rsidP="007C1820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3662E250" w14:textId="77777777" w:rsidR="007C1820" w:rsidRPr="007C1820" w:rsidRDefault="007C1820" w:rsidP="007C1820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  <w:r w:rsidRPr="007C1820">
        <w:rPr>
          <w:rFonts w:asciiTheme="minorHAnsi" w:hAnsiTheme="minorHAnsi" w:cstheme="minorHAnsi"/>
          <w:noProof/>
        </w:rPr>
        <w:drawing>
          <wp:inline distT="0" distB="0" distL="0" distR="0" wp14:anchorId="0A90EA63" wp14:editId="747C8AD7">
            <wp:extent cx="6120765" cy="3686111"/>
            <wp:effectExtent l="0" t="0" r="0" b="0"/>
            <wp:docPr id="2" name="תמונה 1" descr="cid:image002.png@01DCAD4A.BDCC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2.png@01DCAD4A.BDCCC1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8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E301" w14:textId="77777777" w:rsidR="00445F3E" w:rsidRPr="007C1820" w:rsidRDefault="00445F3E" w:rsidP="007C1820">
      <w:pPr>
        <w:pStyle w:val="regpar"/>
        <w:ind w:firstLine="0"/>
        <w:rPr>
          <w:rFonts w:asciiTheme="minorHAnsi" w:hAnsiTheme="minorHAnsi" w:cstheme="minorHAnsi"/>
        </w:rPr>
      </w:pPr>
    </w:p>
    <w:sectPr w:rsidR="00445F3E" w:rsidRPr="007C1820" w:rsidSect="004F5A85">
      <w:headerReference w:type="default" r:id="rId14"/>
      <w:footerReference w:type="default" r:id="rId15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A9D86" w14:textId="77777777" w:rsidR="00642AC7" w:rsidRDefault="00642AC7">
      <w:pPr>
        <w:spacing w:line="240" w:lineRule="auto"/>
      </w:pPr>
      <w:r>
        <w:separator/>
      </w:r>
    </w:p>
  </w:endnote>
  <w:endnote w:type="continuationSeparator" w:id="0">
    <w:p w14:paraId="1F174756" w14:textId="77777777" w:rsidR="00642AC7" w:rsidRDefault="00642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2CA1" w14:textId="77777777" w:rsidR="00F203E3" w:rsidRDefault="00F203E3" w:rsidP="00F203E3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61CDF2" wp14:editId="189C2F2B">
              <wp:simplePos x="0" y="0"/>
              <wp:positionH relativeFrom="margin">
                <wp:posOffset>1588770</wp:posOffset>
              </wp:positionH>
              <wp:positionV relativeFrom="paragraph">
                <wp:posOffset>52705</wp:posOffset>
              </wp:positionV>
              <wp:extent cx="2009775" cy="4762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79AA38" w14:textId="6FE865FE" w:rsidR="00F203E3" w:rsidRPr="00031A9D" w:rsidRDefault="00072227" w:rsidP="00F203E3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Calibri" w:hAnsi="Calibri" w:cstheme="minorBidi"/>
                              <w:noProof/>
                              <w:sz w:val="16"/>
                              <w:szCs w:val="16"/>
                              <w:lang w:bidi="ar-JO"/>
                            </w:rPr>
                            <w:t>Pod</w:t>
                          </w:r>
                          <w:r w:rsidR="00F203E3">
                            <w:rPr>
                              <w:rFonts w:ascii="Calibri" w:hAnsi="Calibri" w:cstheme="minorBidi"/>
                              <w:noProof/>
                              <w:sz w:val="16"/>
                              <w:szCs w:val="16"/>
                              <w:lang w:bidi="ar-JO"/>
                            </w:rPr>
                            <w:t>cast</w:t>
                          </w:r>
                          <w:r w:rsidR="00F203E3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03E3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03E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680E1A" w14:textId="7607489D" w:rsidR="00F203E3" w:rsidRPr="00031A9D" w:rsidRDefault="00F203E3" w:rsidP="00F203E3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1CDF2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left:0;text-align:left;margin-left:125.1pt;margin-top:4.15pt;width:15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" filled="f" stroked="f" strokeweight=".5pt">
              <v:textbox>
                <w:txbxContent>
                  <w:p w14:paraId="1079AA38" w14:textId="6FE865FE" w:rsidR="00F203E3" w:rsidRPr="00031A9D" w:rsidRDefault="00072227" w:rsidP="00F203E3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Calibri" w:hAnsi="Calibri" w:cstheme="minorBidi"/>
                        <w:noProof/>
                        <w:sz w:val="16"/>
                        <w:szCs w:val="16"/>
                        <w:lang w:bidi="ar-JO"/>
                      </w:rPr>
                      <w:t>Pod</w:t>
                    </w:r>
                    <w:r w:rsidR="00F203E3">
                      <w:rPr>
                        <w:rFonts w:ascii="Calibri" w:hAnsi="Calibri" w:cstheme="minorBidi"/>
                        <w:noProof/>
                        <w:sz w:val="16"/>
                        <w:szCs w:val="16"/>
                        <w:lang w:bidi="ar-JO"/>
                      </w:rPr>
                      <w:t>cast</w:t>
                    </w:r>
                    <w:r w:rsidR="00F203E3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03E3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03E3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  <w:p w14:paraId="36680E1A" w14:textId="7607489D" w:rsidR="00F203E3" w:rsidRPr="00031A9D" w:rsidRDefault="00F203E3" w:rsidP="00F203E3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7A0605C2" wp14:editId="5417CDF3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44C177" wp14:editId="58BEB21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26C22D17" wp14:editId="024888F3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33BA9198" wp14:editId="17703A5B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B8023" wp14:editId="67EF98B4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878394" w14:textId="1EC179C1" w:rsidR="00F203E3" w:rsidRPr="00031A9D" w:rsidRDefault="00F203E3" w:rsidP="00F203E3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Youtube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B8023" id="תיבת טקסט 22" o:spid="_x0000_s1027" type="#_x0000_t202" style="position:absolute;left:0;text-align:left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14:paraId="68878394" w14:textId="1EC179C1" w:rsidR="00F203E3" w:rsidRPr="00031A9D" w:rsidRDefault="00F203E3" w:rsidP="00F203E3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Youtube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C210FF" wp14:editId="4912FE26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D7D6C" w14:textId="2E959A25" w:rsidR="00F203E3" w:rsidRPr="00031A9D" w:rsidRDefault="00F203E3" w:rsidP="00F203E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 xml:space="preserve">Facebook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C210FF" id="תיבת טקסט 9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14:paraId="06CD7D6C" w14:textId="2E959A25" w:rsidR="00F203E3" w:rsidRPr="00031A9D" w:rsidRDefault="00F203E3" w:rsidP="00F203E3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 xml:space="preserve">Facebook 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CC6DA" wp14:editId="17558B3D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50FA52" w14:textId="307CCBBC" w:rsidR="00F203E3" w:rsidRDefault="00F203E3" w:rsidP="00F203E3">
                          <w:pPr>
                            <w:jc w:val="center"/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</w:rPr>
                            <w:t xml:space="preserve">BOI website </w:t>
                          </w:r>
                        </w:p>
                        <w:p w14:paraId="0D4B3CDF" w14:textId="12152453" w:rsidR="00F203E3" w:rsidRPr="00F203E3" w:rsidRDefault="006C11C7" w:rsidP="00F203E3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hyperlink r:id="rId14" w:history="1">
                            <w:r w:rsidR="00F203E3" w:rsidRPr="00267D8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https://www.boi.org.il/en/</w:t>
                            </w:r>
                          </w:hyperlink>
                          <w:r w:rsidR="00F203E3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ACC6DA" id="תיבת טקסט 7" o:spid="_x0000_s1029" type="#_x0000_t202" style="position:absolute;left:0;text-align:left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14:paraId="4650FA52" w14:textId="307CCBBC" w:rsidR="00F203E3" w:rsidRDefault="00F203E3" w:rsidP="00F203E3">
                    <w:pPr>
                      <w:jc w:val="center"/>
                      <w:rPr>
                        <w:rFonts w:ascii="Assistant" w:hAnsi="Assistant" w:cs="Assistant"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ssistant" w:hAnsi="Assistant" w:cs="Assistant"/>
                        <w:noProof/>
                        <w:sz w:val="14"/>
                        <w:szCs w:val="14"/>
                      </w:rPr>
                      <w:t xml:space="preserve">BOI website </w:t>
                    </w:r>
                  </w:p>
                  <w:p w14:paraId="0D4B3CDF" w14:textId="12152453" w:rsidR="00F203E3" w:rsidRPr="00F203E3" w:rsidRDefault="006C11C7" w:rsidP="00F203E3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hyperlink r:id="rId15" w:history="1">
                      <w:r w:rsidR="00F203E3" w:rsidRPr="00267D8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https://www.boi.org.il/en/</w:t>
                      </w:r>
                    </w:hyperlink>
                    <w:r w:rsidR="00F203E3"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CB6852" wp14:editId="616DDE5D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6A5CF0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14:paraId="652D9181" w14:textId="77777777" w:rsidR="00F203E3" w:rsidRDefault="00F20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DE29" w14:textId="77777777" w:rsidR="00642AC7" w:rsidRDefault="00642AC7">
      <w:pPr>
        <w:spacing w:line="160" w:lineRule="exact"/>
      </w:pPr>
    </w:p>
  </w:footnote>
  <w:footnote w:type="continuationSeparator" w:id="0">
    <w:p w14:paraId="7FA5B10F" w14:textId="77777777" w:rsidR="00642AC7" w:rsidRDefault="00642AC7">
      <w:pPr>
        <w:pStyle w:val="rule"/>
      </w:pPr>
      <w:r>
        <w:t>–––––––––––––––––––––––––––</w:t>
      </w:r>
    </w:p>
    <w:p w14:paraId="128695CC" w14:textId="77777777" w:rsidR="00642AC7" w:rsidRDefault="00642AC7">
      <w:pPr>
        <w:pStyle w:val="noteseparator"/>
      </w:pPr>
    </w:p>
  </w:footnote>
  <w:footnote w:id="1">
    <w:p w14:paraId="68E740C1" w14:textId="77777777" w:rsidR="007C1820" w:rsidRPr="007C1820" w:rsidRDefault="007C1820" w:rsidP="007C1820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C1820">
        <w:rPr>
          <w:rStyle w:val="FootnoteReference"/>
          <w:rFonts w:asciiTheme="minorHAnsi" w:hAnsiTheme="minorHAnsi" w:cstheme="minorHAnsi"/>
          <w:sz w:val="18"/>
          <w:szCs w:val="18"/>
        </w:rPr>
        <w:t>a</w:t>
      </w:r>
      <w:r w:rsidRPr="007C1820">
        <w:rPr>
          <w:rFonts w:asciiTheme="minorHAnsi" w:hAnsiTheme="minorHAnsi" w:cstheme="minorHAnsi"/>
          <w:sz w:val="18"/>
          <w:szCs w:val="18"/>
        </w:rPr>
        <w:t xml:space="preserve"> Includes Bank of Israel payments and receipts in foreign currency.</w:t>
      </w:r>
    </w:p>
  </w:footnote>
  <w:footnote w:id="2">
    <w:p w14:paraId="0AAC26A0" w14:textId="77777777" w:rsidR="007C1820" w:rsidRPr="007C1820" w:rsidRDefault="007C1820" w:rsidP="007C1820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 w:rsidRPr="007C1820">
        <w:rPr>
          <w:rFonts w:asciiTheme="minorHAnsi" w:hAnsiTheme="minorHAnsi" w:cstheme="minorHAnsi"/>
          <w:sz w:val="18"/>
          <w:szCs w:val="18"/>
          <w:vertAlign w:val="superscript"/>
        </w:rPr>
        <w:t>b</w:t>
      </w:r>
      <w:proofErr w:type="gramEnd"/>
      <w:r w:rsidRPr="007C1820">
        <w:rPr>
          <w:rFonts w:asciiTheme="minorHAnsi" w:hAnsiTheme="minorHAnsi" w:cstheme="minorHAnsi"/>
          <w:sz w:val="18"/>
          <w:szCs w:val="18"/>
        </w:rPr>
        <w:t xml:space="preserve"> This column includes Special Drawing Rights (SDRs), the balance of NAB loans, and the balance of Israel's reserve tranche at the IMF.</w:t>
      </w:r>
    </w:p>
    <w:p w14:paraId="09527AEE" w14:textId="77777777" w:rsidR="007C1820" w:rsidRPr="007C1820" w:rsidRDefault="007C1820" w:rsidP="007C1820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7C1820">
        <w:rPr>
          <w:rStyle w:val="FootnoteReference"/>
          <w:rFonts w:asciiTheme="minorHAnsi" w:hAnsiTheme="minorHAnsi" w:cstheme="minorHAnsi"/>
          <w:sz w:val="18"/>
          <w:szCs w:val="18"/>
        </w:rPr>
        <w:t>c</w:t>
      </w:r>
      <w:r w:rsidRPr="007C1820">
        <w:rPr>
          <w:rFonts w:asciiTheme="minorHAnsi" w:hAnsiTheme="minorHAnsi" w:cstheme="minorHAnsi"/>
          <w:sz w:val="18"/>
          <w:szCs w:val="18"/>
        </w:rPr>
        <w:t xml:space="preserve"> Updated after the original date of publication.</w:t>
      </w:r>
    </w:p>
    <w:p w14:paraId="3C42B5C8" w14:textId="77777777" w:rsidR="007C1820" w:rsidRPr="007C1820" w:rsidRDefault="007C1820" w:rsidP="007C1820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6B4A93"/>
    <w:multiLevelType w:val="multilevel"/>
    <w:tmpl w:val="47B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"/>
  </w:num>
  <w:num w:numId="17">
    <w:abstractNumId w:val="17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2227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B6617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2E73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45F3E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0E42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4AC0"/>
    <w:rsid w:val="0055658B"/>
    <w:rsid w:val="0056099E"/>
    <w:rsid w:val="00562B0B"/>
    <w:rsid w:val="005676E1"/>
    <w:rsid w:val="00572E97"/>
    <w:rsid w:val="00581AE6"/>
    <w:rsid w:val="00590949"/>
    <w:rsid w:val="00591171"/>
    <w:rsid w:val="00592585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431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2AC7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1E1E"/>
    <w:rsid w:val="00694066"/>
    <w:rsid w:val="00696506"/>
    <w:rsid w:val="006A29C7"/>
    <w:rsid w:val="006A2E45"/>
    <w:rsid w:val="006A36A4"/>
    <w:rsid w:val="006B03B7"/>
    <w:rsid w:val="006B39E9"/>
    <w:rsid w:val="006C11C7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820"/>
    <w:rsid w:val="007C1B58"/>
    <w:rsid w:val="007D41E1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1CB5"/>
    <w:rsid w:val="00826845"/>
    <w:rsid w:val="00836D7A"/>
    <w:rsid w:val="00841E41"/>
    <w:rsid w:val="0084331E"/>
    <w:rsid w:val="00843E13"/>
    <w:rsid w:val="00843F4B"/>
    <w:rsid w:val="0084597D"/>
    <w:rsid w:val="008503B3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1EFA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3D3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10FE"/>
    <w:rsid w:val="00F13C80"/>
    <w:rsid w:val="00F14FC5"/>
    <w:rsid w:val="00F17BE5"/>
    <w:rsid w:val="00F203E3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0D2B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45F3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link w:val="regparChar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rPr>
      <w:position w:val="6"/>
      <w:sz w:val="14"/>
      <w:szCs w:val="14"/>
    </w:rPr>
  </w:style>
  <w:style w:type="paragraph" w:styleId="FootnoteText">
    <w:name w:val="footnote text"/>
    <w:basedOn w:val="regpar"/>
    <w:link w:val="FootnoteTextChar"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27711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8D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40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0C46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5F3E"/>
    <w:rPr>
      <w:rFonts w:ascii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45F3E"/>
    <w:rPr>
      <w:b/>
      <w:bCs/>
    </w:rPr>
  </w:style>
  <w:style w:type="character" w:styleId="Emphasis">
    <w:name w:val="Emphasis"/>
    <w:basedOn w:val="DefaultParagraphFont"/>
    <w:uiPriority w:val="20"/>
    <w:qFormat/>
    <w:rsid w:val="00445F3E"/>
    <w:rPr>
      <w:i/>
      <w:iCs/>
    </w:rPr>
  </w:style>
  <w:style w:type="character" w:customStyle="1" w:styleId="regparChar">
    <w:name w:val="regpar Char"/>
    <w:basedOn w:val="DefaultParagraphFont"/>
    <w:link w:val="regpar"/>
    <w:rsid w:val="007C1820"/>
    <w:rPr>
      <w:rFonts w:ascii="Times" w:hAnsi="Times" w:cs="Times"/>
      <w:sz w:val="24"/>
      <w:szCs w:val="24"/>
    </w:rPr>
  </w:style>
  <w:style w:type="paragraph" w:customStyle="1" w:styleId="PressReleaseTitle">
    <w:name w:val="Press Release Title"/>
    <w:basedOn w:val="Normal"/>
    <w:link w:val="PressReleaseTitleChar"/>
    <w:qFormat/>
    <w:rsid w:val="007C1820"/>
    <w:pPr>
      <w:tabs>
        <w:tab w:val="center" w:pos="4156"/>
        <w:tab w:val="right" w:pos="8312"/>
      </w:tabs>
      <w:spacing w:line="240" w:lineRule="auto"/>
      <w:jc w:val="center"/>
    </w:pPr>
    <w:rPr>
      <w:rFonts w:ascii="Times New Roman" w:hAnsi="Times New Roman" w:cs="David"/>
      <w:b/>
      <w:bCs/>
      <w:sz w:val="26"/>
      <w:szCs w:val="26"/>
    </w:rPr>
  </w:style>
  <w:style w:type="character" w:customStyle="1" w:styleId="PressReleaseTitleChar">
    <w:name w:val="Press Release Title Char"/>
    <w:basedOn w:val="DefaultParagraphFont"/>
    <w:link w:val="PressReleaseTitle"/>
    <w:rsid w:val="007C1820"/>
    <w:rPr>
      <w:rFonts w:ascii="Times New Roman" w:hAnsi="Times New Roman" w:cs="David"/>
      <w:b/>
      <w:bCs/>
      <w:sz w:val="26"/>
      <w:szCs w:val="26"/>
    </w:rPr>
  </w:style>
  <w:style w:type="paragraph" w:customStyle="1" w:styleId="PS">
    <w:name w:val="PS"/>
    <w:basedOn w:val="Normal"/>
    <w:rsid w:val="007C1820"/>
    <w:pPr>
      <w:snapToGrid w:val="0"/>
      <w:spacing w:line="240" w:lineRule="auto"/>
      <w:ind w:firstLine="432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CAD4A.BDCCC11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en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en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7E75B-D1AA-450C-96B1-A35A7472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1143</Characters>
  <Application>Microsoft Office Word</Application>
  <DocSecurity>0</DocSecurity>
  <Lines>103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2026-03-08T10:35:00Z</dcterms:created>
  <dcterms:modified xsi:type="dcterms:W3CDTF">2026-03-08T10:35:00Z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