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theme/themeOverride2.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olors2.xml" ContentType="application/vnd.ms-office.chartcolor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24" w:rsidRPr="00A6008A" w:rsidRDefault="00D90224" w:rsidP="00A6008A">
      <w:pPr>
        <w:bidi/>
        <w:spacing w:line="360" w:lineRule="auto"/>
        <w:rPr>
          <w:rFonts w:ascii="David" w:hAnsi="David" w:cs="David"/>
          <w:sz w:val="24"/>
          <w:szCs w:val="24"/>
          <w:u w:val="single"/>
          <w:rtl/>
        </w:rPr>
      </w:pPr>
      <w:bookmarkStart w:id="0" w:name="_GoBack"/>
      <w:bookmarkEnd w:id="0"/>
    </w:p>
    <w:tbl>
      <w:tblPr>
        <w:tblpPr w:leftFromText="180" w:rightFromText="180" w:bottomFromText="200" w:horzAnchor="margin" w:tblpXSpec="center" w:tblpY="-540"/>
        <w:bidiVisual/>
        <w:tblW w:w="8520" w:type="dxa"/>
        <w:tblLayout w:type="fixed"/>
        <w:tblLook w:val="04A0" w:firstRow="1" w:lastRow="0" w:firstColumn="1" w:lastColumn="0" w:noHBand="0" w:noVBand="1"/>
      </w:tblPr>
      <w:tblGrid>
        <w:gridCol w:w="2840"/>
        <w:gridCol w:w="2596"/>
        <w:gridCol w:w="3084"/>
      </w:tblGrid>
      <w:tr w:rsidR="00A6008A" w:rsidRPr="00A6008A" w:rsidTr="00C0519A">
        <w:tc>
          <w:tcPr>
            <w:tcW w:w="2840" w:type="dxa"/>
            <w:vAlign w:val="center"/>
            <w:hideMark/>
          </w:tcPr>
          <w:p w:rsidR="00A6008A" w:rsidRPr="00A6008A" w:rsidRDefault="00A6008A" w:rsidP="00A6008A">
            <w:pPr>
              <w:bidi/>
              <w:spacing w:before="240" w:after="0" w:line="360" w:lineRule="auto"/>
              <w:rPr>
                <w:rFonts w:ascii="David" w:eastAsia="Times New Roman" w:hAnsi="David" w:cs="David"/>
                <w:b/>
                <w:bCs/>
                <w:sz w:val="24"/>
                <w:szCs w:val="24"/>
                <w:lang w:eastAsia="he-IL"/>
              </w:rPr>
            </w:pPr>
            <w:r w:rsidRPr="00A6008A">
              <w:rPr>
                <w:rFonts w:ascii="David" w:eastAsia="Times New Roman" w:hAnsi="David" w:cs="David"/>
                <w:b/>
                <w:bCs/>
                <w:sz w:val="24"/>
                <w:szCs w:val="24"/>
                <w:rtl/>
                <w:lang w:eastAsia="he-IL"/>
              </w:rPr>
              <w:t>בנק ישראל</w:t>
            </w:r>
          </w:p>
          <w:p w:rsidR="00A6008A" w:rsidRPr="00A6008A" w:rsidRDefault="00A6008A" w:rsidP="00A6008A">
            <w:pPr>
              <w:bidi/>
              <w:spacing w:before="240" w:after="0" w:line="360" w:lineRule="auto"/>
              <w:ind w:right="-101"/>
              <w:jc w:val="both"/>
              <w:rPr>
                <w:rFonts w:ascii="David" w:eastAsia="Times New Roman" w:hAnsi="David" w:cs="David"/>
                <w:sz w:val="24"/>
                <w:szCs w:val="24"/>
                <w:lang w:eastAsia="he-IL"/>
              </w:rPr>
            </w:pPr>
            <w:r w:rsidRPr="00A6008A">
              <w:rPr>
                <w:rFonts w:ascii="David" w:eastAsia="Times New Roman" w:hAnsi="David" w:cs="David"/>
                <w:sz w:val="24"/>
                <w:szCs w:val="24"/>
                <w:rtl/>
                <w:lang w:eastAsia="he-IL"/>
              </w:rPr>
              <w:t>דוברות והסברה כלכלית</w:t>
            </w:r>
          </w:p>
        </w:tc>
        <w:tc>
          <w:tcPr>
            <w:tcW w:w="2596" w:type="dxa"/>
            <w:hideMark/>
          </w:tcPr>
          <w:p w:rsidR="00A6008A" w:rsidRPr="00A6008A" w:rsidRDefault="00A6008A" w:rsidP="00A6008A">
            <w:pPr>
              <w:tabs>
                <w:tab w:val="right" w:pos="2380"/>
              </w:tabs>
              <w:bidi/>
              <w:spacing w:before="240" w:after="0" w:line="360" w:lineRule="auto"/>
              <w:jc w:val="both"/>
              <w:rPr>
                <w:rFonts w:ascii="David" w:eastAsia="Times New Roman" w:hAnsi="David" w:cs="David"/>
                <w:sz w:val="24"/>
                <w:szCs w:val="24"/>
                <w:lang w:eastAsia="he-IL"/>
              </w:rPr>
            </w:pPr>
            <w:r w:rsidRPr="00A6008A">
              <w:rPr>
                <w:rFonts w:ascii="David" w:eastAsia="Calibri" w:hAnsi="David" w:cs="David"/>
                <w:noProof/>
                <w:sz w:val="24"/>
                <w:szCs w:val="24"/>
              </w:rPr>
              <w:drawing>
                <wp:anchor distT="0" distB="0" distL="114300" distR="114300" simplePos="0" relativeHeight="251659264" behindDoc="0" locked="0" layoutInCell="1" allowOverlap="1" wp14:anchorId="6C67F546" wp14:editId="6B3980A7">
                  <wp:simplePos x="0" y="0"/>
                  <wp:positionH relativeFrom="column">
                    <wp:align>center</wp:align>
                  </wp:positionH>
                  <wp:positionV relativeFrom="paragraph">
                    <wp:posOffset>154940</wp:posOffset>
                  </wp:positionV>
                  <wp:extent cx="1050925" cy="1050925"/>
                  <wp:effectExtent l="0" t="0" r="0" b="0"/>
                  <wp:wrapSquare wrapText="bothSides"/>
                  <wp:docPr id="5" name="תמונה 5"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r w:rsidRPr="00A6008A">
              <w:rPr>
                <w:rFonts w:ascii="David" w:eastAsia="Times New Roman" w:hAnsi="David" w:cs="David"/>
                <w:sz w:val="24"/>
                <w:szCs w:val="24"/>
                <w:lang w:eastAsia="he-IL"/>
              </w:rPr>
              <w:tab/>
            </w:r>
          </w:p>
        </w:tc>
        <w:tc>
          <w:tcPr>
            <w:tcW w:w="3084" w:type="dxa"/>
            <w:vAlign w:val="center"/>
            <w:hideMark/>
          </w:tcPr>
          <w:tbl>
            <w:tblPr>
              <w:bidiVisual/>
              <w:tblW w:w="0" w:type="auto"/>
              <w:jc w:val="center"/>
              <w:tblLayout w:type="fixed"/>
              <w:tblLook w:val="04A0" w:firstRow="1" w:lastRow="0" w:firstColumn="1" w:lastColumn="0" w:noHBand="0" w:noVBand="1"/>
            </w:tblPr>
            <w:tblGrid>
              <w:gridCol w:w="3084"/>
            </w:tblGrid>
            <w:tr w:rsidR="00A6008A" w:rsidRPr="00A6008A" w:rsidTr="00C0519A">
              <w:trPr>
                <w:jc w:val="center"/>
              </w:trPr>
              <w:tc>
                <w:tcPr>
                  <w:tcW w:w="3084" w:type="dxa"/>
                  <w:vAlign w:val="center"/>
                  <w:hideMark/>
                </w:tcPr>
                <w:p w:rsidR="00A6008A" w:rsidRPr="00A6008A" w:rsidRDefault="00A6008A" w:rsidP="00506807">
                  <w:pPr>
                    <w:framePr w:hSpace="180" w:wrap="around" w:hAnchor="margin" w:xAlign="center" w:y="-540"/>
                    <w:bidi/>
                    <w:spacing w:before="240" w:after="0" w:line="360" w:lineRule="auto"/>
                    <w:jc w:val="right"/>
                    <w:rPr>
                      <w:rFonts w:ascii="David" w:eastAsia="Times New Roman" w:hAnsi="David" w:cs="David"/>
                      <w:sz w:val="24"/>
                      <w:szCs w:val="24"/>
                      <w:lang w:eastAsia="he-IL"/>
                    </w:rPr>
                  </w:pPr>
                  <w:r w:rsidRPr="00A6008A">
                    <w:rPr>
                      <w:rFonts w:ascii="David" w:eastAsia="Times New Roman" w:hAnsi="David" w:cs="David"/>
                      <w:sz w:val="24"/>
                      <w:szCs w:val="24"/>
                      <w:rtl/>
                      <w:lang w:eastAsia="he-IL"/>
                    </w:rPr>
                    <w:t>‏ירושלים, ו' באב, תשפ"ב</w:t>
                  </w:r>
                </w:p>
                <w:p w:rsidR="00A6008A" w:rsidRPr="00A6008A" w:rsidRDefault="00A6008A" w:rsidP="00506807">
                  <w:pPr>
                    <w:framePr w:hSpace="180" w:wrap="around" w:hAnchor="margin" w:xAlign="center" w:y="-540"/>
                    <w:bidi/>
                    <w:spacing w:before="240" w:after="160" w:line="360" w:lineRule="auto"/>
                    <w:jc w:val="right"/>
                    <w:rPr>
                      <w:rFonts w:ascii="David" w:eastAsia="Times New Roman" w:hAnsi="David" w:cs="David"/>
                      <w:sz w:val="24"/>
                      <w:szCs w:val="24"/>
                      <w:lang w:eastAsia="he-IL"/>
                    </w:rPr>
                  </w:pPr>
                  <w:r w:rsidRPr="00A6008A">
                    <w:rPr>
                      <w:rFonts w:ascii="David" w:eastAsia="Times New Roman" w:hAnsi="David" w:cs="David"/>
                      <w:sz w:val="24"/>
                      <w:szCs w:val="24"/>
                      <w:rtl/>
                      <w:lang w:eastAsia="he-IL"/>
                    </w:rPr>
                    <w:t>‏03 באוגוסט, 2022</w:t>
                  </w:r>
                </w:p>
              </w:tc>
            </w:tr>
          </w:tbl>
          <w:p w:rsidR="00A6008A" w:rsidRPr="00A6008A" w:rsidRDefault="00A6008A" w:rsidP="00A6008A">
            <w:pPr>
              <w:bidi/>
              <w:spacing w:after="0" w:line="360" w:lineRule="auto"/>
              <w:jc w:val="center"/>
              <w:rPr>
                <w:rFonts w:ascii="David" w:eastAsia="Calibri" w:hAnsi="David" w:cs="David"/>
                <w:sz w:val="24"/>
                <w:szCs w:val="24"/>
                <w:rtl/>
              </w:rPr>
            </w:pPr>
          </w:p>
        </w:tc>
      </w:tr>
    </w:tbl>
    <w:p w:rsidR="00A6008A" w:rsidRPr="00A6008A" w:rsidRDefault="00A6008A" w:rsidP="00A6008A">
      <w:pPr>
        <w:bidi/>
        <w:spacing w:line="360" w:lineRule="auto"/>
        <w:jc w:val="both"/>
        <w:rPr>
          <w:rFonts w:ascii="David" w:eastAsia="Calibri" w:hAnsi="David" w:cs="David"/>
          <w:sz w:val="24"/>
          <w:szCs w:val="24"/>
          <w:rtl/>
        </w:rPr>
      </w:pPr>
      <w:r w:rsidRPr="00A6008A">
        <w:rPr>
          <w:rFonts w:ascii="David" w:eastAsia="Calibri" w:hAnsi="David" w:cs="David"/>
          <w:sz w:val="24"/>
          <w:szCs w:val="24"/>
          <w:rtl/>
        </w:rPr>
        <w:t xml:space="preserve">הודעה לעיתונות:  </w:t>
      </w:r>
      <w:r w:rsidRPr="00A6008A">
        <w:rPr>
          <w:rFonts w:ascii="David" w:eastAsia="Calibri" w:hAnsi="David" w:cs="David"/>
          <w:sz w:val="24"/>
          <w:szCs w:val="24"/>
          <w:rtl/>
        </w:rPr>
        <w:tab/>
      </w:r>
      <w:r w:rsidRPr="00A6008A">
        <w:rPr>
          <w:rFonts w:ascii="David" w:eastAsia="Calibri" w:hAnsi="David" w:cs="David"/>
          <w:sz w:val="24"/>
          <w:szCs w:val="24"/>
          <w:rtl/>
        </w:rPr>
        <w:tab/>
      </w:r>
    </w:p>
    <w:p w:rsidR="0032733F" w:rsidRPr="00A6008A" w:rsidRDefault="0032733F" w:rsidP="00A6008A">
      <w:pPr>
        <w:bidi/>
        <w:spacing w:line="360" w:lineRule="auto"/>
        <w:jc w:val="center"/>
        <w:rPr>
          <w:rFonts w:ascii="David" w:hAnsi="David" w:cs="David"/>
          <w:b/>
          <w:bCs/>
          <w:sz w:val="28"/>
          <w:szCs w:val="28"/>
          <w:rtl/>
        </w:rPr>
      </w:pPr>
      <w:r w:rsidRPr="00A6008A">
        <w:rPr>
          <w:rFonts w:ascii="David" w:hAnsi="David" w:cs="David"/>
          <w:b/>
          <w:bCs/>
          <w:sz w:val="28"/>
          <w:szCs w:val="28"/>
          <w:rtl/>
        </w:rPr>
        <w:t>מחקר</w:t>
      </w:r>
      <w:r w:rsidR="00343DD9" w:rsidRPr="00A6008A">
        <w:rPr>
          <w:rFonts w:ascii="David" w:hAnsi="David" w:cs="David"/>
          <w:b/>
          <w:bCs/>
          <w:sz w:val="28"/>
          <w:szCs w:val="28"/>
          <w:rtl/>
        </w:rPr>
        <w:t xml:space="preserve"> תזמון שוק ברכישות חוזרות של אגרות חוב קונצרניות</w:t>
      </w:r>
      <w:r w:rsidRPr="00A6008A">
        <w:rPr>
          <w:rFonts w:ascii="David" w:hAnsi="David" w:cs="David"/>
          <w:b/>
          <w:bCs/>
          <w:sz w:val="28"/>
          <w:szCs w:val="28"/>
          <w:rtl/>
        </w:rPr>
        <w:t xml:space="preserve"> </w:t>
      </w:r>
    </w:p>
    <w:p w:rsidR="0032733F" w:rsidRPr="00A6008A" w:rsidRDefault="0032733F" w:rsidP="00A6008A">
      <w:pPr>
        <w:pStyle w:val="a3"/>
        <w:numPr>
          <w:ilvl w:val="0"/>
          <w:numId w:val="1"/>
        </w:numPr>
        <w:bidi/>
        <w:spacing w:after="160" w:line="360" w:lineRule="auto"/>
        <w:jc w:val="both"/>
        <w:rPr>
          <w:rFonts w:ascii="David" w:hAnsi="David" w:cs="David"/>
          <w:sz w:val="24"/>
          <w:szCs w:val="24"/>
        </w:rPr>
      </w:pPr>
      <w:r w:rsidRPr="00A6008A">
        <w:rPr>
          <w:rFonts w:ascii="David" w:hAnsi="David" w:cs="David"/>
          <w:sz w:val="24"/>
          <w:szCs w:val="24"/>
          <w:rtl/>
        </w:rPr>
        <w:t xml:space="preserve">המחקר בוחן </w:t>
      </w:r>
      <w:r w:rsidR="00C26AD3" w:rsidRPr="00A6008A">
        <w:rPr>
          <w:rFonts w:ascii="David" w:hAnsi="David" w:cs="David"/>
          <w:sz w:val="24"/>
          <w:szCs w:val="24"/>
          <w:rtl/>
        </w:rPr>
        <w:t xml:space="preserve">את ההשפעה של </w:t>
      </w:r>
      <w:r w:rsidR="00866C1C" w:rsidRPr="00A6008A">
        <w:rPr>
          <w:rFonts w:ascii="David" w:hAnsi="David" w:cs="David"/>
          <w:sz w:val="24"/>
          <w:szCs w:val="24"/>
          <w:rtl/>
        </w:rPr>
        <w:t>רכישות חוזרות של אגרות חוב על-ידי החברות הציבוריות</w:t>
      </w:r>
      <w:r w:rsidR="009B3390" w:rsidRPr="00A6008A">
        <w:rPr>
          <w:rFonts w:ascii="David" w:hAnsi="David" w:cs="David"/>
          <w:sz w:val="24"/>
          <w:szCs w:val="24"/>
          <w:rtl/>
        </w:rPr>
        <w:t xml:space="preserve"> </w:t>
      </w:r>
      <w:r w:rsidR="00866C1C" w:rsidRPr="00A6008A">
        <w:rPr>
          <w:rFonts w:ascii="David" w:hAnsi="David" w:cs="David"/>
          <w:sz w:val="24"/>
          <w:szCs w:val="24"/>
          <w:rtl/>
        </w:rPr>
        <w:t xml:space="preserve"> בישראל בשנים 2008-2020</w:t>
      </w:r>
      <w:r w:rsidR="00C26AD3" w:rsidRPr="00A6008A">
        <w:rPr>
          <w:rFonts w:ascii="David" w:hAnsi="David" w:cs="David"/>
          <w:sz w:val="24"/>
          <w:szCs w:val="24"/>
          <w:rtl/>
        </w:rPr>
        <w:t>, על מחירי האג"ח</w:t>
      </w:r>
      <w:r w:rsidR="00576450" w:rsidRPr="00A6008A">
        <w:rPr>
          <w:rFonts w:ascii="David" w:hAnsi="David" w:cs="David"/>
          <w:sz w:val="24"/>
          <w:szCs w:val="24"/>
          <w:rtl/>
        </w:rPr>
        <w:t>.</w:t>
      </w:r>
    </w:p>
    <w:p w:rsidR="00343DD9" w:rsidRPr="00A6008A" w:rsidRDefault="0032733F" w:rsidP="00A6008A">
      <w:pPr>
        <w:pStyle w:val="a3"/>
        <w:numPr>
          <w:ilvl w:val="0"/>
          <w:numId w:val="1"/>
        </w:numPr>
        <w:bidi/>
        <w:spacing w:after="160" w:line="360" w:lineRule="auto"/>
        <w:jc w:val="both"/>
        <w:rPr>
          <w:rFonts w:ascii="David" w:hAnsi="David" w:cs="David"/>
          <w:sz w:val="24"/>
          <w:szCs w:val="24"/>
        </w:rPr>
      </w:pPr>
      <w:r w:rsidRPr="00A6008A">
        <w:rPr>
          <w:rFonts w:ascii="David" w:hAnsi="David" w:cs="David"/>
          <w:sz w:val="24"/>
          <w:szCs w:val="24"/>
          <w:rtl/>
        </w:rPr>
        <w:t xml:space="preserve">המחקר מוצא </w:t>
      </w:r>
      <w:r w:rsidR="00866C1C" w:rsidRPr="00A6008A">
        <w:rPr>
          <w:rFonts w:ascii="David" w:hAnsi="David" w:cs="David"/>
          <w:sz w:val="24"/>
          <w:szCs w:val="24"/>
          <w:rtl/>
        </w:rPr>
        <w:t xml:space="preserve">תגובה </w:t>
      </w:r>
      <w:r w:rsidR="00576450" w:rsidRPr="00A6008A">
        <w:rPr>
          <w:rFonts w:ascii="David" w:hAnsi="David" w:cs="David"/>
          <w:sz w:val="24"/>
          <w:szCs w:val="24"/>
          <w:rtl/>
        </w:rPr>
        <w:t xml:space="preserve">חיובית </w:t>
      </w:r>
      <w:r w:rsidR="004135D1" w:rsidRPr="00A6008A">
        <w:rPr>
          <w:rFonts w:ascii="David" w:hAnsi="David" w:cs="David"/>
          <w:sz w:val="24"/>
          <w:szCs w:val="24"/>
          <w:rtl/>
        </w:rPr>
        <w:t>מובהקת</w:t>
      </w:r>
      <w:r w:rsidR="00866C1C" w:rsidRPr="00A6008A">
        <w:rPr>
          <w:rFonts w:ascii="David" w:hAnsi="David" w:cs="David"/>
          <w:sz w:val="24"/>
          <w:szCs w:val="24"/>
          <w:rtl/>
        </w:rPr>
        <w:t xml:space="preserve"> של המשקיעים לרכישה חוזרת של אגרות חוב, תגובה שמתחילה ביום הרכישה ונמשכת במועד הדיווח הפורמלי על הרכישה לציבור ואף מספר ימי מסחר לאחר-מכן.</w:t>
      </w:r>
    </w:p>
    <w:p w:rsidR="00343DD9" w:rsidRPr="00A6008A" w:rsidRDefault="0032733F" w:rsidP="00A6008A">
      <w:pPr>
        <w:pStyle w:val="a3"/>
        <w:numPr>
          <w:ilvl w:val="0"/>
          <w:numId w:val="1"/>
        </w:numPr>
        <w:bidi/>
        <w:spacing w:after="160" w:line="360" w:lineRule="auto"/>
        <w:jc w:val="both"/>
        <w:rPr>
          <w:rFonts w:ascii="David" w:hAnsi="David" w:cs="David"/>
          <w:sz w:val="24"/>
          <w:szCs w:val="24"/>
        </w:rPr>
      </w:pPr>
      <w:r w:rsidRPr="00A6008A">
        <w:rPr>
          <w:rFonts w:ascii="David" w:hAnsi="David" w:cs="David"/>
          <w:sz w:val="24"/>
          <w:szCs w:val="24"/>
          <w:rtl/>
        </w:rPr>
        <w:t xml:space="preserve">המחקר הנוכחי הוא הראשון שבוחן </w:t>
      </w:r>
      <w:r w:rsidR="00866C1C" w:rsidRPr="00A6008A">
        <w:rPr>
          <w:rFonts w:ascii="David" w:hAnsi="David" w:cs="David"/>
          <w:sz w:val="24"/>
          <w:szCs w:val="24"/>
          <w:rtl/>
        </w:rPr>
        <w:t>את תגובת המשקיעים לרכישה חוזרת של אגרות חוב בימים שסביב הרכישה. הממצאים מוסיפים לספרות המחקרית העשירה שכבר קיימת על התופעה המקבילה של רכישה חוזרת של מניות.</w:t>
      </w:r>
    </w:p>
    <w:p w:rsidR="00343DD9" w:rsidRPr="00A6008A" w:rsidRDefault="00343DD9" w:rsidP="00A6008A">
      <w:pPr>
        <w:pStyle w:val="a3"/>
        <w:bidi/>
        <w:spacing w:after="160" w:line="360" w:lineRule="auto"/>
        <w:jc w:val="both"/>
        <w:rPr>
          <w:rFonts w:ascii="David" w:hAnsi="David" w:cs="David"/>
          <w:sz w:val="24"/>
          <w:szCs w:val="24"/>
        </w:rPr>
      </w:pPr>
    </w:p>
    <w:p w:rsidR="003F2159" w:rsidRPr="00A6008A" w:rsidRDefault="00343DD9" w:rsidP="00A6008A">
      <w:pPr>
        <w:bidi/>
        <w:spacing w:after="160" w:line="360" w:lineRule="auto"/>
        <w:jc w:val="both"/>
        <w:rPr>
          <w:rFonts w:ascii="David" w:hAnsi="David" w:cs="David"/>
          <w:sz w:val="24"/>
          <w:szCs w:val="24"/>
          <w:rtl/>
        </w:rPr>
      </w:pPr>
      <w:r w:rsidRPr="00A6008A">
        <w:rPr>
          <w:rFonts w:ascii="David" w:hAnsi="David" w:cs="David"/>
          <w:sz w:val="24"/>
          <w:szCs w:val="24"/>
          <w:rtl/>
        </w:rPr>
        <w:t>רכישות חוזרות של אגרות חוב על-ידי החברות שהנפיקו או</w:t>
      </w:r>
      <w:r w:rsidR="00ED5E3E" w:rsidRPr="00A6008A">
        <w:rPr>
          <w:rFonts w:ascii="David" w:hAnsi="David" w:cs="David"/>
          <w:sz w:val="24"/>
          <w:szCs w:val="24"/>
          <w:rtl/>
        </w:rPr>
        <w:t xml:space="preserve">תן הן תופעה נפוצה בעולם ובישראל; רכישות חוזרות בפועל של אגרות חוב בשוק על-ידי חברות ציבוריות בישראל הסתכמו ביותר מ- 7 מיליארד שקלים בשנים 2008-2020, או כחמישה אחוזים משווי האג"ח בתחילת התקופה. </w:t>
      </w:r>
      <w:r w:rsidR="003F2159" w:rsidRPr="00A6008A">
        <w:rPr>
          <w:rFonts w:ascii="David" w:hAnsi="David" w:cs="David"/>
          <w:sz w:val="24"/>
          <w:szCs w:val="24"/>
          <w:rtl/>
        </w:rPr>
        <w:t>חברות נוטות לרכוש את אגרות החוב שלהן לאחר ירידה במחירן, לדוגמא</w:t>
      </w:r>
      <w:r w:rsidR="001479F0" w:rsidRPr="00A6008A">
        <w:rPr>
          <w:rFonts w:ascii="David" w:hAnsi="David" w:cs="David"/>
          <w:sz w:val="24"/>
          <w:szCs w:val="24"/>
          <w:rtl/>
        </w:rPr>
        <w:t xml:space="preserve"> בתקופות משבר, כגון משבר הקורונה</w:t>
      </w:r>
      <w:r w:rsidR="00D6790B" w:rsidRPr="00A6008A">
        <w:rPr>
          <w:rFonts w:ascii="David" w:hAnsi="David" w:cs="David"/>
          <w:sz w:val="24"/>
          <w:szCs w:val="24"/>
          <w:rtl/>
        </w:rPr>
        <w:t xml:space="preserve"> (איור 1)</w:t>
      </w:r>
      <w:r w:rsidR="00F55AA5" w:rsidRPr="00A6008A">
        <w:rPr>
          <w:rFonts w:ascii="David" w:hAnsi="David" w:cs="David"/>
          <w:sz w:val="24"/>
          <w:szCs w:val="24"/>
          <w:rtl/>
        </w:rPr>
        <w:t>.</w:t>
      </w:r>
      <w:r w:rsidR="00F55AA5" w:rsidRPr="00A6008A">
        <w:rPr>
          <w:rStyle w:val="a7"/>
          <w:rFonts w:ascii="David" w:hAnsi="David" w:cs="David"/>
          <w:sz w:val="24"/>
          <w:szCs w:val="24"/>
          <w:rtl/>
        </w:rPr>
        <w:footnoteReference w:id="1"/>
      </w:r>
      <w:r w:rsidR="00ED5E3E" w:rsidRPr="00A6008A">
        <w:rPr>
          <w:rFonts w:ascii="David" w:hAnsi="David" w:cs="David"/>
          <w:sz w:val="24"/>
          <w:szCs w:val="24"/>
          <w:rtl/>
        </w:rPr>
        <w:t xml:space="preserve"> </w:t>
      </w:r>
      <w:r w:rsidRPr="00A6008A">
        <w:rPr>
          <w:rFonts w:ascii="David" w:hAnsi="David" w:cs="David"/>
          <w:sz w:val="24"/>
          <w:szCs w:val="24"/>
          <w:rtl/>
        </w:rPr>
        <w:t>ואולם, עד-היום לא התבצע מחקר מקיף של תגובת השוק לרכישה חוזרת של אגרות חוב וזאת בשל היעדר נתונים מספקים</w:t>
      </w:r>
      <w:r w:rsidR="00701988" w:rsidRPr="00A6008A">
        <w:rPr>
          <w:rFonts w:ascii="David" w:hAnsi="David" w:cs="David"/>
          <w:sz w:val="24"/>
          <w:szCs w:val="24"/>
          <w:rtl/>
        </w:rPr>
        <w:t xml:space="preserve"> בעולם</w:t>
      </w:r>
      <w:r w:rsidR="005E62AA" w:rsidRPr="00A6008A">
        <w:rPr>
          <w:rFonts w:ascii="David" w:hAnsi="David" w:cs="David"/>
          <w:sz w:val="24"/>
          <w:szCs w:val="24"/>
          <w:rtl/>
        </w:rPr>
        <w:t xml:space="preserve">; מחקר אחד שנערך בארצות-הברית בחן את ההשפעה של רכישה חוזרת של אגרות חוב על מחירן, אבל עקב דרישות הדיווח המקלות בנושא זה בארה"ב עמדו לרשות החוקרים </w:t>
      </w:r>
      <w:r w:rsidR="00EE2BFE" w:rsidRPr="00A6008A">
        <w:rPr>
          <w:rFonts w:ascii="David" w:hAnsi="David" w:cs="David"/>
          <w:sz w:val="24"/>
          <w:szCs w:val="24"/>
          <w:rtl/>
        </w:rPr>
        <w:t xml:space="preserve">רק </w:t>
      </w:r>
      <w:r w:rsidR="005E62AA" w:rsidRPr="00A6008A">
        <w:rPr>
          <w:rFonts w:ascii="David" w:hAnsi="David" w:cs="David"/>
          <w:sz w:val="24"/>
          <w:szCs w:val="24"/>
          <w:rtl/>
        </w:rPr>
        <w:t>תצפיות מעטות והם יכלו לבחון את ההשפעה על המחיר רק בטווח הארוך</w:t>
      </w:r>
      <w:r w:rsidRPr="00A6008A">
        <w:rPr>
          <w:rFonts w:ascii="David" w:hAnsi="David" w:cs="David"/>
          <w:sz w:val="24"/>
          <w:szCs w:val="24"/>
          <w:rtl/>
        </w:rPr>
        <w:t xml:space="preserve">. </w:t>
      </w:r>
      <w:r w:rsidR="0032733F" w:rsidRPr="00A6008A">
        <w:rPr>
          <w:rFonts w:ascii="David" w:hAnsi="David" w:cs="David"/>
          <w:sz w:val="24"/>
          <w:szCs w:val="24"/>
          <w:rtl/>
        </w:rPr>
        <w:t xml:space="preserve">מחקר חדש של </w:t>
      </w:r>
      <w:r w:rsidR="00336B2B" w:rsidRPr="00A6008A">
        <w:rPr>
          <w:rFonts w:ascii="David" w:hAnsi="David" w:cs="David"/>
          <w:sz w:val="24"/>
          <w:szCs w:val="24"/>
          <w:rtl/>
        </w:rPr>
        <w:t>פרופ</w:t>
      </w:r>
      <w:r w:rsidR="009B3390" w:rsidRPr="00A6008A">
        <w:rPr>
          <w:rFonts w:ascii="David" w:hAnsi="David" w:cs="David"/>
          <w:sz w:val="24"/>
          <w:szCs w:val="24"/>
          <w:rtl/>
        </w:rPr>
        <w:t>'</w:t>
      </w:r>
      <w:r w:rsidR="00336B2B" w:rsidRPr="00A6008A">
        <w:rPr>
          <w:rFonts w:ascii="David" w:hAnsi="David" w:cs="David"/>
          <w:sz w:val="24"/>
          <w:szCs w:val="24"/>
          <w:rtl/>
        </w:rPr>
        <w:t xml:space="preserve"> </w:t>
      </w:r>
      <w:r w:rsidRPr="00A6008A">
        <w:rPr>
          <w:rFonts w:ascii="David" w:hAnsi="David" w:cs="David"/>
          <w:sz w:val="24"/>
          <w:szCs w:val="24"/>
          <w:rtl/>
        </w:rPr>
        <w:t>אבי וואהל</w:t>
      </w:r>
      <w:r w:rsidR="0032733F" w:rsidRPr="00A6008A">
        <w:rPr>
          <w:rFonts w:ascii="David" w:hAnsi="David" w:cs="David"/>
          <w:sz w:val="24"/>
          <w:szCs w:val="24"/>
          <w:rtl/>
        </w:rPr>
        <w:t xml:space="preserve"> מאוניברסיטת תל-אביב </w:t>
      </w:r>
      <w:r w:rsidR="009B3390" w:rsidRPr="00A6008A">
        <w:rPr>
          <w:rFonts w:ascii="David" w:hAnsi="David" w:cs="David"/>
          <w:sz w:val="24"/>
          <w:szCs w:val="24"/>
          <w:rtl/>
        </w:rPr>
        <w:t xml:space="preserve">וד"ר </w:t>
      </w:r>
      <w:r w:rsidRPr="00A6008A">
        <w:rPr>
          <w:rFonts w:ascii="David" w:hAnsi="David" w:cs="David"/>
          <w:sz w:val="24"/>
          <w:szCs w:val="24"/>
          <w:rtl/>
        </w:rPr>
        <w:t xml:space="preserve">נדב שטינברג מבנק ישראל משתמש בנתונים ייחודיים על החברות הנסחרות בבורסה לניירות-ערך בתל-אביב ומוצא תגובה חיובית של </w:t>
      </w:r>
      <w:r w:rsidR="0045585C" w:rsidRPr="00A6008A">
        <w:rPr>
          <w:rFonts w:ascii="David" w:hAnsi="David" w:cs="David"/>
          <w:sz w:val="24"/>
          <w:szCs w:val="24"/>
          <w:rtl/>
        </w:rPr>
        <w:t>מחירי אגרות החוב</w:t>
      </w:r>
      <w:r w:rsidRPr="00A6008A">
        <w:rPr>
          <w:rFonts w:ascii="David" w:hAnsi="David" w:cs="David"/>
          <w:sz w:val="24"/>
          <w:szCs w:val="24"/>
          <w:rtl/>
        </w:rPr>
        <w:t xml:space="preserve"> לרכישתן על-ידי החברות המנפיקות</w:t>
      </w:r>
      <w:r w:rsidR="0032733F" w:rsidRPr="00A6008A">
        <w:rPr>
          <w:rFonts w:ascii="David" w:hAnsi="David" w:cs="David"/>
          <w:sz w:val="24"/>
          <w:szCs w:val="24"/>
          <w:rtl/>
        </w:rPr>
        <w:t>.</w:t>
      </w:r>
      <w:r w:rsidR="005E62AA" w:rsidRPr="00A6008A">
        <w:rPr>
          <w:rFonts w:ascii="David" w:hAnsi="David" w:cs="David"/>
          <w:sz w:val="24"/>
          <w:szCs w:val="24"/>
          <w:rtl/>
        </w:rPr>
        <w:t xml:space="preserve"> המחקר הנוכחי משלים את הידע המחקרי המועט בנושא רכישה חוזרת של אגרות חוב ומציג לראשונה ראיות להשפעה של רכישות חוזרות על מחירי אגרות החוב בטווח </w:t>
      </w:r>
      <w:r w:rsidR="005E62AA" w:rsidRPr="00A6008A">
        <w:rPr>
          <w:rFonts w:ascii="David" w:hAnsi="David" w:cs="David"/>
          <w:sz w:val="24"/>
          <w:szCs w:val="24"/>
          <w:rtl/>
        </w:rPr>
        <w:lastRenderedPageBreak/>
        <w:t>הקצר, כמו-גם להשפעה של מאפיינים שונים של אגרות החוב והחברות על תגובת מחירי האג"ח לרכישה החוזרת.</w:t>
      </w:r>
    </w:p>
    <w:p w:rsidR="00D6790B" w:rsidRPr="00A6008A" w:rsidRDefault="00D6790B" w:rsidP="00A6008A">
      <w:pPr>
        <w:bidi/>
        <w:spacing w:after="160" w:line="360" w:lineRule="auto"/>
        <w:jc w:val="both"/>
        <w:rPr>
          <w:rFonts w:ascii="David" w:hAnsi="David" w:cs="David"/>
          <w:sz w:val="24"/>
          <w:szCs w:val="24"/>
          <w:rtl/>
        </w:rPr>
      </w:pPr>
    </w:p>
    <w:p w:rsidR="00D6790B" w:rsidRPr="00A6008A" w:rsidRDefault="00F52A42" w:rsidP="00A6008A">
      <w:pPr>
        <w:bidi/>
        <w:spacing w:line="360" w:lineRule="auto"/>
        <w:jc w:val="center"/>
        <w:rPr>
          <w:rFonts w:ascii="David" w:hAnsi="David" w:cs="David"/>
          <w:sz w:val="24"/>
          <w:szCs w:val="24"/>
          <w:rtl/>
        </w:rPr>
      </w:pPr>
      <w:r w:rsidRPr="00A6008A">
        <w:rPr>
          <w:rFonts w:ascii="David" w:hAnsi="David" w:cs="David"/>
          <w:sz w:val="24"/>
          <w:szCs w:val="24"/>
          <w:rtl/>
        </w:rPr>
        <w:t>איור 1: התפתחות מדד</w:t>
      </w:r>
      <w:r w:rsidR="00D6790B" w:rsidRPr="00A6008A">
        <w:rPr>
          <w:rFonts w:ascii="David" w:hAnsi="David" w:cs="David"/>
          <w:sz w:val="24"/>
          <w:szCs w:val="24"/>
          <w:rtl/>
        </w:rPr>
        <w:t xml:space="preserve"> </w:t>
      </w:r>
      <w:r w:rsidRPr="00A6008A">
        <w:rPr>
          <w:rFonts w:ascii="David" w:hAnsi="David" w:cs="David"/>
          <w:sz w:val="24"/>
          <w:szCs w:val="24"/>
          <w:rtl/>
        </w:rPr>
        <w:t>אג"ח</w:t>
      </w:r>
      <w:r w:rsidR="00D6790B" w:rsidRPr="00A6008A">
        <w:rPr>
          <w:rFonts w:ascii="David" w:hAnsi="David" w:cs="David"/>
          <w:sz w:val="24"/>
          <w:szCs w:val="24"/>
          <w:rtl/>
        </w:rPr>
        <w:t xml:space="preserve"> חברות בבורסה לני"ע בת"א וממוצע סכום הרכישות החוזרות של אגרות חוב בחצי השנה הקודמת  </w:t>
      </w:r>
    </w:p>
    <w:p w:rsidR="00D6790B" w:rsidRPr="00A6008A" w:rsidRDefault="00F52A42" w:rsidP="00A6008A">
      <w:pPr>
        <w:bidi/>
        <w:spacing w:line="360" w:lineRule="auto"/>
        <w:jc w:val="center"/>
        <w:rPr>
          <w:rFonts w:ascii="David" w:hAnsi="David" w:cs="David"/>
          <w:sz w:val="24"/>
          <w:szCs w:val="24"/>
          <w:rtl/>
        </w:rPr>
      </w:pPr>
      <w:r w:rsidRPr="00A6008A">
        <w:rPr>
          <w:rFonts w:ascii="David" w:hAnsi="David" w:cs="David"/>
          <w:noProof/>
          <w:sz w:val="24"/>
          <w:szCs w:val="24"/>
        </w:rPr>
        <w:drawing>
          <wp:inline distT="0" distB="0" distL="0" distR="0" wp14:anchorId="2B58F9F0" wp14:editId="0F794222">
            <wp:extent cx="5305425" cy="1866900"/>
            <wp:effectExtent l="0" t="0" r="952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790B" w:rsidRPr="00A6008A" w:rsidRDefault="00D6790B" w:rsidP="00A6008A">
      <w:pPr>
        <w:pStyle w:val="a8"/>
        <w:bidi/>
        <w:spacing w:line="360" w:lineRule="auto"/>
        <w:jc w:val="center"/>
        <w:rPr>
          <w:rFonts w:ascii="David" w:hAnsi="David" w:cs="David"/>
          <w:sz w:val="24"/>
          <w:szCs w:val="24"/>
          <w:rtl/>
        </w:rPr>
      </w:pPr>
      <w:r w:rsidRPr="00A6008A">
        <w:rPr>
          <w:rFonts w:ascii="David" w:hAnsi="David" w:cs="David"/>
          <w:sz w:val="24"/>
          <w:szCs w:val="24"/>
          <w:rtl/>
        </w:rPr>
        <w:t>מקור: נתוני בנק ישראל ועיבודי המחברים</w:t>
      </w:r>
    </w:p>
    <w:p w:rsidR="00EE2BFE" w:rsidRPr="00A6008A" w:rsidRDefault="000F39CD" w:rsidP="00A6008A">
      <w:pPr>
        <w:bidi/>
        <w:spacing w:line="360" w:lineRule="auto"/>
        <w:jc w:val="both"/>
        <w:rPr>
          <w:rFonts w:ascii="David" w:hAnsi="David" w:cs="David"/>
          <w:sz w:val="24"/>
          <w:szCs w:val="24"/>
        </w:rPr>
      </w:pPr>
      <w:r w:rsidRPr="00A6008A">
        <w:rPr>
          <w:rFonts w:ascii="David" w:hAnsi="David" w:cs="David"/>
          <w:sz w:val="24"/>
          <w:szCs w:val="24"/>
          <w:rtl/>
        </w:rPr>
        <w:t>החוקרים משתמשים בנתונים מפורטים על כל רכישה חוזרת</w:t>
      </w:r>
      <w:r w:rsidR="00B9623D" w:rsidRPr="00A6008A">
        <w:rPr>
          <w:rFonts w:ascii="David" w:hAnsi="David" w:cs="David"/>
          <w:sz w:val="24"/>
          <w:szCs w:val="24"/>
          <w:rtl/>
        </w:rPr>
        <w:t xml:space="preserve"> בפועל</w:t>
      </w:r>
      <w:r w:rsidRPr="00A6008A">
        <w:rPr>
          <w:rFonts w:ascii="David" w:hAnsi="David" w:cs="David"/>
          <w:sz w:val="24"/>
          <w:szCs w:val="24"/>
          <w:rtl/>
        </w:rPr>
        <w:t xml:space="preserve"> של אגרות חוב</w:t>
      </w:r>
      <w:r w:rsidR="008A198C" w:rsidRPr="00A6008A">
        <w:rPr>
          <w:rFonts w:ascii="David" w:hAnsi="David" w:cs="David"/>
          <w:sz w:val="24"/>
          <w:szCs w:val="24"/>
          <w:rtl/>
        </w:rPr>
        <w:t xml:space="preserve"> על-ידי החברות הציבוריות בישראל בשנים 2008-2020</w:t>
      </w:r>
      <w:r w:rsidR="003D6881" w:rsidRPr="00A6008A">
        <w:rPr>
          <w:rFonts w:ascii="David" w:hAnsi="David" w:cs="David"/>
          <w:sz w:val="24"/>
          <w:szCs w:val="24"/>
          <w:rtl/>
        </w:rPr>
        <w:t xml:space="preserve"> – 5,588 אירועים של רכישה חוזרת של אגרות חוב על-ידי 199 חברות.</w:t>
      </w:r>
      <w:r w:rsidR="008A198C" w:rsidRPr="00A6008A">
        <w:rPr>
          <w:rFonts w:ascii="David" w:hAnsi="David" w:cs="David"/>
          <w:sz w:val="24"/>
          <w:szCs w:val="24"/>
          <w:rtl/>
        </w:rPr>
        <w:t xml:space="preserve"> הנתונים כוללים את</w:t>
      </w:r>
      <w:r w:rsidRPr="00A6008A">
        <w:rPr>
          <w:rFonts w:ascii="David" w:hAnsi="David" w:cs="David"/>
          <w:sz w:val="24"/>
          <w:szCs w:val="24"/>
          <w:rtl/>
        </w:rPr>
        <w:t xml:space="preserve"> מועד הרכישה ומועד הדיווח עליה לציבור</w:t>
      </w:r>
      <w:r w:rsidR="008A198C" w:rsidRPr="00A6008A">
        <w:rPr>
          <w:rFonts w:ascii="David" w:hAnsi="David" w:cs="David"/>
          <w:sz w:val="24"/>
          <w:szCs w:val="24"/>
          <w:rtl/>
        </w:rPr>
        <w:t>, כמו-גם את המאפיינים של כל איגרת</w:t>
      </w:r>
      <w:r w:rsidR="000A7F9B" w:rsidRPr="00A6008A">
        <w:rPr>
          <w:rFonts w:ascii="David" w:hAnsi="David" w:cs="David"/>
          <w:sz w:val="24"/>
          <w:szCs w:val="24"/>
          <w:rtl/>
        </w:rPr>
        <w:t xml:space="preserve"> חוב</w:t>
      </w:r>
      <w:r w:rsidR="008A198C" w:rsidRPr="00A6008A">
        <w:rPr>
          <w:rFonts w:ascii="David" w:hAnsi="David" w:cs="David"/>
          <w:sz w:val="24"/>
          <w:szCs w:val="24"/>
          <w:rtl/>
        </w:rPr>
        <w:t xml:space="preserve">. </w:t>
      </w:r>
      <w:r w:rsidR="00EE2BFE" w:rsidRPr="00A6008A">
        <w:rPr>
          <w:rFonts w:ascii="David" w:hAnsi="David" w:cs="David"/>
          <w:sz w:val="24"/>
          <w:szCs w:val="24"/>
          <w:rtl/>
        </w:rPr>
        <w:t xml:space="preserve">כדי לבחון האם רכישות חוזרות של אגרות חוב מובילות לשינוי במחירי האגרות הנרכשות, מעל ומעבר לצפוי, החוקרים משתמשים באמידה אקונומטרית המפקחת על כל המאפיינים הרלוונטיים של אגרות החוב. הם משתמשים בנתונים יומיים על כל אגרות החוב הקונצרניות בישראל בשנים 2008-2020 (כמיליון תצפיות!) כדי לבחון את ההשפעה של רכישות חוזרות על השינוי במחיר של אגרות החוב הנרכשות, מעל ומעבר למה שמוסבר על-ידי מאפייני האיגרת, החברה והתאריך הנבחן. </w:t>
      </w:r>
    </w:p>
    <w:p w:rsidR="00981E7B" w:rsidRPr="00A6008A" w:rsidRDefault="00EE2BFE" w:rsidP="00A6008A">
      <w:pPr>
        <w:bidi/>
        <w:spacing w:line="360" w:lineRule="auto"/>
        <w:jc w:val="both"/>
        <w:rPr>
          <w:rFonts w:ascii="David" w:hAnsi="David" w:cs="David"/>
          <w:sz w:val="24"/>
          <w:szCs w:val="24"/>
          <w:rtl/>
        </w:rPr>
      </w:pPr>
      <w:r w:rsidRPr="00A6008A">
        <w:rPr>
          <w:rFonts w:ascii="David" w:hAnsi="David" w:cs="David"/>
          <w:sz w:val="24"/>
          <w:szCs w:val="24"/>
          <w:rtl/>
        </w:rPr>
        <w:t>החוקרים מוצאים ש</w:t>
      </w:r>
      <w:r w:rsidR="000F39CD" w:rsidRPr="00A6008A">
        <w:rPr>
          <w:rFonts w:ascii="David" w:hAnsi="David" w:cs="David"/>
          <w:sz w:val="24"/>
          <w:szCs w:val="24"/>
          <w:rtl/>
        </w:rPr>
        <w:t>חברות נוטות לרכוש חזרה את אגרות החוב שלהן לאחר ימים שבהם מחירן יורד. החוקרים מפקחים על המאפיינים של אגרות החוב הנרכשות ומוצאים תשואה עודפת של 0.15% ביום שבו ביצעה החברה את הרכישה החוזרת ו</w:t>
      </w:r>
      <w:r w:rsidR="003D6881" w:rsidRPr="00A6008A">
        <w:rPr>
          <w:rFonts w:ascii="David" w:hAnsi="David" w:cs="David"/>
          <w:sz w:val="24"/>
          <w:szCs w:val="24"/>
          <w:rtl/>
        </w:rPr>
        <w:t xml:space="preserve">תשואה עודפת של עוד 0.15% </w:t>
      </w:r>
      <w:r w:rsidR="000F39CD" w:rsidRPr="00A6008A">
        <w:rPr>
          <w:rFonts w:ascii="David" w:hAnsi="David" w:cs="David"/>
          <w:sz w:val="24"/>
          <w:szCs w:val="24"/>
          <w:rtl/>
        </w:rPr>
        <w:t>ביום שבו היא דיווחה עליה לציבור</w:t>
      </w:r>
      <w:r w:rsidR="003D6881" w:rsidRPr="00A6008A">
        <w:rPr>
          <w:rFonts w:ascii="David" w:hAnsi="David" w:cs="David"/>
          <w:sz w:val="24"/>
          <w:szCs w:val="24"/>
          <w:rtl/>
        </w:rPr>
        <w:t xml:space="preserve"> (בדרך-כלל למחרת הרכישה)</w:t>
      </w:r>
      <w:r w:rsidR="000F39CD" w:rsidRPr="00A6008A">
        <w:rPr>
          <w:rFonts w:ascii="David" w:hAnsi="David" w:cs="David"/>
          <w:sz w:val="24"/>
          <w:szCs w:val="24"/>
          <w:rtl/>
        </w:rPr>
        <w:t xml:space="preserve">. </w:t>
      </w:r>
      <w:r w:rsidR="009161DB" w:rsidRPr="00A6008A">
        <w:rPr>
          <w:rFonts w:ascii="David" w:hAnsi="David" w:cs="David"/>
          <w:sz w:val="24"/>
          <w:szCs w:val="24"/>
          <w:rtl/>
        </w:rPr>
        <w:t xml:space="preserve">התגובה לרכישה החוזרת נמשכת גם בימים שלאחר הדיווח ומתבטאת בתשואה עודפת של עוד </w:t>
      </w:r>
      <w:r w:rsidR="003D6881" w:rsidRPr="00A6008A">
        <w:rPr>
          <w:rFonts w:ascii="David" w:hAnsi="David" w:cs="David"/>
          <w:sz w:val="24"/>
          <w:szCs w:val="24"/>
          <w:rtl/>
        </w:rPr>
        <w:t>כאחוז במצטבר ב</w:t>
      </w:r>
      <w:r w:rsidR="009161DB" w:rsidRPr="00A6008A">
        <w:rPr>
          <w:rFonts w:ascii="David" w:hAnsi="David" w:cs="David"/>
          <w:sz w:val="24"/>
          <w:szCs w:val="24"/>
          <w:rtl/>
        </w:rPr>
        <w:t>חמשת הימים</w:t>
      </w:r>
      <w:r w:rsidR="00635E67" w:rsidRPr="00A6008A">
        <w:rPr>
          <w:rFonts w:ascii="David" w:hAnsi="David" w:cs="David"/>
          <w:sz w:val="24"/>
          <w:szCs w:val="24"/>
          <w:rtl/>
        </w:rPr>
        <w:t xml:space="preserve"> שלאחר הדיווח לציבור על הרכישה (איור</w:t>
      </w:r>
      <w:r w:rsidR="00D6790B" w:rsidRPr="00A6008A">
        <w:rPr>
          <w:rFonts w:ascii="David" w:hAnsi="David" w:cs="David"/>
          <w:sz w:val="24"/>
          <w:szCs w:val="24"/>
          <w:rtl/>
        </w:rPr>
        <w:t xml:space="preserve"> 2</w:t>
      </w:r>
      <w:r w:rsidR="00635E67" w:rsidRPr="00A6008A">
        <w:rPr>
          <w:rFonts w:ascii="David" w:hAnsi="David" w:cs="David"/>
          <w:sz w:val="24"/>
          <w:szCs w:val="24"/>
          <w:rtl/>
        </w:rPr>
        <w:t>).</w:t>
      </w:r>
      <w:r w:rsidR="00981E7B" w:rsidRPr="00A6008A">
        <w:rPr>
          <w:rFonts w:ascii="David" w:hAnsi="David" w:cs="David"/>
          <w:sz w:val="24"/>
          <w:szCs w:val="24"/>
          <w:rtl/>
        </w:rPr>
        <w:t xml:space="preserve"> </w:t>
      </w:r>
    </w:p>
    <w:p w:rsidR="00981E7B" w:rsidRPr="00A6008A" w:rsidRDefault="00981E7B" w:rsidP="00A6008A">
      <w:pPr>
        <w:bidi/>
        <w:spacing w:line="360" w:lineRule="auto"/>
        <w:jc w:val="both"/>
        <w:rPr>
          <w:rFonts w:ascii="David" w:hAnsi="David" w:cs="David"/>
          <w:sz w:val="24"/>
          <w:szCs w:val="24"/>
          <w:rtl/>
        </w:rPr>
      </w:pPr>
      <w:r w:rsidRPr="00A6008A">
        <w:rPr>
          <w:rFonts w:ascii="David" w:hAnsi="David" w:cs="David"/>
          <w:sz w:val="24"/>
          <w:szCs w:val="24"/>
          <w:rtl/>
        </w:rPr>
        <w:t>החוקרים משתמשים במדגם הגדול של הרכישות החוזרות כדי לזהות מאפיינים של הרכישה החוזרת, של אגרות החוב ושל החברות הרוכשות המשפיעים על תגובת המשקיעים לרכישה החוזרת. הם מוצאים שבמרבית המקרים החברות אינן מכריזות מבעוד-מועד על תכנית לרכישה חוזרת של אגרות חוב</w:t>
      </w:r>
      <w:r w:rsidR="00E24B3A" w:rsidRPr="00A6008A">
        <w:rPr>
          <w:rFonts w:ascii="David" w:hAnsi="David" w:cs="David"/>
          <w:sz w:val="24"/>
          <w:szCs w:val="24"/>
          <w:rtl/>
        </w:rPr>
        <w:t xml:space="preserve">, אבל כאשר הן כן בוחרות לעשות זאת השוק מגיב בחיוב לעצם ההודעה על תכנית הרכישה ואם וכאשר </w:t>
      </w:r>
      <w:r w:rsidR="00E24B3A" w:rsidRPr="00A6008A">
        <w:rPr>
          <w:rFonts w:ascii="David" w:hAnsi="David" w:cs="David"/>
          <w:sz w:val="24"/>
          <w:szCs w:val="24"/>
          <w:rtl/>
        </w:rPr>
        <w:lastRenderedPageBreak/>
        <w:t xml:space="preserve">החברה אכן רוכשת אגרות חוב במסגרת התוכנית, </w:t>
      </w:r>
      <w:r w:rsidRPr="00A6008A">
        <w:rPr>
          <w:rFonts w:ascii="David" w:hAnsi="David" w:cs="David"/>
          <w:sz w:val="24"/>
          <w:szCs w:val="24"/>
          <w:rtl/>
        </w:rPr>
        <w:t>תגובת השוק לרכיש</w:t>
      </w:r>
      <w:r w:rsidR="00E24B3A" w:rsidRPr="00A6008A">
        <w:rPr>
          <w:rFonts w:ascii="David" w:hAnsi="David" w:cs="David"/>
          <w:sz w:val="24"/>
          <w:szCs w:val="24"/>
          <w:rtl/>
        </w:rPr>
        <w:t>ה</w:t>
      </w:r>
      <w:r w:rsidRPr="00A6008A">
        <w:rPr>
          <w:rFonts w:ascii="David" w:hAnsi="David" w:cs="David"/>
          <w:sz w:val="24"/>
          <w:szCs w:val="24"/>
          <w:rtl/>
        </w:rPr>
        <w:t xml:space="preserve"> בפועל מהירה יותר </w:t>
      </w:r>
      <w:r w:rsidR="00E24B3A" w:rsidRPr="00A6008A">
        <w:rPr>
          <w:rFonts w:ascii="David" w:hAnsi="David" w:cs="David"/>
          <w:sz w:val="24"/>
          <w:szCs w:val="24"/>
          <w:rtl/>
        </w:rPr>
        <w:t>ביחס לרכישות אד-הוק</w:t>
      </w:r>
      <w:r w:rsidRPr="00A6008A">
        <w:rPr>
          <w:rFonts w:ascii="David" w:hAnsi="David" w:cs="David"/>
          <w:sz w:val="24"/>
          <w:szCs w:val="24"/>
          <w:rtl/>
        </w:rPr>
        <w:t xml:space="preserve">. </w:t>
      </w:r>
      <w:r w:rsidR="006E3BFE" w:rsidRPr="00A6008A">
        <w:rPr>
          <w:rFonts w:ascii="David" w:hAnsi="David" w:cs="David"/>
          <w:sz w:val="24"/>
          <w:szCs w:val="24"/>
          <w:rtl/>
        </w:rPr>
        <w:t xml:space="preserve">בנוסף, </w:t>
      </w:r>
      <w:r w:rsidRPr="00A6008A">
        <w:rPr>
          <w:rFonts w:ascii="David" w:hAnsi="David" w:cs="David"/>
          <w:sz w:val="24"/>
          <w:szCs w:val="24"/>
          <w:rtl/>
        </w:rPr>
        <w:t>התגובה של המשקיעים לרכישה החוזרת חזקה יותר כאשר מדובר ברכישה חוזרת של אגרות חוב הסובלות מדירוג אשראי נמוך יחסית ('אג"ח זבל'). לבסוף, החוקרים מוצאים שאנשי פנים בחברות (בעל השליטה ובכירים בחברה) נוטים לרכוש מניות של החברות בחודשים שלפני ביצוע רכישה חוזרת של אגרות החוב</w:t>
      </w:r>
      <w:r w:rsidR="0045585C" w:rsidRPr="00A6008A">
        <w:rPr>
          <w:rFonts w:ascii="David" w:hAnsi="David" w:cs="David"/>
          <w:sz w:val="24"/>
          <w:szCs w:val="24"/>
          <w:rtl/>
        </w:rPr>
        <w:t>;</w:t>
      </w:r>
      <w:r w:rsidRPr="00A6008A">
        <w:rPr>
          <w:rFonts w:ascii="David" w:hAnsi="David" w:cs="David"/>
          <w:sz w:val="24"/>
          <w:szCs w:val="24"/>
          <w:rtl/>
        </w:rPr>
        <w:t xml:space="preserve"> רכישת מניות על-ידי אנשי פנים בחברה בחודשים שלפני הרכישה החוזרת של אגרות החוב מובילה</w:t>
      </w:r>
      <w:r w:rsidR="0045585C" w:rsidRPr="00A6008A">
        <w:rPr>
          <w:rFonts w:ascii="David" w:hAnsi="David" w:cs="David"/>
          <w:sz w:val="24"/>
          <w:szCs w:val="24"/>
          <w:rtl/>
        </w:rPr>
        <w:t xml:space="preserve"> בתורה</w:t>
      </w:r>
      <w:r w:rsidRPr="00A6008A">
        <w:rPr>
          <w:rFonts w:ascii="David" w:hAnsi="David" w:cs="David"/>
          <w:sz w:val="24"/>
          <w:szCs w:val="24"/>
          <w:rtl/>
        </w:rPr>
        <w:t xml:space="preserve"> לתגובה חיובית יותר של </w:t>
      </w:r>
      <w:r w:rsidR="0045585C" w:rsidRPr="00A6008A">
        <w:rPr>
          <w:rFonts w:ascii="David" w:hAnsi="David" w:cs="David"/>
          <w:sz w:val="24"/>
          <w:szCs w:val="24"/>
          <w:rtl/>
        </w:rPr>
        <w:t>מחירי אגרות החוב</w:t>
      </w:r>
      <w:r w:rsidRPr="00A6008A">
        <w:rPr>
          <w:rFonts w:ascii="David" w:hAnsi="David" w:cs="David"/>
          <w:sz w:val="24"/>
          <w:szCs w:val="24"/>
          <w:rtl/>
        </w:rPr>
        <w:t xml:space="preserve"> לרכישה החוזרת. יחדיו, הממצאים הללו מרמזים לכך שרכישה חוזרת של אגרות חוב מהווה אינדיקציה לכך שלהנהלת החברה יש אינפורמציה חיובית על מצב החברה</w:t>
      </w:r>
      <w:r w:rsidR="00C567A4" w:rsidRPr="00A6008A">
        <w:rPr>
          <w:rFonts w:ascii="David" w:hAnsi="David" w:cs="David"/>
          <w:sz w:val="24"/>
          <w:szCs w:val="24"/>
          <w:rtl/>
        </w:rPr>
        <w:t xml:space="preserve"> שאינה משתקפת במלואה במחירי אגרות החוב</w:t>
      </w:r>
      <w:r w:rsidRPr="00A6008A">
        <w:rPr>
          <w:rFonts w:ascii="David" w:hAnsi="David" w:cs="David"/>
          <w:sz w:val="24"/>
          <w:szCs w:val="24"/>
          <w:rtl/>
        </w:rPr>
        <w:t>.</w:t>
      </w:r>
    </w:p>
    <w:p w:rsidR="00866C1C" w:rsidRPr="00A6008A" w:rsidRDefault="00866C1C" w:rsidP="00A6008A">
      <w:pPr>
        <w:spacing w:line="360" w:lineRule="auto"/>
        <w:rPr>
          <w:rFonts w:ascii="David" w:hAnsi="David" w:cs="David"/>
          <w:sz w:val="24"/>
          <w:szCs w:val="24"/>
        </w:rPr>
      </w:pPr>
    </w:p>
    <w:p w:rsidR="00635E67" w:rsidRPr="00A6008A" w:rsidRDefault="00635E67" w:rsidP="00A6008A">
      <w:pPr>
        <w:bidi/>
        <w:spacing w:line="360" w:lineRule="auto"/>
        <w:jc w:val="center"/>
        <w:rPr>
          <w:rFonts w:ascii="David" w:hAnsi="David" w:cs="David"/>
          <w:sz w:val="24"/>
          <w:szCs w:val="24"/>
          <w:rtl/>
        </w:rPr>
      </w:pPr>
      <w:r w:rsidRPr="00A6008A">
        <w:rPr>
          <w:rFonts w:ascii="David" w:hAnsi="David" w:cs="David"/>
          <w:sz w:val="24"/>
          <w:szCs w:val="24"/>
          <w:rtl/>
        </w:rPr>
        <w:t>איור</w:t>
      </w:r>
      <w:r w:rsidR="00D6790B" w:rsidRPr="00A6008A">
        <w:rPr>
          <w:rFonts w:ascii="David" w:hAnsi="David" w:cs="David"/>
          <w:sz w:val="24"/>
          <w:szCs w:val="24"/>
          <w:rtl/>
        </w:rPr>
        <w:t xml:space="preserve"> 2</w:t>
      </w:r>
      <w:r w:rsidRPr="00A6008A">
        <w:rPr>
          <w:rFonts w:ascii="David" w:hAnsi="David" w:cs="David"/>
          <w:sz w:val="24"/>
          <w:szCs w:val="24"/>
          <w:rtl/>
        </w:rPr>
        <w:t>: התשואה העודפת</w:t>
      </w:r>
      <w:r w:rsidR="00981DF1" w:rsidRPr="00A6008A">
        <w:rPr>
          <w:rFonts w:ascii="David" w:hAnsi="David" w:cs="David"/>
          <w:sz w:val="24"/>
          <w:szCs w:val="24"/>
          <w:rtl/>
        </w:rPr>
        <w:t xml:space="preserve"> המצטברת</w:t>
      </w:r>
      <w:r w:rsidRPr="00A6008A">
        <w:rPr>
          <w:rFonts w:ascii="David" w:hAnsi="David" w:cs="David"/>
          <w:sz w:val="24"/>
          <w:szCs w:val="24"/>
          <w:rtl/>
        </w:rPr>
        <w:t xml:space="preserve"> על אגרות חוב בימים שסביב רכישה חוזרת שלהן</w:t>
      </w:r>
      <w:r w:rsidR="00981DF1" w:rsidRPr="00A6008A">
        <w:rPr>
          <w:rFonts w:ascii="David" w:hAnsi="David" w:cs="David"/>
          <w:sz w:val="24"/>
          <w:szCs w:val="24"/>
          <w:rtl/>
        </w:rPr>
        <w:t xml:space="preserve"> </w:t>
      </w:r>
    </w:p>
    <w:p w:rsidR="00635E67" w:rsidRPr="00A6008A" w:rsidRDefault="00981DF1" w:rsidP="00A6008A">
      <w:pPr>
        <w:keepNext/>
        <w:bidi/>
        <w:spacing w:line="360" w:lineRule="auto"/>
        <w:jc w:val="center"/>
        <w:rPr>
          <w:rFonts w:ascii="David" w:hAnsi="David" w:cs="David"/>
          <w:sz w:val="24"/>
          <w:szCs w:val="24"/>
        </w:rPr>
      </w:pPr>
      <w:r w:rsidRPr="00A6008A">
        <w:rPr>
          <w:rFonts w:ascii="David" w:hAnsi="David" w:cs="David"/>
          <w:noProof/>
          <w:sz w:val="24"/>
          <w:szCs w:val="24"/>
        </w:rPr>
        <w:drawing>
          <wp:inline distT="0" distB="0" distL="0" distR="0" wp14:anchorId="39EAD2F1" wp14:editId="00AB310F">
            <wp:extent cx="4429125" cy="2371725"/>
            <wp:effectExtent l="0" t="0" r="9525" b="952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5E67" w:rsidRPr="00A6008A" w:rsidRDefault="00635E67" w:rsidP="00A6008A">
      <w:pPr>
        <w:pStyle w:val="a8"/>
        <w:bidi/>
        <w:spacing w:line="360" w:lineRule="auto"/>
        <w:jc w:val="center"/>
        <w:rPr>
          <w:rFonts w:ascii="David" w:hAnsi="David" w:cs="David"/>
          <w:sz w:val="24"/>
          <w:szCs w:val="24"/>
          <w:rtl/>
        </w:rPr>
      </w:pPr>
      <w:r w:rsidRPr="00A6008A">
        <w:rPr>
          <w:rFonts w:ascii="David" w:hAnsi="David" w:cs="David"/>
          <w:sz w:val="24"/>
          <w:szCs w:val="24"/>
          <w:rtl/>
        </w:rPr>
        <w:t>מקור: נתוני בנק ישראל ועיבודי המחברים</w:t>
      </w:r>
    </w:p>
    <w:p w:rsidR="00F02CC8" w:rsidRPr="00A6008A" w:rsidRDefault="00F02CC8" w:rsidP="00A6008A">
      <w:pPr>
        <w:bidi/>
        <w:spacing w:line="360" w:lineRule="auto"/>
        <w:jc w:val="both"/>
        <w:rPr>
          <w:rFonts w:ascii="David" w:hAnsi="David" w:cs="David"/>
          <w:sz w:val="24"/>
          <w:szCs w:val="24"/>
          <w:rtl/>
        </w:rPr>
      </w:pPr>
      <w:r w:rsidRPr="00A6008A">
        <w:rPr>
          <w:rFonts w:ascii="David" w:hAnsi="David" w:cs="David"/>
          <w:sz w:val="24"/>
          <w:szCs w:val="24"/>
          <w:rtl/>
        </w:rPr>
        <w:t xml:space="preserve">מחקר </w:t>
      </w:r>
      <w:r w:rsidR="0041471F" w:rsidRPr="00A6008A">
        <w:rPr>
          <w:rFonts w:ascii="David" w:hAnsi="David" w:cs="David"/>
          <w:sz w:val="24"/>
          <w:szCs w:val="24"/>
          <w:rtl/>
        </w:rPr>
        <w:t xml:space="preserve">זה </w:t>
      </w:r>
      <w:r w:rsidRPr="00A6008A">
        <w:rPr>
          <w:rFonts w:ascii="David" w:hAnsi="David" w:cs="David"/>
          <w:sz w:val="24"/>
          <w:szCs w:val="24"/>
          <w:rtl/>
        </w:rPr>
        <w:t>הוא הראשון שבוחן את תגובת המשקיעים לרכישה חוזרת של אגרות חוב בימים שסביב הרכישה. הממצאים מוסיפים לספרות המחקרית העשירה שכבר קיימת על התופעה המקבילה של רכישה חוזרת של מניות. תוצאות המחקר מדגישות את החשיבות שהמשקיעים מייחסים למידע על רכישות חוזרות של אגרות החוב</w:t>
      </w:r>
      <w:r w:rsidR="00F83E19" w:rsidRPr="00A6008A">
        <w:rPr>
          <w:rFonts w:ascii="David" w:hAnsi="David" w:cs="David"/>
          <w:sz w:val="24"/>
          <w:szCs w:val="24"/>
          <w:rtl/>
        </w:rPr>
        <w:t>. הרגולציה בישראל מחייבת דיווח מהיר ומקיף יחסית על רכישות בפועל של אגרות חוב</w:t>
      </w:r>
      <w:r w:rsidR="00666027" w:rsidRPr="00A6008A">
        <w:rPr>
          <w:rFonts w:ascii="David" w:hAnsi="David" w:cs="David"/>
          <w:sz w:val="24"/>
          <w:szCs w:val="24"/>
          <w:rtl/>
        </w:rPr>
        <w:t xml:space="preserve"> וכך מספקת מידע מועיל למשקיעים, </w:t>
      </w:r>
      <w:r w:rsidR="006E3BFE" w:rsidRPr="00A6008A">
        <w:rPr>
          <w:rFonts w:ascii="David" w:hAnsi="David" w:cs="David"/>
          <w:sz w:val="24"/>
          <w:szCs w:val="24"/>
          <w:rtl/>
        </w:rPr>
        <w:t>וזאת בשונה מה</w:t>
      </w:r>
      <w:r w:rsidR="00666027" w:rsidRPr="00A6008A">
        <w:rPr>
          <w:rFonts w:ascii="David" w:hAnsi="David" w:cs="David"/>
          <w:sz w:val="24"/>
          <w:szCs w:val="24"/>
          <w:rtl/>
        </w:rPr>
        <w:t>רגולציה במדינות אחרות שאינן דורשות גילוי בתדירות יומית כפי שקיים בישראל</w:t>
      </w:r>
      <w:r w:rsidR="00F83E19" w:rsidRPr="00A6008A">
        <w:rPr>
          <w:rFonts w:ascii="David" w:hAnsi="David" w:cs="David"/>
          <w:sz w:val="24"/>
          <w:szCs w:val="24"/>
          <w:rtl/>
        </w:rPr>
        <w:t>.</w:t>
      </w:r>
      <w:r w:rsidRPr="00A6008A">
        <w:rPr>
          <w:rFonts w:ascii="David" w:hAnsi="David" w:cs="David"/>
          <w:sz w:val="24"/>
          <w:szCs w:val="24"/>
          <w:rtl/>
        </w:rPr>
        <w:t xml:space="preserve">  </w:t>
      </w:r>
    </w:p>
    <w:p w:rsidR="0032733F" w:rsidRPr="00A6008A" w:rsidRDefault="0032733F" w:rsidP="00A6008A">
      <w:pPr>
        <w:spacing w:line="360" w:lineRule="auto"/>
        <w:rPr>
          <w:rFonts w:ascii="David" w:hAnsi="David" w:cs="David"/>
          <w:sz w:val="24"/>
          <w:szCs w:val="24"/>
        </w:rPr>
      </w:pPr>
    </w:p>
    <w:sectPr w:rsidR="0032733F" w:rsidRPr="00A6008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78" w:rsidRDefault="000D0578" w:rsidP="0032733F">
      <w:pPr>
        <w:spacing w:after="0" w:line="240" w:lineRule="auto"/>
      </w:pPr>
      <w:r>
        <w:separator/>
      </w:r>
    </w:p>
  </w:endnote>
  <w:endnote w:type="continuationSeparator" w:id="0">
    <w:p w:rsidR="000D0578" w:rsidRDefault="000D0578" w:rsidP="0032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14" w:rsidRDefault="007A4714">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14" w:rsidRDefault="007A4714">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14" w:rsidRDefault="007A471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78" w:rsidRDefault="000D0578" w:rsidP="0032733F">
      <w:pPr>
        <w:spacing w:after="0" w:line="240" w:lineRule="auto"/>
      </w:pPr>
      <w:r>
        <w:separator/>
      </w:r>
    </w:p>
  </w:footnote>
  <w:footnote w:type="continuationSeparator" w:id="0">
    <w:p w:rsidR="000D0578" w:rsidRDefault="000D0578" w:rsidP="0032733F">
      <w:pPr>
        <w:spacing w:after="0" w:line="240" w:lineRule="auto"/>
      </w:pPr>
      <w:r>
        <w:continuationSeparator/>
      </w:r>
    </w:p>
  </w:footnote>
  <w:footnote w:id="1">
    <w:p w:rsidR="00F55AA5" w:rsidRDefault="00F55AA5" w:rsidP="00F55AA5">
      <w:pPr>
        <w:pStyle w:val="a5"/>
        <w:bidi/>
        <w:jc w:val="both"/>
      </w:pPr>
      <w:r>
        <w:rPr>
          <w:rStyle w:val="a7"/>
        </w:rPr>
        <w:footnoteRef/>
      </w:r>
      <w:r>
        <w:t xml:space="preserve"> </w:t>
      </w:r>
      <w:r w:rsidRPr="00F55AA5">
        <w:rPr>
          <w:rFonts w:ascii="David" w:hAnsi="David" w:cs="David" w:hint="cs"/>
          <w:rtl/>
        </w:rPr>
        <w:t>להרחבה ראו תיבה 3 בדו"ח היציבות הפיננסית של בנק ישראל למחצית הראשונה של 2020 וסקירה של הבורסה לניירות ערך בתל-אביב ממאי 2020)</w:t>
      </w:r>
      <w:r>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14" w:rsidRDefault="007A4714">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14" w:rsidRDefault="007A4714">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14" w:rsidRDefault="007A471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E348D"/>
    <w:multiLevelType w:val="hybridMultilevel"/>
    <w:tmpl w:val="6CD8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3F"/>
    <w:rsid w:val="00000B74"/>
    <w:rsid w:val="000109C7"/>
    <w:rsid w:val="000139DE"/>
    <w:rsid w:val="00013CB5"/>
    <w:rsid w:val="00015F1A"/>
    <w:rsid w:val="000200B6"/>
    <w:rsid w:val="00041026"/>
    <w:rsid w:val="00045CE5"/>
    <w:rsid w:val="00062CF5"/>
    <w:rsid w:val="000723B7"/>
    <w:rsid w:val="000861D8"/>
    <w:rsid w:val="0009500E"/>
    <w:rsid w:val="000A7F9B"/>
    <w:rsid w:val="000B7144"/>
    <w:rsid w:val="000C051E"/>
    <w:rsid w:val="000C62D7"/>
    <w:rsid w:val="000D0578"/>
    <w:rsid w:val="000F39CD"/>
    <w:rsid w:val="001479F0"/>
    <w:rsid w:val="00163739"/>
    <w:rsid w:val="00194C50"/>
    <w:rsid w:val="001977DA"/>
    <w:rsid w:val="001B42B0"/>
    <w:rsid w:val="001B458B"/>
    <w:rsid w:val="001B6941"/>
    <w:rsid w:val="001C27C3"/>
    <w:rsid w:val="001C793B"/>
    <w:rsid w:val="001F25AA"/>
    <w:rsid w:val="001F45AA"/>
    <w:rsid w:val="00204C6F"/>
    <w:rsid w:val="002243E8"/>
    <w:rsid w:val="0022461B"/>
    <w:rsid w:val="00236673"/>
    <w:rsid w:val="002441DC"/>
    <w:rsid w:val="00244F62"/>
    <w:rsid w:val="00251F70"/>
    <w:rsid w:val="002556CB"/>
    <w:rsid w:val="00263AE8"/>
    <w:rsid w:val="00272D19"/>
    <w:rsid w:val="002732D4"/>
    <w:rsid w:val="002811F7"/>
    <w:rsid w:val="0028454D"/>
    <w:rsid w:val="00290684"/>
    <w:rsid w:val="002B37F8"/>
    <w:rsid w:val="002B3B21"/>
    <w:rsid w:val="002D1E4F"/>
    <w:rsid w:val="002E6D28"/>
    <w:rsid w:val="002F0EE4"/>
    <w:rsid w:val="002F7707"/>
    <w:rsid w:val="00301FC2"/>
    <w:rsid w:val="00305205"/>
    <w:rsid w:val="0031512E"/>
    <w:rsid w:val="00316A33"/>
    <w:rsid w:val="00324F7E"/>
    <w:rsid w:val="0032733F"/>
    <w:rsid w:val="003321FD"/>
    <w:rsid w:val="00336B0E"/>
    <w:rsid w:val="00336B2B"/>
    <w:rsid w:val="003408E1"/>
    <w:rsid w:val="003427A7"/>
    <w:rsid w:val="00343DD9"/>
    <w:rsid w:val="0035620F"/>
    <w:rsid w:val="00357E62"/>
    <w:rsid w:val="0037329C"/>
    <w:rsid w:val="00383F01"/>
    <w:rsid w:val="00383F60"/>
    <w:rsid w:val="003A0A0E"/>
    <w:rsid w:val="003A0F4C"/>
    <w:rsid w:val="003A6011"/>
    <w:rsid w:val="003B1499"/>
    <w:rsid w:val="003D22CC"/>
    <w:rsid w:val="003D5F23"/>
    <w:rsid w:val="003D6881"/>
    <w:rsid w:val="003F10D3"/>
    <w:rsid w:val="003F2159"/>
    <w:rsid w:val="00407D54"/>
    <w:rsid w:val="004135D1"/>
    <w:rsid w:val="0041471F"/>
    <w:rsid w:val="00430B91"/>
    <w:rsid w:val="00431472"/>
    <w:rsid w:val="004374C6"/>
    <w:rsid w:val="004436D1"/>
    <w:rsid w:val="0045585C"/>
    <w:rsid w:val="00466C80"/>
    <w:rsid w:val="0047152C"/>
    <w:rsid w:val="00473B8D"/>
    <w:rsid w:val="00476584"/>
    <w:rsid w:val="004766B7"/>
    <w:rsid w:val="004A1F76"/>
    <w:rsid w:val="004A327D"/>
    <w:rsid w:val="004A6B2A"/>
    <w:rsid w:val="004C0201"/>
    <w:rsid w:val="004D08A1"/>
    <w:rsid w:val="004D38A3"/>
    <w:rsid w:val="004E130C"/>
    <w:rsid w:val="004E1D3D"/>
    <w:rsid w:val="004F17FD"/>
    <w:rsid w:val="00506807"/>
    <w:rsid w:val="0052168D"/>
    <w:rsid w:val="00551868"/>
    <w:rsid w:val="0056518D"/>
    <w:rsid w:val="00576450"/>
    <w:rsid w:val="00590564"/>
    <w:rsid w:val="00596E7A"/>
    <w:rsid w:val="00597D48"/>
    <w:rsid w:val="005C4AF7"/>
    <w:rsid w:val="005C6713"/>
    <w:rsid w:val="005D1E7C"/>
    <w:rsid w:val="005E4C6E"/>
    <w:rsid w:val="005E62AA"/>
    <w:rsid w:val="00602406"/>
    <w:rsid w:val="00603BEB"/>
    <w:rsid w:val="00605D61"/>
    <w:rsid w:val="00616418"/>
    <w:rsid w:val="00635CDE"/>
    <w:rsid w:val="00635E67"/>
    <w:rsid w:val="00644125"/>
    <w:rsid w:val="006616F4"/>
    <w:rsid w:val="00666027"/>
    <w:rsid w:val="006768A7"/>
    <w:rsid w:val="006C1971"/>
    <w:rsid w:val="006D3C66"/>
    <w:rsid w:val="006E24E8"/>
    <w:rsid w:val="006E3BFE"/>
    <w:rsid w:val="006E3FF5"/>
    <w:rsid w:val="006F0844"/>
    <w:rsid w:val="00701988"/>
    <w:rsid w:val="00704E68"/>
    <w:rsid w:val="007055F9"/>
    <w:rsid w:val="00713B3F"/>
    <w:rsid w:val="00727915"/>
    <w:rsid w:val="0073021D"/>
    <w:rsid w:val="0073751A"/>
    <w:rsid w:val="00747BED"/>
    <w:rsid w:val="00754518"/>
    <w:rsid w:val="00761D04"/>
    <w:rsid w:val="007A4714"/>
    <w:rsid w:val="007E103F"/>
    <w:rsid w:val="007E271F"/>
    <w:rsid w:val="007E7659"/>
    <w:rsid w:val="007F098C"/>
    <w:rsid w:val="007F1246"/>
    <w:rsid w:val="00804491"/>
    <w:rsid w:val="0080680F"/>
    <w:rsid w:val="00806DBD"/>
    <w:rsid w:val="00811D62"/>
    <w:rsid w:val="00816F02"/>
    <w:rsid w:val="00825C9F"/>
    <w:rsid w:val="00852060"/>
    <w:rsid w:val="008622F6"/>
    <w:rsid w:val="00866C1C"/>
    <w:rsid w:val="0088222C"/>
    <w:rsid w:val="0088522B"/>
    <w:rsid w:val="008A198C"/>
    <w:rsid w:val="008A50A9"/>
    <w:rsid w:val="008A550D"/>
    <w:rsid w:val="008C1FF9"/>
    <w:rsid w:val="008D000A"/>
    <w:rsid w:val="008E1252"/>
    <w:rsid w:val="008E28C9"/>
    <w:rsid w:val="008F13C2"/>
    <w:rsid w:val="008F5C2F"/>
    <w:rsid w:val="009138A7"/>
    <w:rsid w:val="0091490C"/>
    <w:rsid w:val="009161DB"/>
    <w:rsid w:val="009409A1"/>
    <w:rsid w:val="00947710"/>
    <w:rsid w:val="00947829"/>
    <w:rsid w:val="009479C5"/>
    <w:rsid w:val="00981DF1"/>
    <w:rsid w:val="00981E7B"/>
    <w:rsid w:val="00985D5D"/>
    <w:rsid w:val="009860AB"/>
    <w:rsid w:val="00991E94"/>
    <w:rsid w:val="009A1CD5"/>
    <w:rsid w:val="009B17C1"/>
    <w:rsid w:val="009B3390"/>
    <w:rsid w:val="009B4080"/>
    <w:rsid w:val="009C341F"/>
    <w:rsid w:val="009C6D85"/>
    <w:rsid w:val="009D4732"/>
    <w:rsid w:val="009E2A59"/>
    <w:rsid w:val="009E6078"/>
    <w:rsid w:val="009F2066"/>
    <w:rsid w:val="00A153A0"/>
    <w:rsid w:val="00A20CBA"/>
    <w:rsid w:val="00A6008A"/>
    <w:rsid w:val="00A62E21"/>
    <w:rsid w:val="00A73E62"/>
    <w:rsid w:val="00AA2520"/>
    <w:rsid w:val="00AA67C8"/>
    <w:rsid w:val="00AC295B"/>
    <w:rsid w:val="00AC7FCA"/>
    <w:rsid w:val="00AD4745"/>
    <w:rsid w:val="00AD4CD4"/>
    <w:rsid w:val="00AF0D00"/>
    <w:rsid w:val="00AF2D5B"/>
    <w:rsid w:val="00B056EC"/>
    <w:rsid w:val="00B06EF5"/>
    <w:rsid w:val="00B1184C"/>
    <w:rsid w:val="00B21F3E"/>
    <w:rsid w:val="00B2529B"/>
    <w:rsid w:val="00B67DCA"/>
    <w:rsid w:val="00B84B9A"/>
    <w:rsid w:val="00B91488"/>
    <w:rsid w:val="00B95AC5"/>
    <w:rsid w:val="00B9623D"/>
    <w:rsid w:val="00BB73CE"/>
    <w:rsid w:val="00BC55E9"/>
    <w:rsid w:val="00BE2F6F"/>
    <w:rsid w:val="00BE3E56"/>
    <w:rsid w:val="00BF3160"/>
    <w:rsid w:val="00C02174"/>
    <w:rsid w:val="00C14A4A"/>
    <w:rsid w:val="00C15D46"/>
    <w:rsid w:val="00C23115"/>
    <w:rsid w:val="00C26AD3"/>
    <w:rsid w:val="00C514BA"/>
    <w:rsid w:val="00C567A4"/>
    <w:rsid w:val="00C63253"/>
    <w:rsid w:val="00C76151"/>
    <w:rsid w:val="00C842A2"/>
    <w:rsid w:val="00C84F3B"/>
    <w:rsid w:val="00C9297A"/>
    <w:rsid w:val="00C94B5D"/>
    <w:rsid w:val="00CC6E5B"/>
    <w:rsid w:val="00CE01CB"/>
    <w:rsid w:val="00CE3EBE"/>
    <w:rsid w:val="00CF145E"/>
    <w:rsid w:val="00CF428E"/>
    <w:rsid w:val="00D03A22"/>
    <w:rsid w:val="00D047FE"/>
    <w:rsid w:val="00D20A99"/>
    <w:rsid w:val="00D24672"/>
    <w:rsid w:val="00D36DB0"/>
    <w:rsid w:val="00D42A1B"/>
    <w:rsid w:val="00D431B4"/>
    <w:rsid w:val="00D44A02"/>
    <w:rsid w:val="00D46DD5"/>
    <w:rsid w:val="00D56911"/>
    <w:rsid w:val="00D6790B"/>
    <w:rsid w:val="00D90224"/>
    <w:rsid w:val="00D95C29"/>
    <w:rsid w:val="00DA2FB8"/>
    <w:rsid w:val="00DA5066"/>
    <w:rsid w:val="00DC15A8"/>
    <w:rsid w:val="00DE6AC6"/>
    <w:rsid w:val="00DF0003"/>
    <w:rsid w:val="00E006A7"/>
    <w:rsid w:val="00E03465"/>
    <w:rsid w:val="00E05022"/>
    <w:rsid w:val="00E0509B"/>
    <w:rsid w:val="00E24B3A"/>
    <w:rsid w:val="00E32CF7"/>
    <w:rsid w:val="00E513DE"/>
    <w:rsid w:val="00E63606"/>
    <w:rsid w:val="00E73262"/>
    <w:rsid w:val="00E821F6"/>
    <w:rsid w:val="00E86FFE"/>
    <w:rsid w:val="00E928F1"/>
    <w:rsid w:val="00E95236"/>
    <w:rsid w:val="00EA7F90"/>
    <w:rsid w:val="00ED404A"/>
    <w:rsid w:val="00ED5E3E"/>
    <w:rsid w:val="00EE2BFE"/>
    <w:rsid w:val="00EE54A4"/>
    <w:rsid w:val="00EF4249"/>
    <w:rsid w:val="00EF74DD"/>
    <w:rsid w:val="00F01E3E"/>
    <w:rsid w:val="00F02CC8"/>
    <w:rsid w:val="00F03882"/>
    <w:rsid w:val="00F077FA"/>
    <w:rsid w:val="00F13973"/>
    <w:rsid w:val="00F30A01"/>
    <w:rsid w:val="00F369D6"/>
    <w:rsid w:val="00F5236A"/>
    <w:rsid w:val="00F52A42"/>
    <w:rsid w:val="00F54519"/>
    <w:rsid w:val="00F55AA5"/>
    <w:rsid w:val="00F62FCC"/>
    <w:rsid w:val="00F636D9"/>
    <w:rsid w:val="00F83E19"/>
    <w:rsid w:val="00FC1722"/>
    <w:rsid w:val="00FC5EA2"/>
    <w:rsid w:val="00FD288B"/>
    <w:rsid w:val="00FD5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733F"/>
    <w:pPr>
      <w:ind w:left="720"/>
      <w:contextualSpacing/>
    </w:pPr>
  </w:style>
  <w:style w:type="character" w:customStyle="1" w:styleId="a4">
    <w:name w:val="פיסקת רשימה תו"/>
    <w:basedOn w:val="a0"/>
    <w:link w:val="a3"/>
    <w:uiPriority w:val="99"/>
    <w:rsid w:val="0032733F"/>
  </w:style>
  <w:style w:type="paragraph" w:styleId="a5">
    <w:name w:val="footnote text"/>
    <w:basedOn w:val="a"/>
    <w:link w:val="a6"/>
    <w:uiPriority w:val="99"/>
    <w:unhideWhenUsed/>
    <w:qFormat/>
    <w:rsid w:val="0032733F"/>
    <w:pPr>
      <w:spacing w:after="0" w:line="240" w:lineRule="auto"/>
    </w:pPr>
    <w:rPr>
      <w:rFonts w:ascii="Calibri" w:eastAsia="Calibri" w:hAnsi="Calibri" w:cs="Calibri"/>
      <w:sz w:val="20"/>
      <w:szCs w:val="20"/>
    </w:rPr>
  </w:style>
  <w:style w:type="character" w:customStyle="1" w:styleId="a6">
    <w:name w:val="טקסט הערת שוליים תו"/>
    <w:basedOn w:val="a0"/>
    <w:link w:val="a5"/>
    <w:uiPriority w:val="99"/>
    <w:rsid w:val="0032733F"/>
    <w:rPr>
      <w:rFonts w:ascii="Calibri" w:eastAsia="Calibri" w:hAnsi="Calibri" w:cs="Calibri"/>
      <w:sz w:val="20"/>
      <w:szCs w:val="20"/>
    </w:rPr>
  </w:style>
  <w:style w:type="character" w:styleId="a7">
    <w:name w:val="footnote reference"/>
    <w:basedOn w:val="a0"/>
    <w:uiPriority w:val="99"/>
    <w:semiHidden/>
    <w:unhideWhenUsed/>
    <w:rsid w:val="0032733F"/>
    <w:rPr>
      <w:vertAlign w:val="superscript"/>
    </w:rPr>
  </w:style>
  <w:style w:type="paragraph" w:styleId="a8">
    <w:name w:val="caption"/>
    <w:basedOn w:val="a"/>
    <w:next w:val="a"/>
    <w:uiPriority w:val="35"/>
    <w:unhideWhenUsed/>
    <w:qFormat/>
    <w:rsid w:val="00635E67"/>
    <w:pPr>
      <w:spacing w:line="240" w:lineRule="auto"/>
    </w:pPr>
    <w:rPr>
      <w:i/>
      <w:iCs/>
      <w:color w:val="1F497D" w:themeColor="text2"/>
      <w:sz w:val="18"/>
      <w:szCs w:val="18"/>
    </w:rPr>
  </w:style>
  <w:style w:type="paragraph" w:styleId="a9">
    <w:name w:val="Balloon Text"/>
    <w:basedOn w:val="a"/>
    <w:link w:val="aa"/>
    <w:uiPriority w:val="99"/>
    <w:semiHidden/>
    <w:unhideWhenUsed/>
    <w:rsid w:val="00C26AD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C26AD3"/>
    <w:rPr>
      <w:rFonts w:ascii="Tahoma" w:hAnsi="Tahoma" w:cs="Tahoma"/>
      <w:sz w:val="18"/>
      <w:szCs w:val="18"/>
    </w:rPr>
  </w:style>
  <w:style w:type="character" w:styleId="ab">
    <w:name w:val="annotation reference"/>
    <w:basedOn w:val="a0"/>
    <w:uiPriority w:val="99"/>
    <w:semiHidden/>
    <w:unhideWhenUsed/>
    <w:rsid w:val="00C26AD3"/>
    <w:rPr>
      <w:sz w:val="16"/>
      <w:szCs w:val="16"/>
    </w:rPr>
  </w:style>
  <w:style w:type="paragraph" w:styleId="ac">
    <w:name w:val="annotation text"/>
    <w:basedOn w:val="a"/>
    <w:link w:val="ad"/>
    <w:uiPriority w:val="99"/>
    <w:semiHidden/>
    <w:unhideWhenUsed/>
    <w:rsid w:val="00C26AD3"/>
    <w:pPr>
      <w:spacing w:line="240" w:lineRule="auto"/>
    </w:pPr>
    <w:rPr>
      <w:sz w:val="20"/>
      <w:szCs w:val="20"/>
    </w:rPr>
  </w:style>
  <w:style w:type="character" w:customStyle="1" w:styleId="ad">
    <w:name w:val="טקסט הערה תו"/>
    <w:basedOn w:val="a0"/>
    <w:link w:val="ac"/>
    <w:uiPriority w:val="99"/>
    <w:semiHidden/>
    <w:rsid w:val="00C26AD3"/>
    <w:rPr>
      <w:sz w:val="20"/>
      <w:szCs w:val="20"/>
    </w:rPr>
  </w:style>
  <w:style w:type="paragraph" w:styleId="ae">
    <w:name w:val="annotation subject"/>
    <w:basedOn w:val="ac"/>
    <w:next w:val="ac"/>
    <w:link w:val="af"/>
    <w:uiPriority w:val="99"/>
    <w:semiHidden/>
    <w:unhideWhenUsed/>
    <w:rsid w:val="00C26AD3"/>
    <w:rPr>
      <w:b/>
      <w:bCs/>
    </w:rPr>
  </w:style>
  <w:style w:type="character" w:customStyle="1" w:styleId="af">
    <w:name w:val="נושא הערה תו"/>
    <w:basedOn w:val="ad"/>
    <w:link w:val="ae"/>
    <w:uiPriority w:val="99"/>
    <w:semiHidden/>
    <w:rsid w:val="00C26AD3"/>
    <w:rPr>
      <w:b/>
      <w:bCs/>
      <w:sz w:val="20"/>
      <w:szCs w:val="20"/>
    </w:rPr>
  </w:style>
  <w:style w:type="paragraph" w:styleId="af0">
    <w:name w:val="header"/>
    <w:basedOn w:val="a"/>
    <w:link w:val="af1"/>
    <w:uiPriority w:val="99"/>
    <w:unhideWhenUsed/>
    <w:rsid w:val="007A4714"/>
    <w:pPr>
      <w:tabs>
        <w:tab w:val="center" w:pos="4153"/>
        <w:tab w:val="right" w:pos="8306"/>
      </w:tabs>
      <w:spacing w:after="0" w:line="240" w:lineRule="auto"/>
    </w:pPr>
  </w:style>
  <w:style w:type="character" w:customStyle="1" w:styleId="af1">
    <w:name w:val="כותרת עליונה תו"/>
    <w:basedOn w:val="a0"/>
    <w:link w:val="af0"/>
    <w:uiPriority w:val="99"/>
    <w:rsid w:val="007A4714"/>
  </w:style>
  <w:style w:type="paragraph" w:styleId="af2">
    <w:name w:val="footer"/>
    <w:basedOn w:val="a"/>
    <w:link w:val="af3"/>
    <w:uiPriority w:val="99"/>
    <w:unhideWhenUsed/>
    <w:rsid w:val="007A4714"/>
    <w:pPr>
      <w:tabs>
        <w:tab w:val="center" w:pos="4153"/>
        <w:tab w:val="right" w:pos="8306"/>
      </w:tabs>
      <w:spacing w:after="0" w:line="240" w:lineRule="auto"/>
    </w:pPr>
  </w:style>
  <w:style w:type="character" w:customStyle="1" w:styleId="af3">
    <w:name w:val="כותרת תחתונה תו"/>
    <w:basedOn w:val="a0"/>
    <w:link w:val="af2"/>
    <w:uiPriority w:val="99"/>
    <w:rsid w:val="007A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93897284383438"/>
          <c:y val="8.1031307550644568E-2"/>
          <c:w val="0.80369697055372546"/>
          <c:h val="0.45271675294731806"/>
        </c:manualLayout>
      </c:layout>
      <c:barChart>
        <c:barDir val="col"/>
        <c:grouping val="clustered"/>
        <c:varyColors val="0"/>
        <c:ser>
          <c:idx val="2"/>
          <c:order val="1"/>
          <c:tx>
            <c:strRef>
              <c:f>'repurchase&amp;uncertainty measures'!$T$1</c:f>
              <c:strCache>
                <c:ptCount val="1"/>
                <c:pt idx="0">
                  <c:v>Bond repurchase sum (millions of shekels, right axis)</c:v>
                </c:pt>
              </c:strCache>
            </c:strRef>
          </c:tx>
          <c:spPr>
            <a:solidFill>
              <a:schemeClr val="accent3"/>
            </a:solidFill>
            <a:ln w="25400">
              <a:solidFill>
                <a:schemeClr val="bg1"/>
              </a:solidFill>
            </a:ln>
            <a:effectLst/>
          </c:spPr>
          <c:invertIfNegative val="0"/>
          <c:trendline>
            <c:name>Bond repurchase sum (lagged 6-month moving average, right axis)</c:name>
            <c:spPr>
              <a:ln w="50800" cap="rnd">
                <a:solidFill>
                  <a:srgbClr val="008000"/>
                </a:solidFill>
                <a:prstDash val="sysDot"/>
              </a:ln>
              <a:effectLst/>
            </c:spPr>
            <c:trendlineType val="movingAvg"/>
            <c:period val="6"/>
            <c:dispRSqr val="0"/>
            <c:dispEq val="0"/>
          </c:trendline>
          <c:cat>
            <c:numRef>
              <c:f>'repurchase&amp;uncertainty measures'!$Q$2:$Q$157</c:f>
              <c:numCache>
                <c:formatCode>m/d/yyyy</c:formatCode>
                <c:ptCount val="156"/>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42309</c:v>
                </c:pt>
                <c:pt idx="95">
                  <c:v>42339</c:v>
                </c:pt>
                <c:pt idx="96">
                  <c:v>42370</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pt idx="122">
                  <c:v>43160</c:v>
                </c:pt>
                <c:pt idx="123">
                  <c:v>43191</c:v>
                </c:pt>
                <c:pt idx="124">
                  <c:v>43221</c:v>
                </c:pt>
                <c:pt idx="125">
                  <c:v>43252</c:v>
                </c:pt>
                <c:pt idx="126">
                  <c:v>43282</c:v>
                </c:pt>
                <c:pt idx="127">
                  <c:v>43313</c:v>
                </c:pt>
                <c:pt idx="128">
                  <c:v>43344</c:v>
                </c:pt>
                <c:pt idx="129">
                  <c:v>43374</c:v>
                </c:pt>
                <c:pt idx="130">
                  <c:v>43405</c:v>
                </c:pt>
                <c:pt idx="131">
                  <c:v>43435</c:v>
                </c:pt>
                <c:pt idx="132">
                  <c:v>43466</c:v>
                </c:pt>
                <c:pt idx="133">
                  <c:v>43497</c:v>
                </c:pt>
                <c:pt idx="134">
                  <c:v>43525</c:v>
                </c:pt>
                <c:pt idx="135">
                  <c:v>43556</c:v>
                </c:pt>
                <c:pt idx="136">
                  <c:v>43586</c:v>
                </c:pt>
                <c:pt idx="137">
                  <c:v>43617</c:v>
                </c:pt>
                <c:pt idx="138">
                  <c:v>43647</c:v>
                </c:pt>
                <c:pt idx="139">
                  <c:v>43678</c:v>
                </c:pt>
                <c:pt idx="140">
                  <c:v>43709</c:v>
                </c:pt>
                <c:pt idx="141">
                  <c:v>43739</c:v>
                </c:pt>
                <c:pt idx="142">
                  <c:v>43770</c:v>
                </c:pt>
                <c:pt idx="143">
                  <c:v>43800</c:v>
                </c:pt>
                <c:pt idx="144">
                  <c:v>43831</c:v>
                </c:pt>
                <c:pt idx="145">
                  <c:v>43862</c:v>
                </c:pt>
                <c:pt idx="146">
                  <c:v>43891</c:v>
                </c:pt>
                <c:pt idx="147">
                  <c:v>43922</c:v>
                </c:pt>
                <c:pt idx="148">
                  <c:v>43952</c:v>
                </c:pt>
                <c:pt idx="149">
                  <c:v>43983</c:v>
                </c:pt>
                <c:pt idx="150">
                  <c:v>44013</c:v>
                </c:pt>
                <c:pt idx="151">
                  <c:v>44044</c:v>
                </c:pt>
                <c:pt idx="152">
                  <c:v>44075</c:v>
                </c:pt>
                <c:pt idx="153">
                  <c:v>44105</c:v>
                </c:pt>
                <c:pt idx="154">
                  <c:v>44136</c:v>
                </c:pt>
                <c:pt idx="155">
                  <c:v>44166</c:v>
                </c:pt>
              </c:numCache>
            </c:numRef>
          </c:cat>
          <c:val>
            <c:numRef>
              <c:f>'repurchase&amp;uncertainty measures'!$T$2:$T$157</c:f>
              <c:numCache>
                <c:formatCode>General</c:formatCode>
                <c:ptCount val="156"/>
                <c:pt idx="0">
                  <c:v>0</c:v>
                </c:pt>
                <c:pt idx="1">
                  <c:v>0</c:v>
                </c:pt>
                <c:pt idx="2">
                  <c:v>3.2452779999999999</c:v>
                </c:pt>
                <c:pt idx="3">
                  <c:v>8.0954619999999995</c:v>
                </c:pt>
                <c:pt idx="4">
                  <c:v>2.7</c:v>
                </c:pt>
                <c:pt idx="5">
                  <c:v>19.167200000000001</c:v>
                </c:pt>
                <c:pt idx="6">
                  <c:v>66.367999999999995</c:v>
                </c:pt>
                <c:pt idx="7">
                  <c:v>20.042421999999998</c:v>
                </c:pt>
                <c:pt idx="8">
                  <c:v>157.37899999999999</c:v>
                </c:pt>
                <c:pt idx="9">
                  <c:v>192.68299999999999</c:v>
                </c:pt>
                <c:pt idx="10">
                  <c:v>275.2</c:v>
                </c:pt>
                <c:pt idx="11">
                  <c:v>449.35</c:v>
                </c:pt>
                <c:pt idx="12">
                  <c:v>218.94200000000001</c:v>
                </c:pt>
                <c:pt idx="13">
                  <c:v>89.683000000000007</c:v>
                </c:pt>
                <c:pt idx="14">
                  <c:v>73.093999999999994</c:v>
                </c:pt>
                <c:pt idx="15">
                  <c:v>27.370432999999998</c:v>
                </c:pt>
                <c:pt idx="16">
                  <c:v>16.556196910000001</c:v>
                </c:pt>
                <c:pt idx="17">
                  <c:v>40.96</c:v>
                </c:pt>
                <c:pt idx="18">
                  <c:v>14.915229</c:v>
                </c:pt>
                <c:pt idx="19">
                  <c:v>24.437315039999998</c:v>
                </c:pt>
                <c:pt idx="20">
                  <c:v>116.14700000000001</c:v>
                </c:pt>
                <c:pt idx="21">
                  <c:v>9.8105790000000006</c:v>
                </c:pt>
                <c:pt idx="22">
                  <c:v>39.109000000000002</c:v>
                </c:pt>
                <c:pt idx="23">
                  <c:v>57.777000000000001</c:v>
                </c:pt>
                <c:pt idx="24">
                  <c:v>19.500706749999999</c:v>
                </c:pt>
                <c:pt idx="25">
                  <c:v>5.8839323300000004</c:v>
                </c:pt>
                <c:pt idx="26">
                  <c:v>6.1203734400000007</c:v>
                </c:pt>
                <c:pt idx="27">
                  <c:v>22.288663195999998</c:v>
                </c:pt>
                <c:pt idx="28">
                  <c:v>11.83134615</c:v>
                </c:pt>
                <c:pt idx="29">
                  <c:v>37.471759829999996</c:v>
                </c:pt>
                <c:pt idx="30">
                  <c:v>20.362854106</c:v>
                </c:pt>
                <c:pt idx="31">
                  <c:v>7.2552479700000001</c:v>
                </c:pt>
                <c:pt idx="32">
                  <c:v>69.664000000000001</c:v>
                </c:pt>
                <c:pt idx="33">
                  <c:v>164.19840263</c:v>
                </c:pt>
                <c:pt idx="34">
                  <c:v>3.1760000000000002</c:v>
                </c:pt>
                <c:pt idx="35">
                  <c:v>46.157105346999998</c:v>
                </c:pt>
                <c:pt idx="36">
                  <c:v>41.666374179999998</c:v>
                </c:pt>
                <c:pt idx="37">
                  <c:v>1.29713422</c:v>
                </c:pt>
                <c:pt idx="38">
                  <c:v>0.42995771999999999</c:v>
                </c:pt>
                <c:pt idx="39">
                  <c:v>3.9335399999999998</c:v>
                </c:pt>
                <c:pt idx="40">
                  <c:v>35.537999999999997</c:v>
                </c:pt>
                <c:pt idx="41">
                  <c:v>110.71644000000001</c:v>
                </c:pt>
                <c:pt idx="42">
                  <c:v>66.318989810000005</c:v>
                </c:pt>
                <c:pt idx="43">
                  <c:v>162.56800000000001</c:v>
                </c:pt>
                <c:pt idx="44">
                  <c:v>173.58487199000001</c:v>
                </c:pt>
                <c:pt idx="45">
                  <c:v>30.142992</c:v>
                </c:pt>
                <c:pt idx="46">
                  <c:v>52.893498619999995</c:v>
                </c:pt>
                <c:pt idx="47">
                  <c:v>195.01</c:v>
                </c:pt>
                <c:pt idx="48">
                  <c:v>168.351</c:v>
                </c:pt>
                <c:pt idx="49">
                  <c:v>10.72200426</c:v>
                </c:pt>
                <c:pt idx="50">
                  <c:v>18.889400160000001</c:v>
                </c:pt>
                <c:pt idx="51">
                  <c:v>48.071196999999998</c:v>
                </c:pt>
                <c:pt idx="52">
                  <c:v>170.25392571</c:v>
                </c:pt>
                <c:pt idx="53">
                  <c:v>129.14868801</c:v>
                </c:pt>
                <c:pt idx="54">
                  <c:v>124.53354893000001</c:v>
                </c:pt>
                <c:pt idx="55">
                  <c:v>94.013578609999996</c:v>
                </c:pt>
                <c:pt idx="56">
                  <c:v>53.062216030000002</c:v>
                </c:pt>
                <c:pt idx="57">
                  <c:v>6.1998497800000001</c:v>
                </c:pt>
                <c:pt idx="58">
                  <c:v>15.690137999999999</c:v>
                </c:pt>
                <c:pt idx="59">
                  <c:v>4.8192630260000007</c:v>
                </c:pt>
                <c:pt idx="60">
                  <c:v>0.21235289999999998</c:v>
                </c:pt>
                <c:pt idx="61">
                  <c:v>0.16800000000000001</c:v>
                </c:pt>
                <c:pt idx="62">
                  <c:v>8.5920122699999997</c:v>
                </c:pt>
                <c:pt idx="63">
                  <c:v>37.493000000000002</c:v>
                </c:pt>
                <c:pt idx="64">
                  <c:v>8.7820634999999996</c:v>
                </c:pt>
                <c:pt idx="65">
                  <c:v>37.573999999999998</c:v>
                </c:pt>
                <c:pt idx="66">
                  <c:v>9.5053691699999998</c:v>
                </c:pt>
                <c:pt idx="67">
                  <c:v>2.25</c:v>
                </c:pt>
                <c:pt idx="68">
                  <c:v>14.14108192</c:v>
                </c:pt>
                <c:pt idx="69">
                  <c:v>20.194505550000002</c:v>
                </c:pt>
                <c:pt idx="70">
                  <c:v>175.23474522999999</c:v>
                </c:pt>
                <c:pt idx="71">
                  <c:v>4.0834952830000004</c:v>
                </c:pt>
                <c:pt idx="72">
                  <c:v>9.8879418853000001</c:v>
                </c:pt>
                <c:pt idx="73">
                  <c:v>5.6232231600000002</c:v>
                </c:pt>
                <c:pt idx="74">
                  <c:v>0</c:v>
                </c:pt>
                <c:pt idx="75">
                  <c:v>4.1949528E-2</c:v>
                </c:pt>
                <c:pt idx="76">
                  <c:v>0.72438614499999998</c:v>
                </c:pt>
                <c:pt idx="77">
                  <c:v>100.97289152500001</c:v>
                </c:pt>
                <c:pt idx="78">
                  <c:v>46.679298896000006</c:v>
                </c:pt>
                <c:pt idx="79">
                  <c:v>1.4414100000000001E-2</c:v>
                </c:pt>
                <c:pt idx="80">
                  <c:v>17.277527760000002</c:v>
                </c:pt>
                <c:pt idx="81">
                  <c:v>14.725091513000001</c:v>
                </c:pt>
                <c:pt idx="82">
                  <c:v>0.71202898000000003</c:v>
                </c:pt>
                <c:pt idx="83">
                  <c:v>54.880518666100002</c:v>
                </c:pt>
                <c:pt idx="84">
                  <c:v>105.53079168000001</c:v>
                </c:pt>
                <c:pt idx="85">
                  <c:v>32.58667793</c:v>
                </c:pt>
                <c:pt idx="86">
                  <c:v>0.67700000000000005</c:v>
                </c:pt>
                <c:pt idx="87">
                  <c:v>32.558938070000004</c:v>
                </c:pt>
                <c:pt idx="88">
                  <c:v>3.753894E-2</c:v>
                </c:pt>
                <c:pt idx="89">
                  <c:v>11.503623769000001</c:v>
                </c:pt>
                <c:pt idx="90">
                  <c:v>1.7774801840000001</c:v>
                </c:pt>
                <c:pt idx="91">
                  <c:v>1.9882705119999999</c:v>
                </c:pt>
                <c:pt idx="92">
                  <c:v>18.36421009</c:v>
                </c:pt>
                <c:pt idx="93">
                  <c:v>0.215113885</c:v>
                </c:pt>
                <c:pt idx="94">
                  <c:v>0</c:v>
                </c:pt>
                <c:pt idx="95">
                  <c:v>2.7810000000000001</c:v>
                </c:pt>
                <c:pt idx="96">
                  <c:v>46.237394093999995</c:v>
                </c:pt>
                <c:pt idx="97">
                  <c:v>77.316369049999992</c:v>
                </c:pt>
                <c:pt idx="98">
                  <c:v>0</c:v>
                </c:pt>
                <c:pt idx="99">
                  <c:v>0.74299999999999999</c:v>
                </c:pt>
                <c:pt idx="100">
                  <c:v>1.5668559450000001</c:v>
                </c:pt>
                <c:pt idx="101">
                  <c:v>22.692165768000002</c:v>
                </c:pt>
                <c:pt idx="102">
                  <c:v>13.31025</c:v>
                </c:pt>
                <c:pt idx="103">
                  <c:v>8.2759999999999998</c:v>
                </c:pt>
                <c:pt idx="104">
                  <c:v>7.6321490000000006E-2</c:v>
                </c:pt>
                <c:pt idx="105">
                  <c:v>0</c:v>
                </c:pt>
                <c:pt idx="106">
                  <c:v>25.3</c:v>
                </c:pt>
                <c:pt idx="107">
                  <c:v>2.2345343799999999</c:v>
                </c:pt>
                <c:pt idx="108">
                  <c:v>0</c:v>
                </c:pt>
                <c:pt idx="109">
                  <c:v>0</c:v>
                </c:pt>
                <c:pt idx="110">
                  <c:v>0</c:v>
                </c:pt>
                <c:pt idx="111">
                  <c:v>0</c:v>
                </c:pt>
                <c:pt idx="112">
                  <c:v>0</c:v>
                </c:pt>
                <c:pt idx="113">
                  <c:v>0</c:v>
                </c:pt>
                <c:pt idx="114">
                  <c:v>0</c:v>
                </c:pt>
                <c:pt idx="115">
                  <c:v>4.556</c:v>
                </c:pt>
                <c:pt idx="116">
                  <c:v>48.595749812000001</c:v>
                </c:pt>
                <c:pt idx="117">
                  <c:v>32.308999999999997</c:v>
                </c:pt>
                <c:pt idx="118">
                  <c:v>39.328000000000003</c:v>
                </c:pt>
                <c:pt idx="119">
                  <c:v>50.953979520000004</c:v>
                </c:pt>
                <c:pt idx="120">
                  <c:v>0</c:v>
                </c:pt>
                <c:pt idx="121">
                  <c:v>0</c:v>
                </c:pt>
                <c:pt idx="122">
                  <c:v>2.89</c:v>
                </c:pt>
                <c:pt idx="123">
                  <c:v>2.37</c:v>
                </c:pt>
                <c:pt idx="124">
                  <c:v>42.9</c:v>
                </c:pt>
                <c:pt idx="125">
                  <c:v>14.803000000000001</c:v>
                </c:pt>
                <c:pt idx="126">
                  <c:v>19.923999999999999</c:v>
                </c:pt>
                <c:pt idx="127">
                  <c:v>377.24200000000002</c:v>
                </c:pt>
                <c:pt idx="128">
                  <c:v>30.058</c:v>
                </c:pt>
                <c:pt idx="129">
                  <c:v>0</c:v>
                </c:pt>
                <c:pt idx="130">
                  <c:v>0.13600000000000001</c:v>
                </c:pt>
                <c:pt idx="131">
                  <c:v>34.56</c:v>
                </c:pt>
                <c:pt idx="132">
                  <c:v>15.737580320000001</c:v>
                </c:pt>
                <c:pt idx="133">
                  <c:v>36.520000000000003</c:v>
                </c:pt>
                <c:pt idx="134">
                  <c:v>1.6066</c:v>
                </c:pt>
                <c:pt idx="135">
                  <c:v>16.067584</c:v>
                </c:pt>
                <c:pt idx="136">
                  <c:v>0</c:v>
                </c:pt>
                <c:pt idx="137">
                  <c:v>11.994999999999999</c:v>
                </c:pt>
                <c:pt idx="138">
                  <c:v>27.912635000000002</c:v>
                </c:pt>
                <c:pt idx="139">
                  <c:v>4.3849999999999998</c:v>
                </c:pt>
                <c:pt idx="140">
                  <c:v>12.587</c:v>
                </c:pt>
                <c:pt idx="141">
                  <c:v>5.2729999999999997</c:v>
                </c:pt>
                <c:pt idx="142">
                  <c:v>145</c:v>
                </c:pt>
                <c:pt idx="143">
                  <c:v>173.17503199999999</c:v>
                </c:pt>
                <c:pt idx="144">
                  <c:v>31.097000000000001</c:v>
                </c:pt>
                <c:pt idx="145">
                  <c:v>33.588999999999999</c:v>
                </c:pt>
                <c:pt idx="146">
                  <c:v>117.51900000000001</c:v>
                </c:pt>
                <c:pt idx="147">
                  <c:v>59.56710631</c:v>
                </c:pt>
                <c:pt idx="148">
                  <c:v>24.675395955999999</c:v>
                </c:pt>
                <c:pt idx="149">
                  <c:v>254.001</c:v>
                </c:pt>
                <c:pt idx="150">
                  <c:v>307.031183</c:v>
                </c:pt>
                <c:pt idx="151">
                  <c:v>50.91</c:v>
                </c:pt>
                <c:pt idx="152">
                  <c:v>126.53400000000001</c:v>
                </c:pt>
                <c:pt idx="153">
                  <c:v>36.963000000000001</c:v>
                </c:pt>
                <c:pt idx="154">
                  <c:v>4.3150000000000004</c:v>
                </c:pt>
                <c:pt idx="155">
                  <c:v>6.8661131299999996</c:v>
                </c:pt>
              </c:numCache>
            </c:numRef>
          </c:val>
          <c:extLst>
            <c:ext xmlns:c16="http://schemas.microsoft.com/office/drawing/2014/chart" uri="{C3380CC4-5D6E-409C-BE32-E72D297353CC}">
              <c16:uniqueId val="{00000000-9E39-43DA-8AFE-B2CF1DD74FCD}"/>
            </c:ext>
          </c:extLst>
        </c:ser>
        <c:dLbls>
          <c:showLegendKey val="0"/>
          <c:showVal val="0"/>
          <c:showCatName val="0"/>
          <c:showSerName val="0"/>
          <c:showPercent val="0"/>
          <c:showBubbleSize val="0"/>
        </c:dLbls>
        <c:gapWidth val="150"/>
        <c:axId val="580426280"/>
        <c:axId val="580421360"/>
      </c:barChart>
      <c:lineChart>
        <c:grouping val="standard"/>
        <c:varyColors val="0"/>
        <c:ser>
          <c:idx val="1"/>
          <c:order val="0"/>
          <c:tx>
            <c:strRef>
              <c:f>'repurchase&amp;uncertainty measures'!$S$1</c:f>
              <c:strCache>
                <c:ptCount val="1"/>
                <c:pt idx="0">
                  <c:v>General corporate bond index (January 2008=100)</c:v>
                </c:pt>
              </c:strCache>
            </c:strRef>
          </c:tx>
          <c:spPr>
            <a:ln w="28575" cap="rnd">
              <a:solidFill>
                <a:schemeClr val="accent2"/>
              </a:solidFill>
              <a:round/>
            </a:ln>
            <a:effectLst/>
          </c:spPr>
          <c:marker>
            <c:symbol val="none"/>
          </c:marker>
          <c:cat>
            <c:numRef>
              <c:f>'repurchase&amp;uncertainty measures'!$Q$2:$Q$157</c:f>
              <c:numCache>
                <c:formatCode>m/d/yyyy</c:formatCode>
                <c:ptCount val="156"/>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42309</c:v>
                </c:pt>
                <c:pt idx="95">
                  <c:v>42339</c:v>
                </c:pt>
                <c:pt idx="96">
                  <c:v>42370</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pt idx="122">
                  <c:v>43160</c:v>
                </c:pt>
                <c:pt idx="123">
                  <c:v>43191</c:v>
                </c:pt>
                <c:pt idx="124">
                  <c:v>43221</c:v>
                </c:pt>
                <c:pt idx="125">
                  <c:v>43252</c:v>
                </c:pt>
                <c:pt idx="126">
                  <c:v>43282</c:v>
                </c:pt>
                <c:pt idx="127">
                  <c:v>43313</c:v>
                </c:pt>
                <c:pt idx="128">
                  <c:v>43344</c:v>
                </c:pt>
                <c:pt idx="129">
                  <c:v>43374</c:v>
                </c:pt>
                <c:pt idx="130">
                  <c:v>43405</c:v>
                </c:pt>
                <c:pt idx="131">
                  <c:v>43435</c:v>
                </c:pt>
                <c:pt idx="132">
                  <c:v>43466</c:v>
                </c:pt>
                <c:pt idx="133">
                  <c:v>43497</c:v>
                </c:pt>
                <c:pt idx="134">
                  <c:v>43525</c:v>
                </c:pt>
                <c:pt idx="135">
                  <c:v>43556</c:v>
                </c:pt>
                <c:pt idx="136">
                  <c:v>43586</c:v>
                </c:pt>
                <c:pt idx="137">
                  <c:v>43617</c:v>
                </c:pt>
                <c:pt idx="138">
                  <c:v>43647</c:v>
                </c:pt>
                <c:pt idx="139">
                  <c:v>43678</c:v>
                </c:pt>
                <c:pt idx="140">
                  <c:v>43709</c:v>
                </c:pt>
                <c:pt idx="141">
                  <c:v>43739</c:v>
                </c:pt>
                <c:pt idx="142">
                  <c:v>43770</c:v>
                </c:pt>
                <c:pt idx="143">
                  <c:v>43800</c:v>
                </c:pt>
                <c:pt idx="144">
                  <c:v>43831</c:v>
                </c:pt>
                <c:pt idx="145">
                  <c:v>43862</c:v>
                </c:pt>
                <c:pt idx="146">
                  <c:v>43891</c:v>
                </c:pt>
                <c:pt idx="147">
                  <c:v>43922</c:v>
                </c:pt>
                <c:pt idx="148">
                  <c:v>43952</c:v>
                </c:pt>
                <c:pt idx="149">
                  <c:v>43983</c:v>
                </c:pt>
                <c:pt idx="150">
                  <c:v>44013</c:v>
                </c:pt>
                <c:pt idx="151">
                  <c:v>44044</c:v>
                </c:pt>
                <c:pt idx="152">
                  <c:v>44075</c:v>
                </c:pt>
                <c:pt idx="153">
                  <c:v>44105</c:v>
                </c:pt>
                <c:pt idx="154">
                  <c:v>44136</c:v>
                </c:pt>
                <c:pt idx="155">
                  <c:v>44166</c:v>
                </c:pt>
              </c:numCache>
            </c:numRef>
          </c:cat>
          <c:val>
            <c:numRef>
              <c:f>'repurchase&amp;uncertainty measures'!$S$2:$S$157</c:f>
              <c:numCache>
                <c:formatCode>General</c:formatCode>
                <c:ptCount val="156"/>
                <c:pt idx="0">
                  <c:v>100</c:v>
                </c:pt>
                <c:pt idx="1">
                  <c:v>100.45981214174759</c:v>
                </c:pt>
                <c:pt idx="2">
                  <c:v>100.58070852323824</c:v>
                </c:pt>
                <c:pt idx="3">
                  <c:v>100.82671386914548</c:v>
                </c:pt>
                <c:pt idx="4">
                  <c:v>102.04437847614503</c:v>
                </c:pt>
                <c:pt idx="5">
                  <c:v>102.41990851878748</c:v>
                </c:pt>
                <c:pt idx="6">
                  <c:v>100.99358913480987</c:v>
                </c:pt>
                <c:pt idx="7">
                  <c:v>101.32531816901793</c:v>
                </c:pt>
                <c:pt idx="8">
                  <c:v>99.633219934049762</c:v>
                </c:pt>
                <c:pt idx="9">
                  <c:v>91.406211676643991</c:v>
                </c:pt>
                <c:pt idx="10">
                  <c:v>86.633429840600783</c:v>
                </c:pt>
                <c:pt idx="11">
                  <c:v>86.639853565037271</c:v>
                </c:pt>
                <c:pt idx="12">
                  <c:v>90.987200999419017</c:v>
                </c:pt>
                <c:pt idx="13">
                  <c:v>95.687080051718496</c:v>
                </c:pt>
                <c:pt idx="14">
                  <c:v>96.004595292973136</c:v>
                </c:pt>
                <c:pt idx="15">
                  <c:v>101.39824893489453</c:v>
                </c:pt>
                <c:pt idx="16">
                  <c:v>103.60060136442499</c:v>
                </c:pt>
                <c:pt idx="17">
                  <c:v>105.31257200145673</c:v>
                </c:pt>
                <c:pt idx="18">
                  <c:v>107.61828845161418</c:v>
                </c:pt>
                <c:pt idx="19">
                  <c:v>110.44876882154206</c:v>
                </c:pt>
                <c:pt idx="20">
                  <c:v>108.99470829904898</c:v>
                </c:pt>
                <c:pt idx="21">
                  <c:v>111.57160419648719</c:v>
                </c:pt>
                <c:pt idx="22">
                  <c:v>113.94863834148282</c:v>
                </c:pt>
                <c:pt idx="23">
                  <c:v>114.03077677752242</c:v>
                </c:pt>
                <c:pt idx="24">
                  <c:v>115.56571167296708</c:v>
                </c:pt>
                <c:pt idx="25">
                  <c:v>117.31025202514658</c:v>
                </c:pt>
                <c:pt idx="26">
                  <c:v>118.51938126340167</c:v>
                </c:pt>
                <c:pt idx="27">
                  <c:v>118.06818491501862</c:v>
                </c:pt>
                <c:pt idx="28">
                  <c:v>117.9958417739342</c:v>
                </c:pt>
                <c:pt idx="29">
                  <c:v>119.47326108481778</c:v>
                </c:pt>
                <c:pt idx="30">
                  <c:v>121.3954470717549</c:v>
                </c:pt>
                <c:pt idx="31">
                  <c:v>123.69802785171183</c:v>
                </c:pt>
                <c:pt idx="32">
                  <c:v>124.44260807754142</c:v>
                </c:pt>
                <c:pt idx="33">
                  <c:v>126.73617915140215</c:v>
                </c:pt>
                <c:pt idx="34">
                  <c:v>127.71401620099873</c:v>
                </c:pt>
                <c:pt idx="35">
                  <c:v>126.81014242972033</c:v>
                </c:pt>
                <c:pt idx="36">
                  <c:v>128.28929493696074</c:v>
                </c:pt>
                <c:pt idx="37">
                  <c:v>129.04135970131622</c:v>
                </c:pt>
                <c:pt idx="38">
                  <c:v>128.92369228838066</c:v>
                </c:pt>
                <c:pt idx="39">
                  <c:v>128.29122400824826</c:v>
                </c:pt>
                <c:pt idx="40">
                  <c:v>128.30094002663785</c:v>
                </c:pt>
                <c:pt idx="41">
                  <c:v>127.62740386799045</c:v>
                </c:pt>
                <c:pt idx="42">
                  <c:v>128.4822642482317</c:v>
                </c:pt>
                <c:pt idx="43">
                  <c:v>124.31457710008884</c:v>
                </c:pt>
                <c:pt idx="44">
                  <c:v>123.09550401443494</c:v>
                </c:pt>
                <c:pt idx="45">
                  <c:v>125.26071237157412</c:v>
                </c:pt>
                <c:pt idx="46">
                  <c:v>125.47985486983784</c:v>
                </c:pt>
                <c:pt idx="47">
                  <c:v>124.31280207185654</c:v>
                </c:pt>
                <c:pt idx="48">
                  <c:v>127.46495825876833</c:v>
                </c:pt>
                <c:pt idx="49">
                  <c:v>128.32543339308086</c:v>
                </c:pt>
                <c:pt idx="50">
                  <c:v>129.11526984184653</c:v>
                </c:pt>
                <c:pt idx="51">
                  <c:v>131.37365968357841</c:v>
                </c:pt>
                <c:pt idx="52">
                  <c:v>129.94081738324712</c:v>
                </c:pt>
                <c:pt idx="53">
                  <c:v>128.31975645649183</c:v>
                </c:pt>
                <c:pt idx="54">
                  <c:v>128.72520569190348</c:v>
                </c:pt>
                <c:pt idx="55">
                  <c:v>129.7060048905247</c:v>
                </c:pt>
                <c:pt idx="56">
                  <c:v>129.19910431220075</c:v>
                </c:pt>
                <c:pt idx="57">
                  <c:v>133.40623665779455</c:v>
                </c:pt>
                <c:pt idx="58">
                  <c:v>136.16503867428165</c:v>
                </c:pt>
                <c:pt idx="59">
                  <c:v>137.49209274324411</c:v>
                </c:pt>
                <c:pt idx="60">
                  <c:v>138.82974045203906</c:v>
                </c:pt>
                <c:pt idx="61">
                  <c:v>139.9547685789239</c:v>
                </c:pt>
                <c:pt idx="62">
                  <c:v>140.29171927848375</c:v>
                </c:pt>
                <c:pt idx="63">
                  <c:v>141.1393651775669</c:v>
                </c:pt>
                <c:pt idx="64">
                  <c:v>143.19058119782341</c:v>
                </c:pt>
                <c:pt idx="65">
                  <c:v>143.39512437152396</c:v>
                </c:pt>
                <c:pt idx="66">
                  <c:v>144.65114339345595</c:v>
                </c:pt>
                <c:pt idx="67">
                  <c:v>145.80631367760168</c:v>
                </c:pt>
                <c:pt idx="68">
                  <c:v>146.27939827221277</c:v>
                </c:pt>
                <c:pt idx="69">
                  <c:v>148.00673128457615</c:v>
                </c:pt>
                <c:pt idx="70">
                  <c:v>149.43455165647734</c:v>
                </c:pt>
                <c:pt idx="71">
                  <c:v>150.38970594914744</c:v>
                </c:pt>
                <c:pt idx="72">
                  <c:v>150.84269059792075</c:v>
                </c:pt>
                <c:pt idx="73">
                  <c:v>151.48209759908434</c:v>
                </c:pt>
                <c:pt idx="74">
                  <c:v>153.46894096791902</c:v>
                </c:pt>
                <c:pt idx="75">
                  <c:v>154.18549084680546</c:v>
                </c:pt>
                <c:pt idx="76">
                  <c:v>155.80620507875156</c:v>
                </c:pt>
                <c:pt idx="77">
                  <c:v>155.25438759844846</c:v>
                </c:pt>
                <c:pt idx="78">
                  <c:v>154.22908169290446</c:v>
                </c:pt>
                <c:pt idx="79">
                  <c:v>155.18152212421535</c:v>
                </c:pt>
                <c:pt idx="80">
                  <c:v>156.28155573521795</c:v>
                </c:pt>
                <c:pt idx="81">
                  <c:v>156.75420919770633</c:v>
                </c:pt>
                <c:pt idx="82">
                  <c:v>156.28779885999433</c:v>
                </c:pt>
                <c:pt idx="83">
                  <c:v>152.80402060263617</c:v>
                </c:pt>
                <c:pt idx="84">
                  <c:v>153.02172430066832</c:v>
                </c:pt>
                <c:pt idx="85">
                  <c:v>154.19822997193023</c:v>
                </c:pt>
                <c:pt idx="86">
                  <c:v>155.8433182235222</c:v>
                </c:pt>
                <c:pt idx="87">
                  <c:v>156.43437941801804</c:v>
                </c:pt>
                <c:pt idx="88">
                  <c:v>156.35180954370787</c:v>
                </c:pt>
                <c:pt idx="89">
                  <c:v>154.73810876586501</c:v>
                </c:pt>
                <c:pt idx="90">
                  <c:v>155.56971514567138</c:v>
                </c:pt>
                <c:pt idx="91">
                  <c:v>155.88296805798589</c:v>
                </c:pt>
                <c:pt idx="92">
                  <c:v>154.87560901017105</c:v>
                </c:pt>
                <c:pt idx="93">
                  <c:v>155.66242600678808</c:v>
                </c:pt>
                <c:pt idx="94">
                  <c:v>155.96345484770569</c:v>
                </c:pt>
                <c:pt idx="95">
                  <c:v>155.4129611293296</c:v>
                </c:pt>
                <c:pt idx="96">
                  <c:v>154.74243893027892</c:v>
                </c:pt>
                <c:pt idx="97">
                  <c:v>154.63896722083717</c:v>
                </c:pt>
                <c:pt idx="98">
                  <c:v>156.45634740068024</c:v>
                </c:pt>
                <c:pt idx="99">
                  <c:v>157.71739457834917</c:v>
                </c:pt>
                <c:pt idx="100">
                  <c:v>158.34156305437057</c:v>
                </c:pt>
                <c:pt idx="101">
                  <c:v>159.11809833532524</c:v>
                </c:pt>
                <c:pt idx="102">
                  <c:v>161.00073624100941</c:v>
                </c:pt>
                <c:pt idx="103">
                  <c:v>161.5032727371825</c:v>
                </c:pt>
                <c:pt idx="104">
                  <c:v>161.07436034195831</c:v>
                </c:pt>
                <c:pt idx="105">
                  <c:v>160.87539541842199</c:v>
                </c:pt>
                <c:pt idx="106">
                  <c:v>160.73829209860654</c:v>
                </c:pt>
                <c:pt idx="107">
                  <c:v>161.2609078950384</c:v>
                </c:pt>
                <c:pt idx="108">
                  <c:v>162.49738833425681</c:v>
                </c:pt>
                <c:pt idx="109">
                  <c:v>163.42916254099168</c:v>
                </c:pt>
                <c:pt idx="110">
                  <c:v>164.00962390715571</c:v>
                </c:pt>
                <c:pt idx="111">
                  <c:v>164.98722087237911</c:v>
                </c:pt>
                <c:pt idx="112">
                  <c:v>166.6930024569977</c:v>
                </c:pt>
                <c:pt idx="113">
                  <c:v>167.1364096268486</c:v>
                </c:pt>
                <c:pt idx="114">
                  <c:v>167.14375846984871</c:v>
                </c:pt>
                <c:pt idx="115">
                  <c:v>168.2249880875008</c:v>
                </c:pt>
                <c:pt idx="116">
                  <c:v>169.17442091674255</c:v>
                </c:pt>
                <c:pt idx="117">
                  <c:v>169.91469833527523</c:v>
                </c:pt>
                <c:pt idx="118">
                  <c:v>170.78133400169955</c:v>
                </c:pt>
                <c:pt idx="119">
                  <c:v>171.36780559084636</c:v>
                </c:pt>
                <c:pt idx="120">
                  <c:v>172.68674545570158</c:v>
                </c:pt>
                <c:pt idx="121">
                  <c:v>171.03433318496036</c:v>
                </c:pt>
                <c:pt idx="122">
                  <c:v>170.86979824314372</c:v>
                </c:pt>
                <c:pt idx="123">
                  <c:v>171.19743858342289</c:v>
                </c:pt>
                <c:pt idx="124">
                  <c:v>170.87820305835342</c:v>
                </c:pt>
                <c:pt idx="125">
                  <c:v>171.21270995521553</c:v>
                </c:pt>
                <c:pt idx="126">
                  <c:v>170.97744635659203</c:v>
                </c:pt>
                <c:pt idx="127">
                  <c:v>172.6092625977258</c:v>
                </c:pt>
                <c:pt idx="128">
                  <c:v>173.10924134866059</c:v>
                </c:pt>
                <c:pt idx="129">
                  <c:v>173.0487234091332</c:v>
                </c:pt>
                <c:pt idx="130">
                  <c:v>172.67214608198219</c:v>
                </c:pt>
                <c:pt idx="131">
                  <c:v>169.45769431825397</c:v>
                </c:pt>
                <c:pt idx="132">
                  <c:v>170.04941725788717</c:v>
                </c:pt>
                <c:pt idx="133">
                  <c:v>172.30412506926581</c:v>
                </c:pt>
                <c:pt idx="134">
                  <c:v>174.61048708701605</c:v>
                </c:pt>
                <c:pt idx="135">
                  <c:v>175.74421118610493</c:v>
                </c:pt>
                <c:pt idx="136">
                  <c:v>176.34254380785399</c:v>
                </c:pt>
                <c:pt idx="137">
                  <c:v>178.03072454420746</c:v>
                </c:pt>
                <c:pt idx="138">
                  <c:v>179.41008148397106</c:v>
                </c:pt>
                <c:pt idx="139">
                  <c:v>179.43736771345246</c:v>
                </c:pt>
                <c:pt idx="140">
                  <c:v>180.00397546922719</c:v>
                </c:pt>
                <c:pt idx="141">
                  <c:v>181.53688580434752</c:v>
                </c:pt>
                <c:pt idx="142">
                  <c:v>182.3201243607096</c:v>
                </c:pt>
                <c:pt idx="143">
                  <c:v>182.32901537930462</c:v>
                </c:pt>
                <c:pt idx="144">
                  <c:v>183.57422250814045</c:v>
                </c:pt>
                <c:pt idx="145">
                  <c:v>183.18327988881109</c:v>
                </c:pt>
                <c:pt idx="146">
                  <c:v>165.46568974146342</c:v>
                </c:pt>
                <c:pt idx="147">
                  <c:v>171.10449993792557</c:v>
                </c:pt>
                <c:pt idx="148">
                  <c:v>174.87974982513185</c:v>
                </c:pt>
                <c:pt idx="149">
                  <c:v>174.0911511357447</c:v>
                </c:pt>
                <c:pt idx="150">
                  <c:v>174.42519562079343</c:v>
                </c:pt>
                <c:pt idx="151">
                  <c:v>178.37510828606185</c:v>
                </c:pt>
                <c:pt idx="152">
                  <c:v>178.65223226302447</c:v>
                </c:pt>
                <c:pt idx="153">
                  <c:v>179.66892297283908</c:v>
                </c:pt>
                <c:pt idx="154">
                  <c:v>181.54923186058787</c:v>
                </c:pt>
                <c:pt idx="155">
                  <c:v>182.80456564592174</c:v>
                </c:pt>
              </c:numCache>
            </c:numRef>
          </c:val>
          <c:smooth val="0"/>
          <c:extLst>
            <c:ext xmlns:c16="http://schemas.microsoft.com/office/drawing/2014/chart" uri="{C3380CC4-5D6E-409C-BE32-E72D297353CC}">
              <c16:uniqueId val="{00000002-9E39-43DA-8AFE-B2CF1DD74FCD}"/>
            </c:ext>
          </c:extLst>
        </c:ser>
        <c:dLbls>
          <c:showLegendKey val="0"/>
          <c:showVal val="0"/>
          <c:showCatName val="0"/>
          <c:showSerName val="0"/>
          <c:showPercent val="0"/>
          <c:showBubbleSize val="0"/>
        </c:dLbls>
        <c:marker val="1"/>
        <c:smooth val="0"/>
        <c:axId val="579118456"/>
        <c:axId val="579112880"/>
      </c:lineChart>
      <c:dateAx>
        <c:axId val="579118456"/>
        <c:scaling>
          <c:orientation val="minMax"/>
          <c:max val="44166"/>
        </c:scaling>
        <c:delete val="0"/>
        <c:axPos val="b"/>
        <c:numFmt formatCode="[$-409]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79112880"/>
        <c:crosses val="autoZero"/>
        <c:auto val="1"/>
        <c:lblOffset val="100"/>
        <c:baseTimeUnit val="months"/>
      </c:dateAx>
      <c:valAx>
        <c:axId val="579112880"/>
        <c:scaling>
          <c:orientation val="minMax"/>
          <c:max val="20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2"/>
                    </a:solidFill>
                    <a:latin typeface="+mn-lt"/>
                    <a:ea typeface="+mn-ea"/>
                    <a:cs typeface="+mn-cs"/>
                  </a:defRPr>
                </a:pPr>
                <a:r>
                  <a:rPr lang="en-US">
                    <a:solidFill>
                      <a:schemeClr val="accent2"/>
                    </a:solidFill>
                  </a:rPr>
                  <a:t>index</a:t>
                </a:r>
                <a:endParaRPr lang="he-IL">
                  <a:solidFill>
                    <a:schemeClr val="accent2"/>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2"/>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he-IL"/>
          </a:p>
        </c:txPr>
        <c:crossAx val="579118456"/>
        <c:crosses val="autoZero"/>
        <c:crossBetween val="between"/>
        <c:majorUnit val="20"/>
      </c:valAx>
      <c:valAx>
        <c:axId val="580421360"/>
        <c:scaling>
          <c:orientation val="minMax"/>
          <c:max val="240"/>
          <c:min val="0"/>
        </c:scaling>
        <c:delete val="0"/>
        <c:axPos val="r"/>
        <c:title>
          <c:tx>
            <c:rich>
              <a:bodyPr rot="-5400000" spcFirstLastPara="1" vertOverflow="ellipsis" vert="horz" wrap="square" anchor="ctr" anchorCtr="1"/>
              <a:lstStyle/>
              <a:p>
                <a:pPr>
                  <a:defRPr sz="1000" b="0" i="0" u="none" strike="noStrike" kern="1200" baseline="0">
                    <a:solidFill>
                      <a:srgbClr val="00B050"/>
                    </a:solidFill>
                    <a:latin typeface="+mn-lt"/>
                    <a:ea typeface="+mn-ea"/>
                    <a:cs typeface="+mn-cs"/>
                  </a:defRPr>
                </a:pPr>
                <a:r>
                  <a:rPr lang="en-US">
                    <a:solidFill>
                      <a:srgbClr val="00B050"/>
                    </a:solidFill>
                  </a:rPr>
                  <a:t>NIS</a:t>
                </a:r>
                <a:r>
                  <a:rPr lang="en-US" baseline="0">
                    <a:solidFill>
                      <a:srgbClr val="00B050"/>
                    </a:solidFill>
                  </a:rPr>
                  <a:t> millions</a:t>
                </a:r>
                <a:endParaRPr lang="he-IL">
                  <a:solidFill>
                    <a:srgbClr val="00B05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00B050"/>
                  </a:solidFill>
                  <a:latin typeface="+mn-lt"/>
                  <a:ea typeface="+mn-ea"/>
                  <a:cs typeface="+mn-cs"/>
                </a:defRPr>
              </a:pPr>
              <a:endParaRPr lang="he-I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B050"/>
                </a:solidFill>
                <a:latin typeface="+mn-lt"/>
                <a:ea typeface="+mn-ea"/>
                <a:cs typeface="+mn-cs"/>
              </a:defRPr>
            </a:pPr>
            <a:endParaRPr lang="he-IL"/>
          </a:p>
        </c:txPr>
        <c:crossAx val="580426280"/>
        <c:crosses val="max"/>
        <c:crossBetween val="between"/>
        <c:majorUnit val="40"/>
      </c:valAx>
      <c:dateAx>
        <c:axId val="580426280"/>
        <c:scaling>
          <c:orientation val="minMax"/>
        </c:scaling>
        <c:delete val="1"/>
        <c:axPos val="b"/>
        <c:numFmt formatCode="m/d/yyyy" sourceLinked="1"/>
        <c:majorTickMark val="out"/>
        <c:minorTickMark val="none"/>
        <c:tickLblPos val="nextTo"/>
        <c:crossAx val="580421360"/>
        <c:crosses val="autoZero"/>
        <c:auto val="1"/>
        <c:lblOffset val="100"/>
        <c:baseTimeUnit val="months"/>
      </c:dateAx>
      <c:spPr>
        <a:noFill/>
        <a:ln>
          <a:noFill/>
        </a:ln>
        <a:effectLst/>
      </c:spPr>
    </c:plotArea>
    <c:legend>
      <c:legendPos val="b"/>
      <c:legendEntry>
        <c:idx val="0"/>
        <c:delete val="1"/>
      </c:legendEntry>
      <c:layout>
        <c:manualLayout>
          <c:xMode val="edge"/>
          <c:yMode val="edge"/>
          <c:x val="1.2903965791758261E-2"/>
          <c:y val="0.76346831646044244"/>
          <c:w val="0.97640124339451273"/>
          <c:h val="0.216050136590069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2"/>
          <c:order val="0"/>
          <c:tx>
            <c:strRef>
              <c:f>'figure 3 data'!$AJ$1</c:f>
              <c:strCache>
                <c:ptCount val="1"/>
                <c:pt idx="0">
                  <c:v>Regression coefficients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'figure 3 data'!$AG$2:$AG$23</c:f>
              <c:strCache>
                <c:ptCount val="22"/>
                <c:pt idx="0">
                  <c:v>-11</c:v>
                </c:pt>
                <c:pt idx="1">
                  <c:v>-10</c:v>
                </c:pt>
                <c:pt idx="2">
                  <c:v>-9</c:v>
                </c:pt>
                <c:pt idx="3">
                  <c:v>-8</c:v>
                </c:pt>
                <c:pt idx="4">
                  <c:v>-7</c:v>
                </c:pt>
                <c:pt idx="5">
                  <c:v>-6</c:v>
                </c:pt>
                <c:pt idx="6">
                  <c:v>-5</c:v>
                </c:pt>
                <c:pt idx="7">
                  <c:v>-4</c:v>
                </c:pt>
                <c:pt idx="8">
                  <c:v>-3</c:v>
                </c:pt>
                <c:pt idx="9">
                  <c:v>-2</c:v>
                </c:pt>
                <c:pt idx="10">
                  <c:v>-1</c:v>
                </c:pt>
                <c:pt idx="11">
                  <c:v>repurchase date</c:v>
                </c:pt>
                <c:pt idx="12">
                  <c:v>1</c:v>
                </c:pt>
                <c:pt idx="13">
                  <c:v>2</c:v>
                </c:pt>
                <c:pt idx="14">
                  <c:v>3</c:v>
                </c:pt>
                <c:pt idx="15">
                  <c:v>4</c:v>
                </c:pt>
                <c:pt idx="16">
                  <c:v>5</c:v>
                </c:pt>
                <c:pt idx="17">
                  <c:v>6</c:v>
                </c:pt>
                <c:pt idx="18">
                  <c:v>7</c:v>
                </c:pt>
                <c:pt idx="19">
                  <c:v>8</c:v>
                </c:pt>
                <c:pt idx="20">
                  <c:v>9</c:v>
                </c:pt>
                <c:pt idx="21">
                  <c:v>10</c:v>
                </c:pt>
              </c:strCache>
            </c:strRef>
          </c:cat>
          <c:val>
            <c:numRef>
              <c:f>'figure 3 data'!$AJ$2:$AJ$23</c:f>
              <c:numCache>
                <c:formatCode>0.00%</c:formatCode>
                <c:ptCount val="22"/>
                <c:pt idx="0">
                  <c:v>0</c:v>
                </c:pt>
                <c:pt idx="1">
                  <c:v>-1.2752E-3</c:v>
                </c:pt>
                <c:pt idx="2">
                  <c:v>-2.0999E-3</c:v>
                </c:pt>
                <c:pt idx="3">
                  <c:v>-1.8831E-3</c:v>
                </c:pt>
                <c:pt idx="4">
                  <c:v>-2.3753999999999997E-3</c:v>
                </c:pt>
                <c:pt idx="5">
                  <c:v>-3.2169E-3</c:v>
                </c:pt>
                <c:pt idx="6">
                  <c:v>-4.3912999999999999E-3</c:v>
                </c:pt>
                <c:pt idx="7">
                  <c:v>-5.9084999999999997E-3</c:v>
                </c:pt>
                <c:pt idx="8">
                  <c:v>-7.2307999999999999E-3</c:v>
                </c:pt>
                <c:pt idx="9">
                  <c:v>-7.8251999999999992E-3</c:v>
                </c:pt>
                <c:pt idx="10">
                  <c:v>-9.8569999999999994E-3</c:v>
                </c:pt>
                <c:pt idx="11">
                  <c:v>-8.2445999999999995E-3</c:v>
                </c:pt>
                <c:pt idx="12">
                  <c:v>-5.9013999999999994E-3</c:v>
                </c:pt>
                <c:pt idx="13">
                  <c:v>-4.0276999999999995E-3</c:v>
                </c:pt>
                <c:pt idx="14">
                  <c:v>-2.5541999999999995E-3</c:v>
                </c:pt>
                <c:pt idx="15">
                  <c:v>-1.1604999999999994E-3</c:v>
                </c:pt>
                <c:pt idx="16">
                  <c:v>3.3500000000000066E-4</c:v>
                </c:pt>
                <c:pt idx="17">
                  <c:v>2.2617000000000006E-3</c:v>
                </c:pt>
                <c:pt idx="18">
                  <c:v>2.8841000000000006E-3</c:v>
                </c:pt>
                <c:pt idx="19">
                  <c:v>3.6719000000000005E-3</c:v>
                </c:pt>
                <c:pt idx="20">
                  <c:v>2.7818000000000005E-3</c:v>
                </c:pt>
                <c:pt idx="21">
                  <c:v>2.0437000000000007E-3</c:v>
                </c:pt>
              </c:numCache>
            </c:numRef>
          </c:val>
          <c:smooth val="0"/>
          <c:extLst>
            <c:ext xmlns:c16="http://schemas.microsoft.com/office/drawing/2014/chart" uri="{C3380CC4-5D6E-409C-BE32-E72D297353CC}">
              <c16:uniqueId val="{00000002-01B6-434C-9183-43F8C8723351}"/>
            </c:ext>
          </c:extLst>
        </c:ser>
        <c:dLbls>
          <c:showLegendKey val="0"/>
          <c:showVal val="0"/>
          <c:showCatName val="0"/>
          <c:showSerName val="0"/>
          <c:showPercent val="0"/>
          <c:showBubbleSize val="0"/>
        </c:dLbls>
        <c:marker val="1"/>
        <c:smooth val="0"/>
        <c:axId val="704166896"/>
        <c:axId val="704170504"/>
      </c:lineChart>
      <c:catAx>
        <c:axId val="7041668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Trading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704170504"/>
        <c:crosses val="autoZero"/>
        <c:auto val="1"/>
        <c:lblAlgn val="ctr"/>
        <c:lblOffset val="100"/>
        <c:noMultiLvlLbl val="0"/>
      </c:catAx>
      <c:valAx>
        <c:axId val="704170504"/>
        <c:scaling>
          <c:orientation val="minMax"/>
          <c:min val="-1.5000000000000003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Cumulative returns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704166896"/>
        <c:crosses val="autoZero"/>
        <c:crossBetween val="between"/>
        <c:majorUnit val="5.000000000000001E-3"/>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0.58826</cdr:x>
      <cdr:y>0.05464</cdr:y>
    </cdr:from>
    <cdr:to>
      <cdr:x>0.58925</cdr:x>
      <cdr:y>0.49799</cdr:y>
    </cdr:to>
    <cdr:cxnSp macro="">
      <cdr:nvCxnSpPr>
        <cdr:cNvPr id="3" name="מחבר ישר 2"/>
        <cdr:cNvCxnSpPr/>
      </cdr:nvCxnSpPr>
      <cdr:spPr>
        <a:xfrm xmlns:a="http://schemas.openxmlformats.org/drawingml/2006/main" flipH="1" flipV="1">
          <a:off x="2605490" y="129588"/>
          <a:ext cx="4360" cy="1051512"/>
        </a:xfrm>
        <a:prstGeom xmlns:a="http://schemas.openxmlformats.org/drawingml/2006/main" prst="line">
          <a:avLst/>
        </a:prstGeom>
        <a:ln xmlns:a="http://schemas.openxmlformats.org/drawingml/2006/main" w="19050">
          <a:solidFill>
            <a:srgbClr val="FF0000"/>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0A053C6-5F0D-4245-BC4B-FBD44585237B}"/>
</file>

<file path=customXml/itemProps2.xml><?xml version="1.0" encoding="utf-8"?>
<ds:datastoreItem xmlns:ds="http://schemas.openxmlformats.org/officeDocument/2006/customXml" ds:itemID="{1AD7186B-095B-49EC-856C-88F0364A44FD}"/>
</file>

<file path=customXml/itemProps3.xml><?xml version="1.0" encoding="utf-8"?>
<ds:datastoreItem xmlns:ds="http://schemas.openxmlformats.org/officeDocument/2006/customXml" ds:itemID="{CC1AA43C-44D6-48A0-9086-6427266F39CB}"/>
</file>

<file path=customXml/itemProps4.xml><?xml version="1.0" encoding="utf-8"?>
<ds:datastoreItem xmlns:ds="http://schemas.openxmlformats.org/officeDocument/2006/customXml" ds:itemID="{3FF80043-55A3-47AA-B7D1-6E4ED720DF8A}"/>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3842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2022-08-03T08:48:00Z</dcterms:created>
  <dcterms:modified xsi:type="dcterms:W3CDTF">2022-08-03T08:48:00Z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