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9072" w:type="dxa"/>
        <w:tblLayout w:type="fixed"/>
        <w:tblLook w:val="0000" w:firstRow="0" w:lastRow="0" w:firstColumn="0" w:lastColumn="0" w:noHBand="0" w:noVBand="0"/>
      </w:tblPr>
      <w:tblGrid>
        <w:gridCol w:w="3392"/>
        <w:gridCol w:w="2596"/>
        <w:gridCol w:w="3084"/>
      </w:tblGrid>
      <w:tr w:rsidR="004C7AF2" w:rsidRPr="004C7AF2" w:rsidTr="00A06BCB">
        <w:trPr>
          <w:cantSplit/>
        </w:trPr>
        <w:tc>
          <w:tcPr>
            <w:tcW w:w="3392" w:type="dxa"/>
            <w:tcBorders>
              <w:top w:val="nil"/>
              <w:left w:val="nil"/>
              <w:bottom w:val="nil"/>
              <w:right w:val="nil"/>
            </w:tcBorders>
            <w:vAlign w:val="center"/>
          </w:tcPr>
          <w:p w:rsidR="004C7AF2" w:rsidRPr="004C7AF2" w:rsidRDefault="004C7AF2" w:rsidP="00A06BCB">
            <w:pPr>
              <w:spacing w:line="360" w:lineRule="auto"/>
              <w:jc w:val="center"/>
              <w:rPr>
                <w:rFonts w:ascii="David" w:hAnsi="David" w:cs="David"/>
                <w:b/>
                <w:bCs/>
                <w:sz w:val="24"/>
                <w:szCs w:val="24"/>
              </w:rPr>
            </w:pPr>
            <w:r w:rsidRPr="004C7AF2">
              <w:rPr>
                <w:rFonts w:ascii="David" w:hAnsi="David" w:cs="David"/>
                <w:b/>
                <w:bCs/>
                <w:sz w:val="24"/>
                <w:szCs w:val="24"/>
                <w:rtl/>
              </w:rPr>
              <w:t>בנק ישראל</w:t>
            </w:r>
          </w:p>
          <w:p w:rsidR="004C7AF2" w:rsidRPr="004C7AF2" w:rsidRDefault="004C7AF2" w:rsidP="00A06BCB">
            <w:pPr>
              <w:spacing w:line="360" w:lineRule="auto"/>
              <w:ind w:right="-101"/>
              <w:jc w:val="center"/>
              <w:rPr>
                <w:rFonts w:ascii="David" w:hAnsi="David" w:cs="David"/>
                <w:sz w:val="24"/>
                <w:szCs w:val="24"/>
              </w:rPr>
            </w:pPr>
            <w:r w:rsidRPr="004C7AF2">
              <w:rPr>
                <w:rFonts w:ascii="David" w:hAnsi="David" w:cs="David"/>
                <w:sz w:val="24"/>
                <w:szCs w:val="24"/>
                <w:rtl/>
              </w:rPr>
              <w:t>דוברות והסברה כלכלית</w:t>
            </w:r>
          </w:p>
        </w:tc>
        <w:tc>
          <w:tcPr>
            <w:tcW w:w="2596" w:type="dxa"/>
            <w:tcBorders>
              <w:top w:val="nil"/>
              <w:left w:val="nil"/>
              <w:bottom w:val="nil"/>
              <w:right w:val="nil"/>
            </w:tcBorders>
          </w:tcPr>
          <w:p w:rsidR="004C7AF2" w:rsidRPr="004C7AF2" w:rsidRDefault="004C7AF2" w:rsidP="00A06BCB">
            <w:pPr>
              <w:jc w:val="center"/>
              <w:rPr>
                <w:rFonts w:ascii="David" w:hAnsi="David" w:cs="David"/>
                <w:sz w:val="24"/>
                <w:szCs w:val="24"/>
              </w:rPr>
            </w:pPr>
            <w:r w:rsidRPr="004C7AF2">
              <w:rPr>
                <w:rFonts w:ascii="David" w:hAnsi="David" w:cs="David"/>
                <w:noProof/>
                <w:sz w:val="24"/>
                <w:szCs w:val="24"/>
                <w:lang w:eastAsia="en-US"/>
              </w:rPr>
              <w:drawing>
                <wp:inline distT="0" distB="0" distL="0" distR="0" wp14:anchorId="40E96CA6" wp14:editId="55F9EEF3">
                  <wp:extent cx="1050925" cy="1050925"/>
                  <wp:effectExtent l="0" t="0" r="0" b="0"/>
                  <wp:docPr id="14" name="תמונה 14" descr="\\portals\DavWWWRoot\sites\boi\about\Mitug\DocList\Logo Bank of Israel 2 color\Logo Bank of Israel 2 color.jpg"/>
                  <wp:cNvGraphicFramePr/>
                  <a:graphic xmlns:a="http://schemas.openxmlformats.org/drawingml/2006/main">
                    <a:graphicData uri="http://schemas.openxmlformats.org/drawingml/2006/picture">
                      <pic:pic xmlns:pic="http://schemas.openxmlformats.org/drawingml/2006/picture">
                        <pic:nvPicPr>
                          <pic:cNvPr id="14" name="תמונה 14" descr="\\portals\DavWWWRoot\sites\boi\about\Mitug\DocList\Logo Bank of Israel 2 color\Logo Bank of Israel 2 color.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inline>
              </w:drawing>
            </w:r>
          </w:p>
        </w:tc>
        <w:tc>
          <w:tcPr>
            <w:tcW w:w="3084" w:type="dxa"/>
            <w:tcBorders>
              <w:top w:val="nil"/>
              <w:left w:val="nil"/>
              <w:bottom w:val="nil"/>
              <w:right w:val="nil"/>
            </w:tcBorders>
            <w:vAlign w:val="center"/>
          </w:tcPr>
          <w:p w:rsidR="004C7AF2" w:rsidRPr="004C7AF2" w:rsidRDefault="004C7AF2" w:rsidP="00125B6A">
            <w:pPr>
              <w:spacing w:line="480" w:lineRule="auto"/>
              <w:rPr>
                <w:rFonts w:ascii="David" w:hAnsi="David" w:cs="David"/>
                <w:sz w:val="24"/>
                <w:szCs w:val="24"/>
              </w:rPr>
            </w:pPr>
            <w:r w:rsidRPr="004C7AF2">
              <w:rPr>
                <w:rFonts w:ascii="David" w:hAnsi="David" w:cs="David"/>
                <w:sz w:val="24"/>
                <w:szCs w:val="24"/>
                <w:rtl/>
              </w:rPr>
              <w:t>‏ירושלים</w:t>
            </w:r>
            <w:r w:rsidR="00125B6A">
              <w:rPr>
                <w:rFonts w:ascii="David" w:hAnsi="David" w:cs="David" w:hint="cs"/>
                <w:sz w:val="24"/>
                <w:szCs w:val="24"/>
                <w:rtl/>
              </w:rPr>
              <w:t xml:space="preserve"> ט' באייר</w:t>
            </w:r>
            <w:r w:rsidRPr="004C7AF2">
              <w:rPr>
                <w:rFonts w:ascii="David" w:hAnsi="David" w:cs="David"/>
                <w:sz w:val="24"/>
                <w:szCs w:val="24"/>
                <w:rtl/>
              </w:rPr>
              <w:t>, תשפ"ג</w:t>
            </w:r>
          </w:p>
          <w:p w:rsidR="004C7AF2" w:rsidRPr="004C7AF2" w:rsidRDefault="004C7AF2" w:rsidP="00125B6A">
            <w:pPr>
              <w:spacing w:line="480" w:lineRule="auto"/>
              <w:rPr>
                <w:rFonts w:ascii="David" w:hAnsi="David" w:cs="David"/>
                <w:sz w:val="24"/>
                <w:szCs w:val="24"/>
              </w:rPr>
            </w:pPr>
            <w:r w:rsidRPr="004C7AF2">
              <w:rPr>
                <w:rFonts w:ascii="David" w:hAnsi="David" w:cs="David"/>
                <w:sz w:val="24"/>
                <w:szCs w:val="24"/>
                <w:rtl/>
              </w:rPr>
              <w:t>‏‏‏‏‏</w:t>
            </w:r>
            <w:r w:rsidR="00125B6A">
              <w:rPr>
                <w:rFonts w:ascii="David" w:hAnsi="David" w:cs="David" w:hint="cs"/>
                <w:sz w:val="24"/>
                <w:szCs w:val="24"/>
                <w:rtl/>
              </w:rPr>
              <w:t>30</w:t>
            </w:r>
            <w:r w:rsidRPr="004C7AF2">
              <w:rPr>
                <w:rFonts w:ascii="David" w:hAnsi="David" w:cs="David"/>
                <w:sz w:val="24"/>
                <w:szCs w:val="24"/>
                <w:rtl/>
              </w:rPr>
              <w:t xml:space="preserve"> </w:t>
            </w:r>
            <w:r w:rsidR="000E77C6">
              <w:rPr>
                <w:rFonts w:ascii="David" w:hAnsi="David" w:cs="David" w:hint="cs"/>
                <w:sz w:val="24"/>
                <w:szCs w:val="24"/>
                <w:rtl/>
              </w:rPr>
              <w:t>באפריל</w:t>
            </w:r>
            <w:r w:rsidRPr="004C7AF2">
              <w:rPr>
                <w:rFonts w:ascii="David" w:hAnsi="David" w:cs="David"/>
                <w:sz w:val="24"/>
                <w:szCs w:val="24"/>
                <w:rtl/>
              </w:rPr>
              <w:t xml:space="preserve"> 2023</w:t>
            </w:r>
          </w:p>
        </w:tc>
      </w:tr>
    </w:tbl>
    <w:p w:rsidR="004C7AF2" w:rsidRPr="00A457E5" w:rsidRDefault="004C7AF2" w:rsidP="004C7AF2">
      <w:pPr>
        <w:spacing w:line="360" w:lineRule="auto"/>
        <w:jc w:val="right"/>
        <w:rPr>
          <w:rFonts w:ascii="David" w:hAnsi="David" w:cs="David"/>
        </w:rPr>
      </w:pPr>
    </w:p>
    <w:p w:rsidR="00E04B24" w:rsidRPr="004C7AF2" w:rsidRDefault="00E04B24" w:rsidP="005A0D92">
      <w:pPr>
        <w:bidi/>
        <w:spacing w:line="300" w:lineRule="auto"/>
        <w:rPr>
          <w:rFonts w:ascii="David" w:hAnsi="David" w:cs="David"/>
          <w:sz w:val="22"/>
          <w:szCs w:val="22"/>
          <w:rtl/>
        </w:rPr>
      </w:pPr>
    </w:p>
    <w:p w:rsidR="00E71247" w:rsidRPr="004C7AF2" w:rsidRDefault="00E71247" w:rsidP="00E71247">
      <w:pPr>
        <w:bidi/>
        <w:spacing w:line="300" w:lineRule="auto"/>
        <w:rPr>
          <w:rFonts w:ascii="David" w:hAnsi="David" w:cs="David"/>
          <w:sz w:val="22"/>
          <w:szCs w:val="22"/>
        </w:rPr>
      </w:pPr>
    </w:p>
    <w:p w:rsidR="00081C07" w:rsidRPr="004C7AF2" w:rsidRDefault="00081C07" w:rsidP="005A0D92">
      <w:pPr>
        <w:bidi/>
        <w:spacing w:line="300" w:lineRule="auto"/>
        <w:ind w:right="-101"/>
        <w:rPr>
          <w:rFonts w:ascii="David" w:eastAsiaTheme="minorHAnsi" w:hAnsi="David" w:cs="David"/>
          <w:sz w:val="22"/>
          <w:szCs w:val="22"/>
          <w:rtl/>
          <w:lang w:eastAsia="en-US"/>
        </w:rPr>
      </w:pPr>
      <w:r w:rsidRPr="004C7AF2">
        <w:rPr>
          <w:rFonts w:ascii="David" w:eastAsiaTheme="minorHAnsi" w:hAnsi="David" w:cs="David"/>
          <w:sz w:val="22"/>
          <w:szCs w:val="22"/>
          <w:rtl/>
          <w:lang w:eastAsia="en-US"/>
        </w:rPr>
        <w:t>הודעה לעיתונות:</w:t>
      </w:r>
    </w:p>
    <w:p w:rsidR="00D76935" w:rsidRPr="004C7AF2" w:rsidRDefault="001363BB" w:rsidP="007C5EC7">
      <w:pPr>
        <w:bidi/>
        <w:spacing w:line="300" w:lineRule="auto"/>
        <w:ind w:right="-101"/>
        <w:jc w:val="center"/>
        <w:rPr>
          <w:rFonts w:ascii="David" w:eastAsiaTheme="minorHAnsi" w:hAnsi="David" w:cs="David"/>
          <w:b/>
          <w:bCs/>
          <w:sz w:val="28"/>
          <w:szCs w:val="28"/>
          <w:rtl/>
          <w:lang w:eastAsia="en-US"/>
        </w:rPr>
      </w:pPr>
      <w:r>
        <w:rPr>
          <w:rFonts w:ascii="David" w:eastAsiaTheme="minorHAnsi" w:hAnsi="David" w:cs="David" w:hint="cs"/>
          <w:b/>
          <w:bCs/>
          <w:sz w:val="28"/>
          <w:szCs w:val="28"/>
          <w:rtl/>
          <w:lang w:eastAsia="en-US"/>
        </w:rPr>
        <w:t>ארבע שנות פעילות למערכת לשיתוף בנתוני אשראי</w:t>
      </w:r>
    </w:p>
    <w:p w:rsidR="00E16148" w:rsidRPr="004C7AF2" w:rsidRDefault="00E16148" w:rsidP="005A0D92">
      <w:pPr>
        <w:bidi/>
        <w:spacing w:after="240" w:line="300" w:lineRule="auto"/>
        <w:jc w:val="both"/>
        <w:rPr>
          <w:rFonts w:ascii="David" w:eastAsia="Calibri" w:hAnsi="David" w:cs="David"/>
          <w:sz w:val="22"/>
          <w:szCs w:val="22"/>
          <w:rtl/>
          <w:lang w:eastAsia="en-US"/>
        </w:rPr>
      </w:pPr>
    </w:p>
    <w:p w:rsidR="00B912F9" w:rsidRDefault="00B912F9" w:rsidP="00D66E57">
      <w:pPr>
        <w:bidi/>
        <w:spacing w:line="360" w:lineRule="auto"/>
        <w:jc w:val="both"/>
        <w:rPr>
          <w:rFonts w:ascii="David" w:eastAsia="Calibri" w:hAnsi="David" w:cs="David"/>
          <w:sz w:val="24"/>
          <w:szCs w:val="24"/>
          <w:rtl/>
          <w:lang w:eastAsia="en-US"/>
        </w:rPr>
      </w:pPr>
      <w:r>
        <w:rPr>
          <w:rFonts w:ascii="David" w:eastAsia="Calibri" w:hAnsi="David" w:cs="David" w:hint="cs"/>
          <w:sz w:val="24"/>
          <w:szCs w:val="24"/>
          <w:rtl/>
          <w:lang w:eastAsia="en-US"/>
        </w:rPr>
        <w:t xml:space="preserve">המערכת לשיתוף בנתוני אשראי החלה פעילותה באפריל 2019 מתוקף חוק נתוני אשראי, התשע"ו-2016 במטרה לקדם את התחרות והנגישות של ציבור לאשראי, תוך צמצום אפליה במתן אשראי ופערים כלכליים. החוק הטיל על בנק ישראל להקים את המאגר הלאומי לנתוני אשראי ולפקח על  כלל </w:t>
      </w:r>
      <w:r w:rsidR="00D66E57">
        <w:rPr>
          <w:rFonts w:ascii="David" w:eastAsia="Calibri" w:hAnsi="David" w:cs="David" w:hint="cs"/>
          <w:sz w:val="24"/>
          <w:szCs w:val="24"/>
          <w:rtl/>
          <w:lang w:eastAsia="en-US"/>
        </w:rPr>
        <w:t xml:space="preserve">הגופים </w:t>
      </w:r>
      <w:r>
        <w:rPr>
          <w:rFonts w:ascii="David" w:eastAsia="Calibri" w:hAnsi="David" w:cs="David" w:hint="cs"/>
          <w:sz w:val="24"/>
          <w:szCs w:val="24"/>
          <w:rtl/>
          <w:lang w:eastAsia="en-US"/>
        </w:rPr>
        <w:t xml:space="preserve">הפועלים במסגרת ההסדר לשיתוף בנתוני אשראי שנקבע בחוק. </w:t>
      </w:r>
    </w:p>
    <w:p w:rsidR="00B912F9" w:rsidRDefault="00B912F9" w:rsidP="00B912F9">
      <w:pPr>
        <w:bidi/>
        <w:spacing w:line="360" w:lineRule="auto"/>
        <w:jc w:val="both"/>
        <w:rPr>
          <w:rFonts w:ascii="David" w:eastAsia="Calibri" w:hAnsi="David" w:cs="David"/>
          <w:sz w:val="24"/>
          <w:szCs w:val="24"/>
          <w:rtl/>
          <w:lang w:eastAsia="en-US"/>
        </w:rPr>
      </w:pPr>
      <w:r>
        <w:rPr>
          <w:rFonts w:ascii="David" w:eastAsia="Calibri" w:hAnsi="David" w:cs="David" w:hint="cs"/>
          <w:sz w:val="24"/>
          <w:szCs w:val="24"/>
          <w:rtl/>
          <w:lang w:eastAsia="en-US"/>
        </w:rPr>
        <w:t xml:space="preserve"> </w:t>
      </w:r>
    </w:p>
    <w:p w:rsidR="00B912F9" w:rsidRDefault="00B912F9" w:rsidP="00B912F9">
      <w:pPr>
        <w:bidi/>
        <w:spacing w:line="360" w:lineRule="auto"/>
        <w:jc w:val="both"/>
        <w:rPr>
          <w:rFonts w:ascii="David" w:hAnsi="David" w:cs="David"/>
          <w:sz w:val="24"/>
          <w:szCs w:val="24"/>
          <w:rtl/>
        </w:rPr>
      </w:pPr>
      <w:r w:rsidRPr="001363BB">
        <w:rPr>
          <w:rFonts w:ascii="David" w:eastAsia="Calibri" w:hAnsi="David" w:cs="David" w:hint="cs"/>
          <w:sz w:val="24"/>
          <w:szCs w:val="24"/>
          <w:rtl/>
          <w:lang w:eastAsia="en-US"/>
        </w:rPr>
        <w:t>במלאת ארבע שנות פעילות למערכת בשיתוף בנת</w:t>
      </w:r>
      <w:r>
        <w:rPr>
          <w:rFonts w:ascii="David" w:hAnsi="David" w:cs="David" w:hint="cs"/>
          <w:sz w:val="24"/>
          <w:szCs w:val="24"/>
          <w:rtl/>
        </w:rPr>
        <w:t>וני אשראי אנו שמחים לפרסם נתונים מרכזיים על פעילות המערכת  אשר מלמדים על  חשיבותה לשכלול שוק האשראי הקמעונאי בישראל ועל תרומתה  לאזרחי מדינת ישראל:</w:t>
      </w:r>
    </w:p>
    <w:p w:rsidR="00B912F9" w:rsidRDefault="00B912F9" w:rsidP="00E01880">
      <w:pPr>
        <w:pStyle w:val="ae"/>
        <w:numPr>
          <w:ilvl w:val="0"/>
          <w:numId w:val="8"/>
        </w:numPr>
        <w:bidi/>
        <w:spacing w:line="360" w:lineRule="auto"/>
        <w:jc w:val="both"/>
        <w:rPr>
          <w:rFonts w:ascii="David" w:hAnsi="David" w:cs="David"/>
          <w:sz w:val="24"/>
          <w:szCs w:val="24"/>
        </w:rPr>
      </w:pPr>
      <w:r>
        <w:rPr>
          <w:rFonts w:ascii="David" w:hAnsi="David" w:cs="David" w:hint="cs"/>
          <w:sz w:val="24"/>
          <w:szCs w:val="24"/>
          <w:rtl/>
        </w:rPr>
        <w:t xml:space="preserve">מספר הלקוחות הבגירים שלגביהם קיים מידע במערכת נתוני אשראי עומד על </w:t>
      </w:r>
      <w:r w:rsidRPr="00CC690D">
        <w:rPr>
          <w:rFonts w:ascii="David" w:hAnsi="David" w:cs="David" w:hint="cs"/>
          <w:b/>
          <w:bCs/>
          <w:sz w:val="24"/>
          <w:szCs w:val="24"/>
          <w:rtl/>
        </w:rPr>
        <w:t xml:space="preserve">כ-6.5 מיליון </w:t>
      </w:r>
      <w:r w:rsidR="00E01880" w:rsidRPr="00CC690D">
        <w:rPr>
          <w:rFonts w:ascii="David" w:hAnsi="David" w:cs="David" w:hint="cs"/>
          <w:b/>
          <w:bCs/>
          <w:sz w:val="24"/>
          <w:szCs w:val="24"/>
          <w:rtl/>
        </w:rPr>
        <w:t>לקוחות</w:t>
      </w:r>
      <w:r w:rsidR="00E01880">
        <w:rPr>
          <w:rFonts w:ascii="David" w:hAnsi="David" w:cs="David" w:hint="cs"/>
          <w:sz w:val="24"/>
          <w:szCs w:val="24"/>
          <w:rtl/>
        </w:rPr>
        <w:t xml:space="preserve"> </w:t>
      </w:r>
      <w:r>
        <w:rPr>
          <w:rFonts w:ascii="David" w:hAnsi="David" w:cs="David" w:hint="cs"/>
          <w:sz w:val="24"/>
          <w:szCs w:val="24"/>
          <w:rtl/>
        </w:rPr>
        <w:t xml:space="preserve">שמהווים את מרבית האוכלוסייה הבגירה בעלת נתוני אשראי. </w:t>
      </w:r>
    </w:p>
    <w:p w:rsidR="00CC690D" w:rsidRDefault="00CC690D" w:rsidP="00CC690D">
      <w:pPr>
        <w:pStyle w:val="ae"/>
        <w:numPr>
          <w:ilvl w:val="0"/>
          <w:numId w:val="8"/>
        </w:numPr>
        <w:bidi/>
        <w:spacing w:line="360" w:lineRule="auto"/>
        <w:jc w:val="both"/>
        <w:rPr>
          <w:rFonts w:ascii="David" w:hAnsi="David" w:cs="David"/>
          <w:sz w:val="24"/>
          <w:szCs w:val="24"/>
        </w:rPr>
      </w:pPr>
      <w:r w:rsidRPr="00CC690D">
        <w:rPr>
          <w:rFonts w:ascii="David" w:hAnsi="David" w:cs="David" w:hint="cs"/>
          <w:b/>
          <w:bCs/>
          <w:sz w:val="24"/>
          <w:szCs w:val="24"/>
          <w:rtl/>
        </w:rPr>
        <w:t>מעל לשלושת רבעי אוכלוסיית המאגר (כ-</w:t>
      </w:r>
      <w:r w:rsidRPr="00CC690D">
        <w:rPr>
          <w:rFonts w:ascii="David" w:hAnsi="David" w:cs="David"/>
          <w:b/>
          <w:bCs/>
          <w:sz w:val="24"/>
          <w:szCs w:val="24"/>
          <w:rtl/>
        </w:rPr>
        <w:t>76%</w:t>
      </w:r>
      <w:r w:rsidRPr="00CC690D">
        <w:rPr>
          <w:rFonts w:ascii="David" w:hAnsi="David" w:cs="David" w:hint="cs"/>
          <w:b/>
          <w:bCs/>
          <w:sz w:val="24"/>
          <w:szCs w:val="24"/>
          <w:rtl/>
        </w:rPr>
        <w:t>)</w:t>
      </w:r>
      <w:r w:rsidRPr="00CC690D">
        <w:rPr>
          <w:rFonts w:ascii="David" w:hAnsi="David" w:cs="David"/>
          <w:b/>
          <w:bCs/>
          <w:sz w:val="24"/>
          <w:szCs w:val="24"/>
          <w:rtl/>
        </w:rPr>
        <w:t xml:space="preserve"> מדורגים בדירוג מצוין וטוב.</w:t>
      </w:r>
      <w:r w:rsidRPr="00104DD2">
        <w:rPr>
          <w:rFonts w:ascii="David" w:hAnsi="David" w:cs="David"/>
          <w:sz w:val="24"/>
          <w:szCs w:val="24"/>
          <w:rtl/>
        </w:rPr>
        <w:t xml:space="preserve"> ייתכן מאוד שלקוחות אלה יכולים לשפר את שיעור הריבית שהם מקבלים עבור ההלוואות שהם נוטלים</w:t>
      </w:r>
      <w:r>
        <w:rPr>
          <w:rFonts w:ascii="David" w:hAnsi="David" w:cs="David" w:hint="cs"/>
          <w:sz w:val="24"/>
          <w:szCs w:val="24"/>
          <w:rtl/>
        </w:rPr>
        <w:t>,</w:t>
      </w:r>
      <w:r w:rsidRPr="00104DD2">
        <w:rPr>
          <w:rFonts w:ascii="David" w:hAnsi="David" w:cs="David"/>
          <w:sz w:val="24"/>
          <w:szCs w:val="24"/>
          <w:rtl/>
        </w:rPr>
        <w:t xml:space="preserve"> אם יפנו לנותני אשראי שונים כדי לקבל הצעות נוספות</w:t>
      </w:r>
      <w:r>
        <w:rPr>
          <w:rFonts w:ascii="David" w:hAnsi="David" w:cs="David" w:hint="cs"/>
          <w:sz w:val="24"/>
          <w:szCs w:val="24"/>
          <w:rtl/>
        </w:rPr>
        <w:t>. יתר המדורגים: 12% בעלי דירוג סביר ו-12% בעלי דירוג נמוך.</w:t>
      </w:r>
    </w:p>
    <w:p w:rsidR="00B912F9" w:rsidRDefault="00B912F9" w:rsidP="00A01F03">
      <w:pPr>
        <w:pStyle w:val="ae"/>
        <w:numPr>
          <w:ilvl w:val="0"/>
          <w:numId w:val="8"/>
        </w:numPr>
        <w:bidi/>
        <w:spacing w:line="360" w:lineRule="auto"/>
        <w:jc w:val="both"/>
        <w:rPr>
          <w:rFonts w:ascii="David" w:hAnsi="David" w:cs="David"/>
          <w:sz w:val="24"/>
          <w:szCs w:val="24"/>
        </w:rPr>
      </w:pPr>
      <w:r w:rsidRPr="00CC690D">
        <w:rPr>
          <w:rFonts w:ascii="David" w:hAnsi="David" w:cs="David" w:hint="cs"/>
          <w:b/>
          <w:bCs/>
          <w:sz w:val="24"/>
          <w:szCs w:val="24"/>
          <w:rtl/>
        </w:rPr>
        <w:t>מספר נותני אשראי המשתמשים בנתוני האשראי מהמאגר עומד על 44 גופים לעומת 28 גופים באפריל 2019.</w:t>
      </w:r>
      <w:r>
        <w:rPr>
          <w:rFonts w:ascii="David" w:hAnsi="David" w:cs="David" w:hint="cs"/>
          <w:sz w:val="24"/>
          <w:szCs w:val="24"/>
          <w:rtl/>
        </w:rPr>
        <w:t xml:space="preserve"> עלייה של כ-</w:t>
      </w:r>
      <w:r w:rsidR="00A01F03">
        <w:rPr>
          <w:rFonts w:ascii="David" w:hAnsi="David" w:cs="David" w:hint="cs"/>
          <w:sz w:val="24"/>
          <w:szCs w:val="24"/>
          <w:rtl/>
        </w:rPr>
        <w:t>57</w:t>
      </w:r>
      <w:r>
        <w:rPr>
          <w:rFonts w:ascii="David" w:hAnsi="David" w:cs="David" w:hint="cs"/>
          <w:sz w:val="24"/>
          <w:szCs w:val="24"/>
          <w:rtl/>
        </w:rPr>
        <w:t xml:space="preserve">%. העלייה נובעת </w:t>
      </w:r>
      <w:r w:rsidR="000618DD">
        <w:rPr>
          <w:rFonts w:ascii="David" w:hAnsi="David" w:cs="David" w:hint="cs"/>
          <w:sz w:val="24"/>
          <w:szCs w:val="24"/>
          <w:rtl/>
        </w:rPr>
        <w:t>מ</w:t>
      </w:r>
      <w:r>
        <w:rPr>
          <w:rFonts w:ascii="David" w:hAnsi="David" w:cs="David" w:hint="cs"/>
          <w:sz w:val="24"/>
          <w:szCs w:val="24"/>
          <w:rtl/>
        </w:rPr>
        <w:t xml:space="preserve">גופים </w:t>
      </w:r>
      <w:r w:rsidR="00151EEA">
        <w:rPr>
          <w:rFonts w:ascii="David" w:hAnsi="David" w:cs="David" w:hint="cs"/>
          <w:sz w:val="24"/>
          <w:szCs w:val="24"/>
          <w:rtl/>
        </w:rPr>
        <w:t>בנקאיים ו</w:t>
      </w:r>
      <w:r>
        <w:rPr>
          <w:rFonts w:ascii="David" w:hAnsi="David" w:cs="David" w:hint="cs"/>
          <w:sz w:val="24"/>
          <w:szCs w:val="24"/>
          <w:rtl/>
        </w:rPr>
        <w:t xml:space="preserve">חוץ -בנקאיים אשר עושים שימוש בנתוני המאגר לצורך קבלת החלטות על מתן אשראי או חידוש אשראי. ככל </w:t>
      </w:r>
      <w:r w:rsidR="00A01F03">
        <w:rPr>
          <w:rFonts w:ascii="David" w:hAnsi="David" w:cs="David" w:hint="cs"/>
          <w:sz w:val="24"/>
          <w:szCs w:val="24"/>
          <w:rtl/>
        </w:rPr>
        <w:t>שגובר השימוש</w:t>
      </w:r>
      <w:r>
        <w:rPr>
          <w:rFonts w:ascii="David" w:hAnsi="David" w:cs="David" w:hint="cs"/>
          <w:sz w:val="24"/>
          <w:szCs w:val="24"/>
          <w:rtl/>
        </w:rPr>
        <w:t xml:space="preserve"> במערכת, פוחתת הא-סימטריה במידע בין נותני האשראי הגדולים במשק </w:t>
      </w:r>
      <w:r>
        <w:rPr>
          <w:rFonts w:ascii="David" w:hAnsi="David" w:cs="David"/>
          <w:sz w:val="24"/>
          <w:szCs w:val="24"/>
          <w:rtl/>
        </w:rPr>
        <w:t>–</w:t>
      </w:r>
      <w:r>
        <w:rPr>
          <w:rFonts w:ascii="David" w:hAnsi="David" w:cs="David" w:hint="cs"/>
          <w:sz w:val="24"/>
          <w:szCs w:val="24"/>
          <w:rtl/>
        </w:rPr>
        <w:t xml:space="preserve"> שהינם הבנקים, לבין נותני האשראי הקטנים יותר אשר יכולים להציע הצעות אשראי אטרקטיביות ללקוחות חדשים ובכך להגביר את התחרות בשוק האשראי הקמעונאי. בנוסף, עקב הגישה הניתנת לנותני האשראי למידע אמין בדבר עמידת הציבור בהתחייבויותיו, פוחת השימוש במידע שאיננו פיננסי אשר </w:t>
      </w:r>
      <w:r w:rsidR="00A01F03">
        <w:rPr>
          <w:rFonts w:ascii="David" w:hAnsi="David" w:cs="David" w:hint="cs"/>
          <w:sz w:val="24"/>
          <w:szCs w:val="24"/>
          <w:rtl/>
        </w:rPr>
        <w:t xml:space="preserve">עלול </w:t>
      </w:r>
      <w:r>
        <w:rPr>
          <w:rFonts w:ascii="David" w:hAnsi="David" w:cs="David" w:hint="cs"/>
          <w:sz w:val="24"/>
          <w:szCs w:val="24"/>
          <w:rtl/>
        </w:rPr>
        <w:t xml:space="preserve">לגרום לאפליה אסורה (כגון: נתונים דמוגרפיים </w:t>
      </w:r>
      <w:r w:rsidR="00A01F03">
        <w:rPr>
          <w:rFonts w:ascii="David" w:hAnsi="David" w:cs="David" w:hint="cs"/>
          <w:sz w:val="24"/>
          <w:szCs w:val="24"/>
          <w:rtl/>
        </w:rPr>
        <w:t xml:space="preserve">או אישיים </w:t>
      </w:r>
      <w:r>
        <w:rPr>
          <w:rFonts w:ascii="David" w:hAnsi="David" w:cs="David" w:hint="cs"/>
          <w:sz w:val="24"/>
          <w:szCs w:val="24"/>
          <w:rtl/>
        </w:rPr>
        <w:t xml:space="preserve">של לקוח). </w:t>
      </w:r>
    </w:p>
    <w:p w:rsidR="00A10D69" w:rsidRDefault="00B912F9" w:rsidP="00C77073">
      <w:pPr>
        <w:pStyle w:val="ae"/>
        <w:numPr>
          <w:ilvl w:val="0"/>
          <w:numId w:val="8"/>
        </w:numPr>
        <w:bidi/>
        <w:spacing w:line="360" w:lineRule="auto"/>
        <w:jc w:val="both"/>
        <w:rPr>
          <w:rFonts w:ascii="David" w:hAnsi="David" w:cs="David"/>
          <w:sz w:val="24"/>
          <w:szCs w:val="24"/>
        </w:rPr>
      </w:pPr>
      <w:r w:rsidRPr="00A10D69">
        <w:rPr>
          <w:rFonts w:ascii="David" w:hAnsi="David" w:cs="David"/>
          <w:sz w:val="24"/>
          <w:szCs w:val="24"/>
          <w:rtl/>
        </w:rPr>
        <w:t>המידע שבמאגר מועבר באמצעות לשכות אשראי לכל המשתמשים במערכת</w:t>
      </w:r>
      <w:r>
        <w:rPr>
          <w:rFonts w:ascii="David" w:hAnsi="David" w:cs="David" w:hint="cs"/>
          <w:sz w:val="24"/>
          <w:szCs w:val="24"/>
          <w:rtl/>
        </w:rPr>
        <w:t xml:space="preserve">. לשכות האשראי, הפועלות ברישיון של בנק ישראל ובפיקוחו, הן: </w:t>
      </w:r>
      <w:r w:rsidRPr="00A10D69">
        <w:rPr>
          <w:rFonts w:ascii="David" w:hAnsi="David" w:cs="David"/>
          <w:sz w:val="24"/>
          <w:szCs w:val="24"/>
          <w:rtl/>
        </w:rPr>
        <w:t>די אנד בי החברה לנתוני אשראי בע"מ</w:t>
      </w:r>
      <w:r>
        <w:rPr>
          <w:rFonts w:ascii="David" w:hAnsi="David" w:cs="David" w:hint="cs"/>
          <w:sz w:val="24"/>
          <w:szCs w:val="24"/>
          <w:rtl/>
        </w:rPr>
        <w:t xml:space="preserve"> </w:t>
      </w:r>
      <w:proofErr w:type="spellStart"/>
      <w:r>
        <w:rPr>
          <w:rFonts w:ascii="David" w:hAnsi="David" w:cs="David" w:hint="cs"/>
          <w:sz w:val="24"/>
          <w:szCs w:val="24"/>
          <w:rtl/>
        </w:rPr>
        <w:t>ו</w:t>
      </w:r>
      <w:r w:rsidRPr="00A10D69">
        <w:rPr>
          <w:rFonts w:ascii="David" w:hAnsi="David" w:cs="David"/>
          <w:sz w:val="24"/>
          <w:szCs w:val="24"/>
          <w:rtl/>
        </w:rPr>
        <w:t>בי.די.איי</w:t>
      </w:r>
      <w:proofErr w:type="spellEnd"/>
      <w:r w:rsidRPr="00A10D69">
        <w:rPr>
          <w:rFonts w:ascii="David" w:hAnsi="David" w:cs="David"/>
          <w:sz w:val="24"/>
          <w:szCs w:val="24"/>
          <w:rtl/>
        </w:rPr>
        <w:t xml:space="preserve">. - </w:t>
      </w:r>
      <w:proofErr w:type="spellStart"/>
      <w:r w:rsidRPr="00A10D69">
        <w:rPr>
          <w:rFonts w:ascii="David" w:hAnsi="David" w:cs="David"/>
          <w:sz w:val="24"/>
          <w:szCs w:val="24"/>
          <w:rtl/>
        </w:rPr>
        <w:t>קופאס</w:t>
      </w:r>
      <w:proofErr w:type="spellEnd"/>
      <w:r w:rsidRPr="00A10D69">
        <w:rPr>
          <w:rFonts w:ascii="David" w:hAnsi="David" w:cs="David"/>
          <w:sz w:val="24"/>
          <w:szCs w:val="24"/>
          <w:rtl/>
        </w:rPr>
        <w:t xml:space="preserve"> בע"מ</w:t>
      </w:r>
      <w:r>
        <w:rPr>
          <w:rFonts w:ascii="David" w:hAnsi="David" w:cs="David" w:hint="cs"/>
          <w:sz w:val="24"/>
          <w:szCs w:val="24"/>
          <w:rtl/>
        </w:rPr>
        <w:t>. לשכות האשראי מפיקות</w:t>
      </w:r>
      <w:r w:rsidRPr="00A10D69">
        <w:rPr>
          <w:rFonts w:ascii="David" w:hAnsi="David" w:cs="David"/>
          <w:sz w:val="24"/>
          <w:szCs w:val="24"/>
          <w:rtl/>
        </w:rPr>
        <w:t xml:space="preserve"> דירוג</w:t>
      </w:r>
      <w:r>
        <w:rPr>
          <w:rFonts w:ascii="David" w:hAnsi="David" w:cs="David" w:hint="cs"/>
          <w:sz w:val="24"/>
          <w:szCs w:val="24"/>
          <w:rtl/>
        </w:rPr>
        <w:t>י</w:t>
      </w:r>
      <w:r w:rsidRPr="00A10D69">
        <w:rPr>
          <w:rFonts w:ascii="David" w:hAnsi="David" w:cs="David"/>
          <w:sz w:val="24"/>
          <w:szCs w:val="24"/>
          <w:rtl/>
        </w:rPr>
        <w:t xml:space="preserve"> אשרא</w:t>
      </w:r>
      <w:r>
        <w:rPr>
          <w:rFonts w:ascii="David" w:hAnsi="David" w:cs="David"/>
          <w:sz w:val="24"/>
          <w:szCs w:val="24"/>
          <w:rtl/>
        </w:rPr>
        <w:t>י</w:t>
      </w:r>
      <w:r>
        <w:rPr>
          <w:rFonts w:ascii="David" w:hAnsi="David" w:cs="David" w:hint="cs"/>
          <w:sz w:val="24"/>
          <w:szCs w:val="24"/>
          <w:rtl/>
        </w:rPr>
        <w:t xml:space="preserve"> לנותני אשראי וללקוחות,</w:t>
      </w:r>
      <w:r>
        <w:rPr>
          <w:rFonts w:ascii="David" w:hAnsi="David" w:cs="David"/>
          <w:sz w:val="24"/>
          <w:szCs w:val="24"/>
          <w:rtl/>
        </w:rPr>
        <w:t xml:space="preserve"> דוח</w:t>
      </w:r>
      <w:r>
        <w:rPr>
          <w:rFonts w:ascii="David" w:hAnsi="David" w:cs="David" w:hint="cs"/>
          <w:sz w:val="24"/>
          <w:szCs w:val="24"/>
          <w:rtl/>
        </w:rPr>
        <w:t>ות</w:t>
      </w:r>
      <w:r>
        <w:rPr>
          <w:rFonts w:ascii="David" w:hAnsi="David" w:cs="David"/>
          <w:sz w:val="24"/>
          <w:szCs w:val="24"/>
          <w:rtl/>
        </w:rPr>
        <w:t xml:space="preserve"> אשראי</w:t>
      </w:r>
      <w:r>
        <w:rPr>
          <w:rFonts w:ascii="David" w:hAnsi="David" w:cs="David" w:hint="cs"/>
          <w:sz w:val="24"/>
          <w:szCs w:val="24"/>
          <w:rtl/>
        </w:rPr>
        <w:t xml:space="preserve"> ו</w:t>
      </w:r>
      <w:r>
        <w:rPr>
          <w:rFonts w:ascii="David" w:hAnsi="David" w:cs="David"/>
          <w:sz w:val="24"/>
          <w:szCs w:val="24"/>
          <w:rtl/>
        </w:rPr>
        <w:t>חיווי אשראי</w:t>
      </w:r>
      <w:r w:rsidR="00A10D69">
        <w:rPr>
          <w:rFonts w:ascii="David" w:hAnsi="David" w:cs="David" w:hint="cs"/>
          <w:sz w:val="24"/>
          <w:szCs w:val="24"/>
          <w:rtl/>
        </w:rPr>
        <w:t>.</w:t>
      </w:r>
    </w:p>
    <w:p w:rsidR="00104DD2" w:rsidRDefault="00104DD2" w:rsidP="00A01F03">
      <w:pPr>
        <w:pStyle w:val="ae"/>
        <w:numPr>
          <w:ilvl w:val="0"/>
          <w:numId w:val="8"/>
        </w:numPr>
        <w:bidi/>
        <w:spacing w:line="360" w:lineRule="auto"/>
        <w:jc w:val="both"/>
        <w:rPr>
          <w:rFonts w:ascii="David" w:hAnsi="David" w:cs="David"/>
          <w:sz w:val="24"/>
          <w:szCs w:val="24"/>
        </w:rPr>
      </w:pPr>
      <w:r>
        <w:rPr>
          <w:rFonts w:ascii="David" w:hAnsi="David" w:cs="David" w:hint="cs"/>
          <w:sz w:val="24"/>
          <w:szCs w:val="24"/>
          <w:rtl/>
        </w:rPr>
        <w:t xml:space="preserve">כמות דוחות האשראי </w:t>
      </w:r>
      <w:r w:rsidR="00B912F9">
        <w:rPr>
          <w:rFonts w:ascii="David" w:hAnsi="David" w:cs="David" w:hint="cs"/>
          <w:sz w:val="24"/>
          <w:szCs w:val="24"/>
          <w:rtl/>
        </w:rPr>
        <w:t>שמסרו לשכות האשראי על בסיס המידע מהמאגר</w:t>
      </w:r>
      <w:r>
        <w:rPr>
          <w:rFonts w:ascii="David" w:hAnsi="David" w:cs="David" w:hint="cs"/>
          <w:sz w:val="24"/>
          <w:szCs w:val="24"/>
          <w:rtl/>
        </w:rPr>
        <w:t xml:space="preserve"> עלתה </w:t>
      </w:r>
      <w:r w:rsidR="00125B6A">
        <w:rPr>
          <w:rFonts w:ascii="David" w:hAnsi="David" w:cs="David" w:hint="cs"/>
          <w:sz w:val="24"/>
          <w:szCs w:val="24"/>
          <w:rtl/>
        </w:rPr>
        <w:t>פי שישה</w:t>
      </w:r>
      <w:r>
        <w:rPr>
          <w:rFonts w:ascii="David" w:hAnsi="David" w:cs="David" w:hint="cs"/>
          <w:sz w:val="24"/>
          <w:szCs w:val="24"/>
          <w:rtl/>
        </w:rPr>
        <w:t xml:space="preserve"> מאז </w:t>
      </w:r>
      <w:r w:rsidR="00125B6A">
        <w:rPr>
          <w:rFonts w:ascii="David" w:hAnsi="David" w:cs="David" w:hint="cs"/>
          <w:sz w:val="24"/>
          <w:szCs w:val="24"/>
          <w:rtl/>
        </w:rPr>
        <w:t>החודש הראשון ל</w:t>
      </w:r>
      <w:r>
        <w:rPr>
          <w:rFonts w:ascii="David" w:hAnsi="David" w:cs="David" w:hint="cs"/>
          <w:sz w:val="24"/>
          <w:szCs w:val="24"/>
          <w:rtl/>
        </w:rPr>
        <w:t xml:space="preserve">הקמתה </w:t>
      </w:r>
      <w:r w:rsidR="00125B6A">
        <w:rPr>
          <w:rFonts w:ascii="David" w:hAnsi="David" w:cs="David" w:hint="cs"/>
          <w:sz w:val="24"/>
          <w:szCs w:val="24"/>
          <w:rtl/>
        </w:rPr>
        <w:t>ועד לסוף מרץ השנה</w:t>
      </w:r>
      <w:r w:rsidR="00A01F03">
        <w:rPr>
          <w:rFonts w:ascii="David" w:hAnsi="David" w:cs="David" w:hint="cs"/>
          <w:sz w:val="24"/>
          <w:szCs w:val="24"/>
          <w:rtl/>
        </w:rPr>
        <w:t xml:space="preserve">: </w:t>
      </w:r>
      <w:r w:rsidR="00125B6A" w:rsidRPr="00CC690D">
        <w:rPr>
          <w:rFonts w:ascii="David" w:hAnsi="David" w:cs="David" w:hint="cs"/>
          <w:b/>
          <w:bCs/>
          <w:sz w:val="24"/>
          <w:szCs w:val="24"/>
          <w:rtl/>
        </w:rPr>
        <w:t>מאז אפריל 2019 ועד לסוף הרבעון הראשון של השנה הוצאו כ-14 מיליון דוחות אשראי וכ-27 מיליון חיווי אשראי.</w:t>
      </w:r>
    </w:p>
    <w:p w:rsidR="00B912F9" w:rsidRDefault="00B912F9" w:rsidP="00B912F9">
      <w:pPr>
        <w:pStyle w:val="ae"/>
        <w:bidi/>
        <w:spacing w:line="360" w:lineRule="auto"/>
        <w:ind w:left="776"/>
        <w:jc w:val="both"/>
        <w:rPr>
          <w:rFonts w:ascii="David" w:hAnsi="David" w:cs="David"/>
          <w:sz w:val="24"/>
          <w:szCs w:val="24"/>
        </w:rPr>
      </w:pPr>
    </w:p>
    <w:tbl>
      <w:tblPr>
        <w:tblStyle w:val="af7"/>
        <w:bidiVisual/>
        <w:tblW w:w="0" w:type="auto"/>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8"/>
      </w:tblGrid>
      <w:tr w:rsidR="00D92A89" w:rsidTr="00D92A89">
        <w:tc>
          <w:tcPr>
            <w:tcW w:w="7598" w:type="dxa"/>
          </w:tcPr>
          <w:p w:rsidR="00D92A89" w:rsidRPr="00B912F9" w:rsidRDefault="00CC690D" w:rsidP="00D92A89">
            <w:pPr>
              <w:contextualSpacing/>
              <w:jc w:val="center"/>
              <w:rPr>
                <w:rFonts w:ascii="David" w:hAnsi="David" w:cs="David"/>
                <w:b/>
                <w:bCs/>
                <w:sz w:val="24"/>
                <w:szCs w:val="24"/>
                <w:rtl/>
              </w:rPr>
            </w:pPr>
            <w:r>
              <w:rPr>
                <w:rFonts w:ascii="David" w:hAnsi="David" w:cs="David" w:hint="cs"/>
                <w:b/>
                <w:bCs/>
                <w:sz w:val="24"/>
                <w:szCs w:val="24"/>
                <w:rtl/>
              </w:rPr>
              <w:t xml:space="preserve">איור 1: </w:t>
            </w:r>
            <w:r w:rsidR="00D92A89" w:rsidRPr="00B912F9">
              <w:rPr>
                <w:rFonts w:ascii="David" w:hAnsi="David" w:cs="David" w:hint="eastAsia"/>
                <w:b/>
                <w:bCs/>
                <w:sz w:val="24"/>
                <w:szCs w:val="24"/>
                <w:rtl/>
              </w:rPr>
              <w:t>חיוויי</w:t>
            </w:r>
            <w:r w:rsidR="00D92A89" w:rsidRPr="00B912F9">
              <w:rPr>
                <w:rFonts w:ascii="David" w:hAnsi="David" w:cs="David"/>
                <w:b/>
                <w:bCs/>
                <w:sz w:val="24"/>
                <w:szCs w:val="24"/>
                <w:rtl/>
              </w:rPr>
              <w:t xml:space="preserve"> </w:t>
            </w:r>
            <w:r w:rsidR="00D92A89" w:rsidRPr="00B912F9">
              <w:rPr>
                <w:rFonts w:ascii="David" w:hAnsi="David" w:cs="David" w:hint="eastAsia"/>
                <w:b/>
                <w:bCs/>
                <w:sz w:val="24"/>
                <w:szCs w:val="24"/>
                <w:rtl/>
              </w:rPr>
              <w:t>אשראי</w:t>
            </w:r>
            <w:r w:rsidR="00D92A89" w:rsidRPr="00B912F9">
              <w:rPr>
                <w:rFonts w:ascii="David" w:hAnsi="David" w:cs="David"/>
                <w:b/>
                <w:bCs/>
                <w:sz w:val="24"/>
                <w:szCs w:val="24"/>
                <w:vertAlign w:val="superscript"/>
                <w:rtl/>
              </w:rPr>
              <w:t>1</w:t>
            </w:r>
            <w:r w:rsidR="00D92A89" w:rsidRPr="00B912F9">
              <w:rPr>
                <w:rFonts w:ascii="David" w:hAnsi="David" w:cs="David" w:hint="cs"/>
                <w:b/>
                <w:bCs/>
                <w:sz w:val="24"/>
                <w:szCs w:val="24"/>
                <w:rtl/>
              </w:rPr>
              <w:t xml:space="preserve"> ודוחות אשראי </w:t>
            </w:r>
            <w:r w:rsidR="00151EEA">
              <w:rPr>
                <w:rFonts w:ascii="David" w:hAnsi="David" w:cs="David" w:hint="cs"/>
                <w:b/>
                <w:bCs/>
                <w:sz w:val="24"/>
                <w:szCs w:val="24"/>
                <w:rtl/>
              </w:rPr>
              <w:t xml:space="preserve">בחודש </w:t>
            </w:r>
            <w:r w:rsidR="00D92A89" w:rsidRPr="00B912F9">
              <w:rPr>
                <w:rFonts w:ascii="David" w:hAnsi="David" w:cs="David" w:hint="cs"/>
                <w:b/>
                <w:bCs/>
                <w:sz w:val="24"/>
                <w:szCs w:val="24"/>
                <w:rtl/>
              </w:rPr>
              <w:t>אפריל 2019 לעומת</w:t>
            </w:r>
            <w:r w:rsidR="00151EEA">
              <w:rPr>
                <w:rFonts w:ascii="David" w:hAnsi="David" w:cs="David" w:hint="cs"/>
                <w:b/>
                <w:bCs/>
                <w:sz w:val="24"/>
                <w:szCs w:val="24"/>
                <w:rtl/>
              </w:rPr>
              <w:t xml:space="preserve"> חודש</w:t>
            </w:r>
            <w:r w:rsidR="00D92A89" w:rsidRPr="00B912F9">
              <w:rPr>
                <w:rFonts w:ascii="David" w:hAnsi="David" w:cs="David" w:hint="cs"/>
                <w:b/>
                <w:bCs/>
                <w:sz w:val="24"/>
                <w:szCs w:val="24"/>
                <w:rtl/>
              </w:rPr>
              <w:t xml:space="preserve"> מרץ 2023</w:t>
            </w:r>
            <w:r w:rsidR="00D92A89" w:rsidRPr="00B912F9">
              <w:rPr>
                <w:rFonts w:ascii="David" w:hAnsi="David" w:cs="David"/>
                <w:b/>
                <w:bCs/>
                <w:sz w:val="24"/>
                <w:szCs w:val="24"/>
                <w:rtl/>
              </w:rPr>
              <w:t xml:space="preserve">, </w:t>
            </w:r>
            <w:r w:rsidR="00D92A89" w:rsidRPr="00B912F9">
              <w:rPr>
                <w:rFonts w:ascii="David" w:hAnsi="David" w:cs="David" w:hint="eastAsia"/>
                <w:b/>
                <w:bCs/>
                <w:sz w:val="24"/>
                <w:szCs w:val="24"/>
                <w:rtl/>
              </w:rPr>
              <w:t>באלפים</w:t>
            </w:r>
          </w:p>
        </w:tc>
      </w:tr>
      <w:tr w:rsidR="00D92A89" w:rsidTr="00D92A89">
        <w:trPr>
          <w:trHeight w:val="2694"/>
        </w:trPr>
        <w:tc>
          <w:tcPr>
            <w:tcW w:w="7598" w:type="dxa"/>
          </w:tcPr>
          <w:p w:rsidR="00D92A89" w:rsidRPr="00781702" w:rsidRDefault="00D92A89" w:rsidP="007A63D1">
            <w:pPr>
              <w:contextualSpacing/>
              <w:rPr>
                <w:highlight w:val="yellow"/>
              </w:rPr>
            </w:pPr>
            <w:r w:rsidRPr="00125B6A">
              <w:rPr>
                <w:noProof/>
                <w:lang w:eastAsia="en-US"/>
              </w:rPr>
              <w:drawing>
                <wp:inline distT="0" distB="0" distL="0" distR="0" wp14:anchorId="7050C787" wp14:editId="66036B6B">
                  <wp:extent cx="4413250" cy="2356485"/>
                  <wp:effectExtent l="0" t="0" r="6350" b="571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45847" cy="2373890"/>
                          </a:xfrm>
                          <a:prstGeom prst="rect">
                            <a:avLst/>
                          </a:prstGeom>
                          <a:noFill/>
                        </pic:spPr>
                      </pic:pic>
                    </a:graphicData>
                  </a:graphic>
                </wp:inline>
              </w:drawing>
            </w:r>
          </w:p>
        </w:tc>
      </w:tr>
      <w:tr w:rsidR="00D92A89" w:rsidTr="00D92A89">
        <w:tc>
          <w:tcPr>
            <w:tcW w:w="7598" w:type="dxa"/>
            <w:shd w:val="clear" w:color="auto" w:fill="DBE5F1" w:themeFill="accent1" w:themeFillTint="33"/>
          </w:tcPr>
          <w:p w:rsidR="00D92A89" w:rsidRPr="00364D79" w:rsidRDefault="00D92A89" w:rsidP="00364D79">
            <w:pPr>
              <w:contextualSpacing/>
              <w:jc w:val="right"/>
              <w:rPr>
                <w:rFonts w:ascii="David" w:hAnsi="David" w:cs="David"/>
                <w:sz w:val="24"/>
                <w:szCs w:val="24"/>
                <w:rtl/>
              </w:rPr>
            </w:pPr>
            <w:r>
              <w:rPr>
                <w:rFonts w:ascii="David" w:hAnsi="David" w:cs="David" w:hint="cs"/>
                <w:sz w:val="24"/>
                <w:szCs w:val="24"/>
                <w:rtl/>
              </w:rPr>
              <w:t xml:space="preserve">1. </w:t>
            </w:r>
            <w:r w:rsidRPr="00D92A89">
              <w:rPr>
                <w:rFonts w:ascii="David" w:hAnsi="David" w:cs="David"/>
                <w:sz w:val="24"/>
                <w:szCs w:val="24"/>
                <w:rtl/>
              </w:rPr>
              <w:t>נותן אשראי כהגדרתו בחוק רשאי לבקש חיווי אשראי לגבי לקוח לצורך התקשרות בעסקת אשראי. חיווי האשראי נועד לסייע לנותן האשראי להחליט באופן פשוט ומהיר אם להעמיד אשראי ללקוח. לפי החוק, חיווי האשראי לא דורש הסכמה של הלקוח</w:t>
            </w:r>
            <w:r w:rsidR="00DB2B8D">
              <w:rPr>
                <w:rFonts w:ascii="David" w:hAnsi="David" w:cs="David" w:hint="cs"/>
                <w:sz w:val="24"/>
                <w:szCs w:val="24"/>
                <w:rtl/>
              </w:rPr>
              <w:t>,</w:t>
            </w:r>
            <w:r w:rsidRPr="00D92A89">
              <w:rPr>
                <w:rFonts w:ascii="David" w:hAnsi="David" w:cs="David"/>
                <w:sz w:val="24"/>
                <w:szCs w:val="24"/>
                <w:rtl/>
              </w:rPr>
              <w:t xml:space="preserve"> אלא יידוע בלבד</w:t>
            </w:r>
            <w:r>
              <w:rPr>
                <w:rFonts w:ascii="David" w:hAnsi="David" w:cs="David" w:hint="cs"/>
                <w:sz w:val="24"/>
                <w:szCs w:val="24"/>
                <w:rtl/>
              </w:rPr>
              <w:t xml:space="preserve"> להבדיל מדוח אשראי הדורש אישור הלקוח.</w:t>
            </w:r>
          </w:p>
          <w:p w:rsidR="00D92A89" w:rsidRPr="00D92A89" w:rsidRDefault="00D92A89" w:rsidP="00364D79">
            <w:pPr>
              <w:contextualSpacing/>
              <w:jc w:val="right"/>
              <w:rPr>
                <w:b/>
                <w:bCs/>
                <w:szCs w:val="22"/>
                <w:rtl/>
              </w:rPr>
            </w:pPr>
            <w:r w:rsidRPr="00364D79">
              <w:rPr>
                <w:rFonts w:ascii="David" w:hAnsi="David" w:cs="David" w:hint="eastAsia"/>
                <w:b/>
                <w:bCs/>
                <w:sz w:val="24"/>
                <w:szCs w:val="24"/>
                <w:rtl/>
              </w:rPr>
              <w:t>המקור</w:t>
            </w:r>
            <w:r w:rsidRPr="00364D79">
              <w:rPr>
                <w:rFonts w:ascii="David" w:hAnsi="David" w:cs="David"/>
                <w:b/>
                <w:bCs/>
                <w:sz w:val="24"/>
                <w:szCs w:val="24"/>
                <w:rtl/>
              </w:rPr>
              <w:t xml:space="preserve">: </w:t>
            </w:r>
            <w:r w:rsidRPr="00364D79">
              <w:rPr>
                <w:rFonts w:ascii="David" w:hAnsi="David" w:cs="David" w:hint="eastAsia"/>
                <w:b/>
                <w:bCs/>
                <w:sz w:val="24"/>
                <w:szCs w:val="24"/>
                <w:rtl/>
              </w:rPr>
              <w:t>מאגר</w:t>
            </w:r>
            <w:r w:rsidRPr="00364D79">
              <w:rPr>
                <w:rFonts w:ascii="David" w:hAnsi="David" w:cs="David"/>
                <w:b/>
                <w:bCs/>
                <w:sz w:val="24"/>
                <w:szCs w:val="24"/>
                <w:rtl/>
              </w:rPr>
              <w:t xml:space="preserve"> </w:t>
            </w:r>
            <w:r w:rsidRPr="00364D79">
              <w:rPr>
                <w:rFonts w:ascii="David" w:hAnsi="David" w:cs="David" w:hint="eastAsia"/>
                <w:b/>
                <w:bCs/>
                <w:sz w:val="24"/>
                <w:szCs w:val="24"/>
                <w:rtl/>
              </w:rPr>
              <w:t>נתוני</w:t>
            </w:r>
            <w:r w:rsidRPr="00364D79">
              <w:rPr>
                <w:rFonts w:ascii="David" w:hAnsi="David" w:cs="David"/>
                <w:b/>
                <w:bCs/>
                <w:sz w:val="24"/>
                <w:szCs w:val="24"/>
                <w:rtl/>
              </w:rPr>
              <w:t xml:space="preserve"> </w:t>
            </w:r>
            <w:r w:rsidRPr="00364D79">
              <w:rPr>
                <w:rFonts w:ascii="David" w:hAnsi="David" w:cs="David" w:hint="eastAsia"/>
                <w:b/>
                <w:bCs/>
                <w:sz w:val="24"/>
                <w:szCs w:val="24"/>
                <w:rtl/>
              </w:rPr>
              <w:t>אשראי</w:t>
            </w:r>
            <w:r w:rsidRPr="00364D79">
              <w:rPr>
                <w:rFonts w:ascii="David" w:hAnsi="David" w:cs="David"/>
                <w:b/>
                <w:bCs/>
                <w:sz w:val="24"/>
                <w:szCs w:val="24"/>
                <w:rtl/>
              </w:rPr>
              <w:t xml:space="preserve"> </w:t>
            </w:r>
            <w:r w:rsidRPr="00364D79">
              <w:rPr>
                <w:rFonts w:ascii="David" w:hAnsi="David" w:cs="David" w:hint="eastAsia"/>
                <w:b/>
                <w:bCs/>
                <w:sz w:val="24"/>
                <w:szCs w:val="24"/>
                <w:rtl/>
              </w:rPr>
              <w:t>ועיבודי</w:t>
            </w:r>
            <w:r w:rsidRPr="00364D79">
              <w:rPr>
                <w:rFonts w:ascii="David" w:hAnsi="David" w:cs="David"/>
                <w:b/>
                <w:bCs/>
                <w:sz w:val="24"/>
                <w:szCs w:val="24"/>
                <w:rtl/>
              </w:rPr>
              <w:t xml:space="preserve"> </w:t>
            </w:r>
            <w:r w:rsidRPr="00364D79">
              <w:rPr>
                <w:rFonts w:ascii="David" w:hAnsi="David" w:cs="David" w:hint="eastAsia"/>
                <w:b/>
                <w:bCs/>
                <w:sz w:val="24"/>
                <w:szCs w:val="24"/>
                <w:rtl/>
              </w:rPr>
              <w:t>בנק</w:t>
            </w:r>
            <w:r w:rsidRPr="00364D79">
              <w:rPr>
                <w:rFonts w:ascii="David" w:hAnsi="David" w:cs="David"/>
                <w:b/>
                <w:bCs/>
                <w:sz w:val="24"/>
                <w:szCs w:val="24"/>
                <w:rtl/>
              </w:rPr>
              <w:t xml:space="preserve"> </w:t>
            </w:r>
            <w:r w:rsidRPr="00364D79">
              <w:rPr>
                <w:rFonts w:ascii="David" w:hAnsi="David" w:cs="David" w:hint="eastAsia"/>
                <w:b/>
                <w:bCs/>
                <w:sz w:val="24"/>
                <w:szCs w:val="24"/>
                <w:rtl/>
              </w:rPr>
              <w:t>ישראל</w:t>
            </w:r>
          </w:p>
        </w:tc>
      </w:tr>
    </w:tbl>
    <w:p w:rsidR="00D92A89" w:rsidRDefault="00D92A89" w:rsidP="00BE0977">
      <w:pPr>
        <w:pStyle w:val="ae"/>
        <w:bidi/>
        <w:spacing w:line="360" w:lineRule="auto"/>
        <w:ind w:left="776"/>
        <w:jc w:val="both"/>
        <w:rPr>
          <w:rFonts w:ascii="David" w:hAnsi="David" w:cs="David"/>
          <w:sz w:val="24"/>
          <w:szCs w:val="24"/>
          <w:highlight w:val="yellow"/>
          <w:rtl/>
        </w:rPr>
      </w:pPr>
    </w:p>
    <w:p w:rsidR="005B5DDC" w:rsidRDefault="005B5DDC" w:rsidP="00DB2B8D">
      <w:pPr>
        <w:pStyle w:val="ae"/>
        <w:bidi/>
        <w:spacing w:line="360" w:lineRule="auto"/>
        <w:ind w:left="776"/>
        <w:jc w:val="both"/>
        <w:rPr>
          <w:rFonts w:ascii="David" w:hAnsi="David" w:cs="David"/>
          <w:sz w:val="24"/>
          <w:szCs w:val="24"/>
          <w:rtl/>
        </w:rPr>
      </w:pPr>
    </w:p>
    <w:tbl>
      <w:tblPr>
        <w:tblStyle w:val="af7"/>
        <w:bidiVisual/>
        <w:tblW w:w="0" w:type="auto"/>
        <w:tblInd w:w="1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7"/>
      </w:tblGrid>
      <w:tr w:rsidR="00635A30" w:rsidRPr="00F61FE7" w:rsidTr="00D60999">
        <w:tc>
          <w:tcPr>
            <w:tcW w:w="6377" w:type="dxa"/>
          </w:tcPr>
          <w:p w:rsidR="00635A30" w:rsidRPr="00635A30" w:rsidRDefault="00CC690D" w:rsidP="00635A30">
            <w:pPr>
              <w:jc w:val="center"/>
              <w:rPr>
                <w:b/>
                <w:bCs/>
                <w:rtl/>
              </w:rPr>
            </w:pPr>
            <w:r>
              <w:rPr>
                <w:rFonts w:ascii="David" w:hAnsi="David" w:cs="David" w:hint="cs"/>
                <w:b/>
                <w:bCs/>
                <w:sz w:val="24"/>
                <w:szCs w:val="24"/>
                <w:rtl/>
              </w:rPr>
              <w:t xml:space="preserve">איור 2: </w:t>
            </w:r>
            <w:r w:rsidR="00635A30" w:rsidRPr="00635A30">
              <w:rPr>
                <w:rFonts w:ascii="David" w:hAnsi="David" w:cs="David" w:hint="cs"/>
                <w:b/>
                <w:bCs/>
                <w:sz w:val="24"/>
                <w:szCs w:val="24"/>
                <w:rtl/>
              </w:rPr>
              <w:t>התפלגות דירוגי אשראי צרכני</w:t>
            </w:r>
            <w:r w:rsidR="00635A30">
              <w:rPr>
                <w:rFonts w:ascii="David" w:hAnsi="David" w:cs="David" w:hint="cs"/>
                <w:b/>
                <w:bCs/>
                <w:sz w:val="24"/>
                <w:szCs w:val="24"/>
                <w:rtl/>
              </w:rPr>
              <w:t>, שנת</w:t>
            </w:r>
            <w:r w:rsidR="00635A30" w:rsidRPr="00635A30">
              <w:rPr>
                <w:rFonts w:ascii="David" w:hAnsi="David" w:cs="David" w:hint="cs"/>
                <w:b/>
                <w:bCs/>
                <w:sz w:val="24"/>
                <w:szCs w:val="24"/>
                <w:rtl/>
              </w:rPr>
              <w:t xml:space="preserve"> 2022</w:t>
            </w:r>
          </w:p>
        </w:tc>
      </w:tr>
      <w:tr w:rsidR="00635A30" w:rsidRPr="00F61FE7" w:rsidTr="00D60999">
        <w:tc>
          <w:tcPr>
            <w:tcW w:w="6377" w:type="dxa"/>
          </w:tcPr>
          <w:p w:rsidR="00635A30" w:rsidRPr="004D4E8E" w:rsidRDefault="00635A30" w:rsidP="00514A95">
            <w:pPr>
              <w:rPr>
                <w:szCs w:val="22"/>
                <w:rtl/>
              </w:rPr>
            </w:pPr>
            <w:r>
              <w:rPr>
                <w:noProof/>
                <w:szCs w:val="22"/>
                <w:lang w:eastAsia="en-US"/>
              </w:rPr>
              <w:drawing>
                <wp:inline distT="0" distB="0" distL="0" distR="0" wp14:anchorId="1CC926AD" wp14:editId="6BDD7E35">
                  <wp:extent cx="3912461" cy="2557901"/>
                  <wp:effectExtent l="0" t="0" r="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21284" cy="2563669"/>
                          </a:xfrm>
                          <a:prstGeom prst="rect">
                            <a:avLst/>
                          </a:prstGeom>
                          <a:noFill/>
                        </pic:spPr>
                      </pic:pic>
                    </a:graphicData>
                  </a:graphic>
                </wp:inline>
              </w:drawing>
            </w:r>
          </w:p>
        </w:tc>
      </w:tr>
      <w:tr w:rsidR="00635A30" w:rsidRPr="00635A30" w:rsidTr="00D60999">
        <w:trPr>
          <w:trHeight w:val="692"/>
        </w:trPr>
        <w:tc>
          <w:tcPr>
            <w:tcW w:w="6377" w:type="dxa"/>
            <w:shd w:val="clear" w:color="auto" w:fill="DBE5F1" w:themeFill="accent1" w:themeFillTint="33"/>
          </w:tcPr>
          <w:p w:rsidR="00635A30" w:rsidRPr="00635A30" w:rsidRDefault="00635A30" w:rsidP="00635A30">
            <w:pPr>
              <w:bidi/>
              <w:rPr>
                <w:rFonts w:ascii="David" w:hAnsi="David" w:cs="David"/>
                <w:b/>
                <w:bCs/>
                <w:sz w:val="22"/>
                <w:szCs w:val="22"/>
                <w:rtl/>
              </w:rPr>
            </w:pPr>
            <w:r w:rsidRPr="00635A30">
              <w:rPr>
                <w:rFonts w:ascii="David" w:hAnsi="David" w:cs="David"/>
                <w:b/>
                <w:bCs/>
                <w:sz w:val="22"/>
                <w:szCs w:val="22"/>
                <w:rtl/>
              </w:rPr>
              <w:t xml:space="preserve">המקור: עיבודי בנק ישראל, ממוצע בין שתי לשכות האשראי </w:t>
            </w:r>
            <w:r w:rsidRPr="00635A30">
              <w:rPr>
                <w:rFonts w:ascii="David" w:hAnsi="David" w:cs="David"/>
                <w:b/>
                <w:bCs/>
                <w:sz w:val="22"/>
                <w:szCs w:val="22"/>
              </w:rPr>
              <w:t>BDI</w:t>
            </w:r>
            <w:r w:rsidRPr="00635A30">
              <w:rPr>
                <w:rFonts w:ascii="David" w:hAnsi="David" w:cs="David"/>
                <w:b/>
                <w:bCs/>
                <w:sz w:val="22"/>
                <w:szCs w:val="22"/>
                <w:rtl/>
              </w:rPr>
              <w:t xml:space="preserve"> ו-</w:t>
            </w:r>
            <w:r w:rsidRPr="00635A30">
              <w:rPr>
                <w:rFonts w:ascii="David" w:hAnsi="David" w:cs="David"/>
                <w:b/>
                <w:bCs/>
                <w:sz w:val="22"/>
                <w:szCs w:val="22"/>
              </w:rPr>
              <w:t>D&amp;B</w:t>
            </w:r>
          </w:p>
          <w:p w:rsidR="00635A30" w:rsidRPr="00D60999" w:rsidRDefault="00D60999" w:rsidP="00D60999">
            <w:pPr>
              <w:tabs>
                <w:tab w:val="left" w:pos="567"/>
                <w:tab w:val="left" w:pos="1134"/>
                <w:tab w:val="left" w:pos="1814"/>
                <w:tab w:val="left" w:pos="2665"/>
              </w:tabs>
              <w:bidi/>
              <w:rPr>
                <w:rFonts w:ascii="David" w:hAnsi="David" w:cs="David"/>
                <w:sz w:val="22"/>
                <w:szCs w:val="22"/>
                <w:rtl/>
              </w:rPr>
            </w:pPr>
            <w:r>
              <w:rPr>
                <w:rFonts w:ascii="David" w:hAnsi="David" w:cs="David" w:hint="cs"/>
                <w:sz w:val="22"/>
                <w:szCs w:val="22"/>
                <w:rtl/>
              </w:rPr>
              <w:t>*</w:t>
            </w:r>
            <w:r w:rsidR="00635A30" w:rsidRPr="00D60999">
              <w:rPr>
                <w:rFonts w:ascii="David" w:hAnsi="David" w:cs="David"/>
                <w:sz w:val="22"/>
                <w:szCs w:val="22"/>
                <w:rtl/>
              </w:rPr>
              <w:t xml:space="preserve">התפלגות הדירוגים היא עבור הדירוגים בפועל נכון לסוף שנת 2022 למעט לקוחות שלא דורגו כלל. </w:t>
            </w:r>
          </w:p>
        </w:tc>
      </w:tr>
    </w:tbl>
    <w:p w:rsidR="00635A30" w:rsidRPr="00635A30" w:rsidRDefault="00635A30" w:rsidP="00635A30">
      <w:pPr>
        <w:pStyle w:val="ae"/>
        <w:bidi/>
        <w:spacing w:line="360" w:lineRule="auto"/>
        <w:ind w:left="776"/>
        <w:rPr>
          <w:rFonts w:ascii="David" w:hAnsi="David" w:cs="David"/>
          <w:sz w:val="24"/>
          <w:szCs w:val="24"/>
          <w:rtl/>
        </w:rPr>
      </w:pPr>
    </w:p>
    <w:p w:rsidR="00BE0977" w:rsidRDefault="00B912F9" w:rsidP="00E01880">
      <w:pPr>
        <w:pStyle w:val="ae"/>
        <w:numPr>
          <w:ilvl w:val="0"/>
          <w:numId w:val="8"/>
        </w:numPr>
        <w:bidi/>
        <w:spacing w:line="360" w:lineRule="auto"/>
        <w:jc w:val="both"/>
        <w:rPr>
          <w:rFonts w:ascii="David" w:hAnsi="David" w:cs="David"/>
          <w:sz w:val="24"/>
          <w:szCs w:val="24"/>
        </w:rPr>
      </w:pPr>
      <w:r w:rsidRPr="00CC690D">
        <w:rPr>
          <w:rFonts w:ascii="David" w:hAnsi="David" w:cs="David"/>
          <w:b/>
          <w:bCs/>
          <w:sz w:val="24"/>
          <w:szCs w:val="24"/>
          <w:rtl/>
        </w:rPr>
        <w:t>מאז הקמת המערכת</w:t>
      </w:r>
      <w:r w:rsidR="00BE0977" w:rsidRPr="00CC690D">
        <w:rPr>
          <w:rFonts w:ascii="David" w:hAnsi="David" w:cs="David" w:hint="cs"/>
          <w:b/>
          <w:bCs/>
          <w:sz w:val="24"/>
          <w:szCs w:val="24"/>
          <w:rtl/>
        </w:rPr>
        <w:t xml:space="preserve"> כ-</w:t>
      </w:r>
      <w:r w:rsidR="00D92A89" w:rsidRPr="00CC690D">
        <w:rPr>
          <w:rFonts w:ascii="David" w:hAnsi="David" w:cs="David" w:hint="cs"/>
          <w:b/>
          <w:bCs/>
          <w:sz w:val="24"/>
          <w:szCs w:val="24"/>
          <w:rtl/>
        </w:rPr>
        <w:t>330</w:t>
      </w:r>
      <w:r w:rsidR="00BE0977" w:rsidRPr="00CC690D">
        <w:rPr>
          <w:rFonts w:ascii="David" w:hAnsi="David" w:cs="David" w:hint="cs"/>
          <w:b/>
          <w:bCs/>
          <w:sz w:val="24"/>
          <w:szCs w:val="24"/>
          <w:rtl/>
        </w:rPr>
        <w:t xml:space="preserve">,000 </w:t>
      </w:r>
      <w:r w:rsidR="00E01880" w:rsidRPr="00CC690D">
        <w:rPr>
          <w:rFonts w:ascii="David" w:hAnsi="David" w:cs="David" w:hint="cs"/>
          <w:b/>
          <w:bCs/>
          <w:sz w:val="24"/>
          <w:szCs w:val="24"/>
          <w:rtl/>
        </w:rPr>
        <w:t xml:space="preserve">לקוחות </w:t>
      </w:r>
      <w:r w:rsidRPr="00CC690D">
        <w:rPr>
          <w:rFonts w:ascii="David" w:hAnsi="David" w:cs="David" w:hint="cs"/>
          <w:b/>
          <w:bCs/>
          <w:sz w:val="24"/>
          <w:szCs w:val="24"/>
          <w:rtl/>
        </w:rPr>
        <w:t xml:space="preserve">ביקשו לקבל מהמערכת </w:t>
      </w:r>
      <w:r w:rsidR="00BE0977" w:rsidRPr="00CC690D">
        <w:rPr>
          <w:rFonts w:ascii="David" w:hAnsi="David" w:cs="David" w:hint="cs"/>
          <w:b/>
          <w:bCs/>
          <w:sz w:val="24"/>
          <w:szCs w:val="24"/>
          <w:rtl/>
        </w:rPr>
        <w:t>את</w:t>
      </w:r>
      <w:r w:rsidR="00BE0977" w:rsidRPr="00125B6A">
        <w:rPr>
          <w:rFonts w:ascii="David" w:hAnsi="David" w:cs="David" w:hint="cs"/>
          <w:sz w:val="24"/>
          <w:szCs w:val="24"/>
          <w:rtl/>
        </w:rPr>
        <w:t xml:space="preserve"> </w:t>
      </w:r>
      <w:hyperlink r:id="rId14" w:history="1">
        <w:r w:rsidR="00BE0977" w:rsidRPr="00125B6A">
          <w:rPr>
            <w:rStyle w:val="Hyperlink"/>
            <w:rFonts w:ascii="David" w:hAnsi="David" w:cs="David" w:hint="cs"/>
            <w:sz w:val="24"/>
            <w:szCs w:val="24"/>
            <w:rtl/>
          </w:rPr>
          <w:t>דוח</w:t>
        </w:r>
        <w:r w:rsidR="00D92A89" w:rsidRPr="00125B6A">
          <w:rPr>
            <w:rStyle w:val="Hyperlink"/>
            <w:rFonts w:ascii="David" w:hAnsi="David" w:cs="David" w:hint="cs"/>
            <w:sz w:val="24"/>
            <w:szCs w:val="24"/>
            <w:rtl/>
          </w:rPr>
          <w:t>ות</w:t>
        </w:r>
        <w:r w:rsidR="00BE0977" w:rsidRPr="00125B6A">
          <w:rPr>
            <w:rStyle w:val="Hyperlink"/>
            <w:rFonts w:ascii="David" w:hAnsi="David" w:cs="David" w:hint="cs"/>
            <w:sz w:val="24"/>
            <w:szCs w:val="24"/>
            <w:rtl/>
          </w:rPr>
          <w:t xml:space="preserve"> </w:t>
        </w:r>
        <w:r w:rsidR="0032710B">
          <w:rPr>
            <w:rStyle w:val="Hyperlink"/>
            <w:rFonts w:ascii="David" w:hAnsi="David" w:cs="David" w:hint="cs"/>
            <w:sz w:val="24"/>
            <w:szCs w:val="24"/>
            <w:rtl/>
          </w:rPr>
          <w:t xml:space="preserve">נתוני </w:t>
        </w:r>
        <w:r w:rsidR="00BE0977" w:rsidRPr="00125B6A">
          <w:rPr>
            <w:rStyle w:val="Hyperlink"/>
            <w:rFonts w:ascii="David" w:hAnsi="David" w:cs="David" w:hint="cs"/>
            <w:sz w:val="24"/>
            <w:szCs w:val="24"/>
            <w:rtl/>
          </w:rPr>
          <w:t>האשראי שלהם</w:t>
        </w:r>
      </w:hyperlink>
      <w:r w:rsidR="00BE0977" w:rsidRPr="00125B6A">
        <w:rPr>
          <w:rFonts w:ascii="David" w:hAnsi="David" w:cs="David" w:hint="cs"/>
          <w:sz w:val="24"/>
          <w:szCs w:val="24"/>
          <w:rtl/>
        </w:rPr>
        <w:t xml:space="preserve">, </w:t>
      </w:r>
      <w:r w:rsidR="00D92A89" w:rsidRPr="00125B6A">
        <w:rPr>
          <w:rFonts w:ascii="David" w:hAnsi="David" w:cs="David" w:hint="cs"/>
          <w:sz w:val="24"/>
          <w:szCs w:val="24"/>
          <w:rtl/>
        </w:rPr>
        <w:t xml:space="preserve">שהם </w:t>
      </w:r>
      <w:r w:rsidR="00DA3ACC" w:rsidRPr="00125B6A">
        <w:rPr>
          <w:rFonts w:ascii="David" w:hAnsi="David" w:cs="David" w:hint="cs"/>
          <w:sz w:val="24"/>
          <w:szCs w:val="24"/>
          <w:rtl/>
        </w:rPr>
        <w:t>כ</w:t>
      </w:r>
      <w:r w:rsidR="00DA3ACC" w:rsidRPr="00125B6A">
        <w:rPr>
          <w:rFonts w:ascii="David" w:hAnsi="David" w:cs="David"/>
          <w:sz w:val="24"/>
          <w:szCs w:val="24"/>
        </w:rPr>
        <w:t>-</w:t>
      </w:r>
      <w:r w:rsidR="00125B6A" w:rsidRPr="00125B6A">
        <w:rPr>
          <w:rFonts w:ascii="David" w:hAnsi="David" w:cs="David" w:hint="cs"/>
          <w:sz w:val="24"/>
          <w:szCs w:val="24"/>
          <w:rtl/>
        </w:rPr>
        <w:t>560</w:t>
      </w:r>
      <w:r w:rsidR="00DA3ACC" w:rsidRPr="00125B6A">
        <w:rPr>
          <w:rFonts w:ascii="David" w:hAnsi="David" w:cs="David" w:hint="cs"/>
          <w:sz w:val="24"/>
          <w:szCs w:val="24"/>
          <w:rtl/>
        </w:rPr>
        <w:t xml:space="preserve"> </w:t>
      </w:r>
      <w:r w:rsidR="00DA3ACC">
        <w:rPr>
          <w:rFonts w:ascii="David" w:hAnsi="David" w:cs="David" w:hint="cs"/>
          <w:sz w:val="24"/>
          <w:szCs w:val="24"/>
          <w:rtl/>
        </w:rPr>
        <w:t xml:space="preserve">אלף </w:t>
      </w:r>
      <w:r w:rsidR="00D701A0">
        <w:rPr>
          <w:rFonts w:ascii="David" w:hAnsi="David" w:cs="David" w:hint="cs"/>
          <w:sz w:val="24"/>
          <w:szCs w:val="24"/>
          <w:rtl/>
        </w:rPr>
        <w:t>דוחות בארבע שנים</w:t>
      </w:r>
      <w:r w:rsidR="00125B6A">
        <w:rPr>
          <w:rFonts w:ascii="David" w:hAnsi="David" w:cs="David" w:hint="cs"/>
          <w:sz w:val="24"/>
          <w:szCs w:val="24"/>
          <w:rtl/>
        </w:rPr>
        <w:t>. בנוסף, 1.3 מיליון דוחות הועברו ללקוחות דרך לשכות האשראי</w:t>
      </w:r>
      <w:r w:rsidR="00D701A0">
        <w:rPr>
          <w:rFonts w:ascii="David" w:hAnsi="David" w:cs="David" w:hint="cs"/>
          <w:sz w:val="24"/>
          <w:szCs w:val="24"/>
          <w:rtl/>
        </w:rPr>
        <w:t xml:space="preserve">. </w:t>
      </w:r>
      <w:r w:rsidR="00BE0977">
        <w:rPr>
          <w:rFonts w:ascii="David" w:hAnsi="David" w:cs="David" w:hint="cs"/>
          <w:sz w:val="24"/>
          <w:szCs w:val="24"/>
          <w:rtl/>
        </w:rPr>
        <w:t xml:space="preserve">נתון זה מלמד על  </w:t>
      </w:r>
      <w:r w:rsidR="00623E13">
        <w:rPr>
          <w:rFonts w:ascii="David" w:hAnsi="David" w:cs="David" w:hint="cs"/>
          <w:sz w:val="24"/>
          <w:szCs w:val="24"/>
          <w:rtl/>
        </w:rPr>
        <w:t xml:space="preserve">מודעות גוברת </w:t>
      </w:r>
      <w:r w:rsidR="00BE0977">
        <w:rPr>
          <w:rFonts w:ascii="David" w:hAnsi="David" w:cs="David" w:hint="cs"/>
          <w:sz w:val="24"/>
          <w:szCs w:val="24"/>
          <w:rtl/>
        </w:rPr>
        <w:t xml:space="preserve">של אזרחי ישראל </w:t>
      </w:r>
      <w:r w:rsidR="00623E13">
        <w:rPr>
          <w:rFonts w:ascii="David" w:hAnsi="David" w:cs="David" w:hint="cs"/>
          <w:sz w:val="24"/>
          <w:szCs w:val="24"/>
          <w:rtl/>
        </w:rPr>
        <w:t>בחשיבות שיש למאגר</w:t>
      </w:r>
      <w:r w:rsidR="00BE0977">
        <w:rPr>
          <w:rFonts w:ascii="David" w:hAnsi="David" w:cs="David" w:hint="cs"/>
          <w:sz w:val="24"/>
          <w:szCs w:val="24"/>
          <w:rtl/>
        </w:rPr>
        <w:t xml:space="preserve"> ובמשמעויותיו.</w:t>
      </w:r>
      <w:r>
        <w:rPr>
          <w:rFonts w:ascii="David" w:hAnsi="David" w:cs="David" w:hint="cs"/>
          <w:sz w:val="24"/>
          <w:szCs w:val="24"/>
          <w:rtl/>
        </w:rPr>
        <w:t xml:space="preserve"> </w:t>
      </w:r>
    </w:p>
    <w:p w:rsidR="003958E7" w:rsidRDefault="00B912F9" w:rsidP="00CC690D">
      <w:pPr>
        <w:pStyle w:val="ae"/>
        <w:numPr>
          <w:ilvl w:val="0"/>
          <w:numId w:val="8"/>
        </w:numPr>
        <w:bidi/>
        <w:spacing w:line="360" w:lineRule="auto"/>
        <w:jc w:val="both"/>
        <w:rPr>
          <w:rFonts w:ascii="David" w:hAnsi="David" w:cs="David"/>
          <w:sz w:val="24"/>
          <w:szCs w:val="24"/>
        </w:rPr>
      </w:pPr>
      <w:r w:rsidRPr="00151EEA">
        <w:rPr>
          <w:rFonts w:ascii="David" w:hAnsi="David" w:cs="David" w:hint="cs"/>
          <w:sz w:val="24"/>
          <w:szCs w:val="24"/>
          <w:rtl/>
        </w:rPr>
        <w:t xml:space="preserve">נוכח ההשפעה שיש לנתוני האשראי המדווחים לבנק ישראל על יכולת לקוח לקבל אשראי ועל תנאי האשראי, בנק ישראל מקדיש משאבים רבים למתן מענה לשאלות הציבור  </w:t>
      </w:r>
      <w:r w:rsidRPr="00151EEA">
        <w:rPr>
          <w:rFonts w:ascii="David" w:hAnsi="David" w:cs="David" w:hint="cs"/>
          <w:sz w:val="24"/>
          <w:szCs w:val="24"/>
          <w:rtl/>
        </w:rPr>
        <w:lastRenderedPageBreak/>
        <w:t>ולבירור תלונותיו.</w:t>
      </w:r>
      <w:r w:rsidR="00E033A4" w:rsidRPr="009051F3">
        <w:rPr>
          <w:rFonts w:ascii="David" w:hAnsi="David" w:cs="David" w:hint="cs"/>
          <w:sz w:val="24"/>
          <w:szCs w:val="24"/>
          <w:rtl/>
        </w:rPr>
        <w:t xml:space="preserve"> </w:t>
      </w:r>
      <w:r w:rsidR="00E033A4" w:rsidRPr="00CC690D">
        <w:rPr>
          <w:rFonts w:ascii="David" w:hAnsi="David" w:cs="David" w:hint="cs"/>
          <w:b/>
          <w:bCs/>
          <w:sz w:val="24"/>
          <w:szCs w:val="24"/>
          <w:rtl/>
        </w:rPr>
        <w:t xml:space="preserve">בארבע השנים </w:t>
      </w:r>
      <w:r w:rsidR="00DA3ACC" w:rsidRPr="00CC690D">
        <w:rPr>
          <w:rFonts w:ascii="David" w:hAnsi="David" w:cs="David" w:hint="eastAsia"/>
          <w:b/>
          <w:bCs/>
          <w:sz w:val="24"/>
          <w:szCs w:val="24"/>
          <w:rtl/>
        </w:rPr>
        <w:t>האחרונות</w:t>
      </w:r>
      <w:r w:rsidR="00E033A4" w:rsidRPr="00CC690D">
        <w:rPr>
          <w:rFonts w:ascii="David" w:hAnsi="David" w:cs="David"/>
          <w:b/>
          <w:bCs/>
          <w:sz w:val="24"/>
          <w:szCs w:val="24"/>
          <w:rtl/>
        </w:rPr>
        <w:t xml:space="preserve"> טיפלה יחידת פניות הציבור של מערכת נתוני אשראי ב</w:t>
      </w:r>
      <w:r w:rsidR="00F52D2E" w:rsidRPr="00CC690D">
        <w:rPr>
          <w:rFonts w:ascii="David" w:hAnsi="David" w:cs="David" w:hint="eastAsia"/>
          <w:b/>
          <w:bCs/>
          <w:sz w:val="24"/>
          <w:szCs w:val="24"/>
          <w:rtl/>
        </w:rPr>
        <w:t>כ</w:t>
      </w:r>
      <w:r w:rsidR="00E033A4" w:rsidRPr="00CC690D">
        <w:rPr>
          <w:rFonts w:ascii="David" w:hAnsi="David" w:cs="David"/>
          <w:b/>
          <w:bCs/>
          <w:sz w:val="24"/>
          <w:szCs w:val="24"/>
          <w:rtl/>
        </w:rPr>
        <w:t>-</w:t>
      </w:r>
      <w:r w:rsidR="00125B6A" w:rsidRPr="00CC690D">
        <w:rPr>
          <w:rFonts w:ascii="David" w:hAnsi="David" w:cs="David"/>
          <w:b/>
          <w:bCs/>
          <w:sz w:val="24"/>
          <w:szCs w:val="24"/>
          <w:rtl/>
        </w:rPr>
        <w:t xml:space="preserve">90 </w:t>
      </w:r>
      <w:r w:rsidR="00125B6A" w:rsidRPr="00CC690D">
        <w:rPr>
          <w:rFonts w:ascii="David" w:hAnsi="David" w:cs="David" w:hint="eastAsia"/>
          <w:b/>
          <w:bCs/>
          <w:sz w:val="24"/>
          <w:szCs w:val="24"/>
          <w:rtl/>
        </w:rPr>
        <w:t>אלף</w:t>
      </w:r>
      <w:r w:rsidR="00E033A4" w:rsidRPr="00CC690D">
        <w:rPr>
          <w:rFonts w:ascii="David" w:hAnsi="David" w:cs="David"/>
          <w:b/>
          <w:bCs/>
          <w:sz w:val="24"/>
          <w:szCs w:val="24"/>
          <w:rtl/>
        </w:rPr>
        <w:t xml:space="preserve"> פניות</w:t>
      </w:r>
      <w:r w:rsidRPr="00CC690D">
        <w:rPr>
          <w:rFonts w:ascii="David" w:hAnsi="David" w:cs="David"/>
          <w:b/>
          <w:bCs/>
          <w:sz w:val="24"/>
          <w:szCs w:val="24"/>
          <w:rtl/>
        </w:rPr>
        <w:t xml:space="preserve"> בכתב וכן נתנה מענה טלפוני </w:t>
      </w:r>
      <w:r w:rsidR="00635A30" w:rsidRPr="00CC690D">
        <w:rPr>
          <w:rFonts w:ascii="David" w:hAnsi="David" w:cs="David" w:hint="cs"/>
          <w:b/>
          <w:bCs/>
          <w:sz w:val="24"/>
          <w:szCs w:val="24"/>
          <w:rtl/>
        </w:rPr>
        <w:t>לכ-</w:t>
      </w:r>
      <w:r w:rsidR="00CC690D" w:rsidRPr="00CC690D">
        <w:rPr>
          <w:rFonts w:ascii="David" w:hAnsi="David" w:cs="David" w:hint="cs"/>
          <w:b/>
          <w:bCs/>
          <w:sz w:val="24"/>
          <w:szCs w:val="24"/>
          <w:rtl/>
        </w:rPr>
        <w:t>500 אלף</w:t>
      </w:r>
      <w:r w:rsidRPr="00CC690D">
        <w:rPr>
          <w:rFonts w:ascii="David" w:hAnsi="David" w:cs="David"/>
          <w:b/>
          <w:bCs/>
          <w:sz w:val="24"/>
          <w:szCs w:val="24"/>
          <w:rtl/>
        </w:rPr>
        <w:t xml:space="preserve"> פניות</w:t>
      </w:r>
      <w:r w:rsidR="00E033A4" w:rsidRPr="00CC690D">
        <w:rPr>
          <w:rFonts w:ascii="David" w:hAnsi="David" w:cs="David"/>
          <w:b/>
          <w:bCs/>
          <w:sz w:val="24"/>
          <w:szCs w:val="24"/>
          <w:rtl/>
        </w:rPr>
        <w:t>.</w:t>
      </w:r>
      <w:r w:rsidR="00E033A4" w:rsidRPr="009051F3">
        <w:rPr>
          <w:rFonts w:ascii="David" w:hAnsi="David" w:cs="David"/>
          <w:sz w:val="24"/>
          <w:szCs w:val="24"/>
          <w:rtl/>
        </w:rPr>
        <w:t xml:space="preserve"> </w:t>
      </w:r>
      <w:r w:rsidR="00E033A4">
        <w:rPr>
          <w:rFonts w:ascii="David" w:hAnsi="David" w:cs="David" w:hint="cs"/>
          <w:sz w:val="24"/>
          <w:szCs w:val="24"/>
          <w:rtl/>
        </w:rPr>
        <w:t>לשם השוואה</w:t>
      </w:r>
      <w:r w:rsidR="00C77073">
        <w:rPr>
          <w:rFonts w:ascii="David" w:hAnsi="David" w:cs="David" w:hint="cs"/>
          <w:sz w:val="24"/>
          <w:szCs w:val="24"/>
          <w:rtl/>
        </w:rPr>
        <w:t xml:space="preserve"> ונוכח ההיכרות </w:t>
      </w:r>
      <w:r w:rsidR="0082246A">
        <w:rPr>
          <w:rFonts w:ascii="David" w:hAnsi="David" w:cs="David" w:hint="cs"/>
          <w:sz w:val="24"/>
          <w:szCs w:val="24"/>
          <w:rtl/>
        </w:rPr>
        <w:t>ה</w:t>
      </w:r>
      <w:r w:rsidR="00C77073">
        <w:rPr>
          <w:rFonts w:ascii="David" w:hAnsi="David" w:cs="David" w:hint="cs"/>
          <w:sz w:val="24"/>
          <w:szCs w:val="24"/>
          <w:rtl/>
        </w:rPr>
        <w:t>הולכת וגוברת</w:t>
      </w:r>
      <w:r w:rsidR="00A01F03">
        <w:rPr>
          <w:rFonts w:ascii="David" w:hAnsi="David" w:cs="David" w:hint="cs"/>
          <w:sz w:val="24"/>
          <w:szCs w:val="24"/>
          <w:rtl/>
        </w:rPr>
        <w:t xml:space="preserve"> של הציבור</w:t>
      </w:r>
      <w:r w:rsidR="00C77073">
        <w:rPr>
          <w:rFonts w:ascii="David" w:hAnsi="David" w:cs="David" w:hint="cs"/>
          <w:sz w:val="24"/>
          <w:szCs w:val="24"/>
          <w:rtl/>
        </w:rPr>
        <w:t xml:space="preserve"> עם המערכת</w:t>
      </w:r>
      <w:r w:rsidR="00E033A4">
        <w:rPr>
          <w:rFonts w:ascii="David" w:hAnsi="David" w:cs="David" w:hint="cs"/>
          <w:sz w:val="24"/>
          <w:szCs w:val="24"/>
          <w:rtl/>
        </w:rPr>
        <w:t xml:space="preserve">, בשנה הראשונה </w:t>
      </w:r>
      <w:r w:rsidR="00623E13">
        <w:rPr>
          <w:rFonts w:ascii="David" w:hAnsi="David" w:cs="David" w:hint="cs"/>
          <w:sz w:val="24"/>
          <w:szCs w:val="24"/>
          <w:rtl/>
        </w:rPr>
        <w:t xml:space="preserve">לפעילות </w:t>
      </w:r>
      <w:r w:rsidR="00E033A4">
        <w:rPr>
          <w:rFonts w:ascii="David" w:hAnsi="David" w:cs="David" w:hint="cs"/>
          <w:sz w:val="24"/>
          <w:szCs w:val="24"/>
          <w:rtl/>
        </w:rPr>
        <w:t xml:space="preserve">המערכת היו </w:t>
      </w:r>
      <w:r w:rsidR="00A01F03">
        <w:rPr>
          <w:rFonts w:ascii="David" w:hAnsi="David" w:cs="David" w:hint="cs"/>
          <w:sz w:val="24"/>
          <w:szCs w:val="24"/>
          <w:rtl/>
        </w:rPr>
        <w:t xml:space="preserve">בסה"כ </w:t>
      </w:r>
      <w:r w:rsidR="00E033A4">
        <w:rPr>
          <w:rFonts w:ascii="David" w:hAnsi="David" w:cs="David" w:hint="cs"/>
          <w:sz w:val="24"/>
          <w:szCs w:val="24"/>
          <w:rtl/>
        </w:rPr>
        <w:t>כמה מאות בודדות של פניות</w:t>
      </w:r>
      <w:r w:rsidR="00635A30">
        <w:rPr>
          <w:rFonts w:ascii="David" w:hAnsi="David" w:cs="David" w:hint="cs"/>
          <w:sz w:val="24"/>
          <w:szCs w:val="24"/>
          <w:rtl/>
        </w:rPr>
        <w:t xml:space="preserve"> מדי חודש</w:t>
      </w:r>
      <w:r w:rsidR="00E033A4">
        <w:rPr>
          <w:rFonts w:ascii="David" w:hAnsi="David" w:cs="David" w:hint="cs"/>
          <w:sz w:val="24"/>
          <w:szCs w:val="24"/>
          <w:rtl/>
        </w:rPr>
        <w:t>, לעומת הרבע</w:t>
      </w:r>
      <w:r w:rsidR="0082246A">
        <w:rPr>
          <w:rFonts w:ascii="David" w:hAnsi="David" w:cs="David" w:hint="cs"/>
          <w:sz w:val="24"/>
          <w:szCs w:val="24"/>
          <w:rtl/>
        </w:rPr>
        <w:t>ון</w:t>
      </w:r>
      <w:r w:rsidR="00E033A4">
        <w:rPr>
          <w:rFonts w:ascii="David" w:hAnsi="David" w:cs="David" w:hint="cs"/>
          <w:sz w:val="24"/>
          <w:szCs w:val="24"/>
          <w:rtl/>
        </w:rPr>
        <w:t xml:space="preserve"> הראשון של שנת 2023 </w:t>
      </w:r>
      <w:r w:rsidR="00635A30">
        <w:rPr>
          <w:rFonts w:ascii="David" w:hAnsi="David" w:cs="David" w:hint="cs"/>
          <w:sz w:val="24"/>
          <w:szCs w:val="24"/>
          <w:rtl/>
        </w:rPr>
        <w:t>בו התקבלו כ-5,300 פניות בכתב (מתוכן 2,383 בחודש מרץ האחרון)</w:t>
      </w:r>
      <w:r w:rsidR="00125B6A">
        <w:rPr>
          <w:rFonts w:ascii="David" w:hAnsi="David" w:cs="David" w:hint="cs"/>
          <w:sz w:val="24"/>
          <w:szCs w:val="24"/>
          <w:rtl/>
        </w:rPr>
        <w:t>.</w:t>
      </w:r>
    </w:p>
    <w:p w:rsidR="00B912F9" w:rsidRPr="00151EEA" w:rsidRDefault="00B912F9" w:rsidP="00635A30">
      <w:pPr>
        <w:pStyle w:val="ae"/>
        <w:bidi/>
        <w:spacing w:line="360" w:lineRule="auto"/>
        <w:ind w:left="776"/>
        <w:jc w:val="both"/>
        <w:rPr>
          <w:rFonts w:ascii="David" w:hAnsi="David" w:cs="David"/>
          <w:sz w:val="24"/>
          <w:szCs w:val="24"/>
          <w:rtl/>
        </w:rPr>
      </w:pPr>
    </w:p>
    <w:tbl>
      <w:tblPr>
        <w:tblStyle w:val="af7"/>
        <w:bidiVisual/>
        <w:tblW w:w="0" w:type="auto"/>
        <w:tblInd w:w="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4"/>
      </w:tblGrid>
      <w:tr w:rsidR="00475D92" w:rsidTr="00125B6A">
        <w:tc>
          <w:tcPr>
            <w:tcW w:w="6376" w:type="dxa"/>
          </w:tcPr>
          <w:p w:rsidR="00475D92" w:rsidRPr="00125B6A" w:rsidRDefault="00CC690D" w:rsidP="00125B6A">
            <w:pPr>
              <w:contextualSpacing/>
              <w:jc w:val="center"/>
              <w:rPr>
                <w:rFonts w:ascii="David" w:hAnsi="David" w:cs="David"/>
                <w:b/>
                <w:bCs/>
                <w:sz w:val="24"/>
                <w:szCs w:val="24"/>
              </w:rPr>
            </w:pPr>
            <w:r>
              <w:rPr>
                <w:rFonts w:ascii="David" w:hAnsi="David" w:cs="David" w:hint="cs"/>
                <w:b/>
                <w:bCs/>
                <w:sz w:val="24"/>
                <w:szCs w:val="24"/>
                <w:rtl/>
              </w:rPr>
              <w:t xml:space="preserve">איור 3: </w:t>
            </w:r>
            <w:r w:rsidR="00475D92" w:rsidRPr="00125B6A">
              <w:rPr>
                <w:rFonts w:ascii="David" w:hAnsi="David" w:cs="David" w:hint="cs"/>
                <w:b/>
                <w:bCs/>
                <w:sz w:val="24"/>
                <w:szCs w:val="24"/>
                <w:rtl/>
              </w:rPr>
              <w:t>מספר פניות הציבור</w:t>
            </w:r>
            <w:r w:rsidR="00125B6A" w:rsidRPr="00125B6A">
              <w:rPr>
                <w:rFonts w:ascii="David" w:hAnsi="David" w:cs="David" w:hint="cs"/>
                <w:b/>
                <w:bCs/>
                <w:sz w:val="24"/>
                <w:szCs w:val="24"/>
                <w:rtl/>
              </w:rPr>
              <w:t xml:space="preserve"> למערכת</w:t>
            </w:r>
            <w:r w:rsidR="00475D92" w:rsidRPr="00125B6A">
              <w:rPr>
                <w:rFonts w:ascii="David" w:hAnsi="David" w:cs="David" w:hint="cs"/>
                <w:b/>
                <w:bCs/>
                <w:sz w:val="24"/>
                <w:szCs w:val="24"/>
                <w:rtl/>
              </w:rPr>
              <w:t xml:space="preserve"> בחודש אפריל 2019 לעומת</w:t>
            </w:r>
            <w:r w:rsidR="00151EEA">
              <w:rPr>
                <w:rFonts w:ascii="David" w:hAnsi="David" w:cs="David" w:hint="cs"/>
                <w:b/>
                <w:bCs/>
                <w:sz w:val="24"/>
                <w:szCs w:val="24"/>
                <w:rtl/>
              </w:rPr>
              <w:t xml:space="preserve"> חודש</w:t>
            </w:r>
            <w:r w:rsidR="00475D92" w:rsidRPr="00125B6A">
              <w:rPr>
                <w:rFonts w:ascii="David" w:hAnsi="David" w:cs="David" w:hint="cs"/>
                <w:b/>
                <w:bCs/>
                <w:sz w:val="24"/>
                <w:szCs w:val="24"/>
                <w:rtl/>
              </w:rPr>
              <w:t xml:space="preserve"> מרץ 2023</w:t>
            </w:r>
          </w:p>
        </w:tc>
      </w:tr>
      <w:tr w:rsidR="00475D92" w:rsidTr="00125B6A">
        <w:trPr>
          <w:trHeight w:val="2694"/>
        </w:trPr>
        <w:tc>
          <w:tcPr>
            <w:tcW w:w="6376" w:type="dxa"/>
          </w:tcPr>
          <w:p w:rsidR="00475D92" w:rsidRPr="00781702" w:rsidRDefault="00DA3ACC" w:rsidP="00125B6A">
            <w:pPr>
              <w:contextualSpacing/>
              <w:jc w:val="center"/>
              <w:rPr>
                <w:highlight w:val="yellow"/>
              </w:rPr>
            </w:pPr>
            <w:r w:rsidRPr="00125B6A">
              <w:rPr>
                <w:noProof/>
                <w:lang w:eastAsia="en-US"/>
              </w:rPr>
              <w:drawing>
                <wp:inline distT="0" distB="0" distL="0" distR="0" wp14:anchorId="2C3CDEEF" wp14:editId="3641425A">
                  <wp:extent cx="3987151" cy="2189480"/>
                  <wp:effectExtent l="0" t="0" r="0" b="127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20636" cy="2207868"/>
                          </a:xfrm>
                          <a:prstGeom prst="rect">
                            <a:avLst/>
                          </a:prstGeom>
                          <a:noFill/>
                        </pic:spPr>
                      </pic:pic>
                    </a:graphicData>
                  </a:graphic>
                </wp:inline>
              </w:drawing>
            </w:r>
          </w:p>
        </w:tc>
      </w:tr>
      <w:tr w:rsidR="00475D92" w:rsidTr="00125B6A">
        <w:tc>
          <w:tcPr>
            <w:tcW w:w="6376" w:type="dxa"/>
            <w:shd w:val="clear" w:color="auto" w:fill="DBE5F1" w:themeFill="accent1" w:themeFillTint="33"/>
          </w:tcPr>
          <w:p w:rsidR="00475D92" w:rsidRPr="00D92A89" w:rsidRDefault="00475D92" w:rsidP="00475D92">
            <w:pPr>
              <w:contextualSpacing/>
              <w:jc w:val="right"/>
              <w:rPr>
                <w:b/>
                <w:bCs/>
                <w:szCs w:val="22"/>
                <w:rtl/>
              </w:rPr>
            </w:pPr>
            <w:r w:rsidRPr="007A63D1">
              <w:rPr>
                <w:rFonts w:ascii="David" w:hAnsi="David" w:cs="David" w:hint="cs"/>
                <w:b/>
                <w:bCs/>
                <w:sz w:val="24"/>
                <w:szCs w:val="24"/>
                <w:rtl/>
              </w:rPr>
              <w:t xml:space="preserve">המקור: </w:t>
            </w:r>
            <w:r>
              <w:rPr>
                <w:rFonts w:ascii="David" w:hAnsi="David" w:cs="David" w:hint="cs"/>
                <w:b/>
                <w:bCs/>
                <w:sz w:val="24"/>
                <w:szCs w:val="24"/>
                <w:rtl/>
              </w:rPr>
              <w:t>יחידת פניות הציבור של מערכת</w:t>
            </w:r>
            <w:r w:rsidRPr="007A63D1">
              <w:rPr>
                <w:rFonts w:ascii="David" w:hAnsi="David" w:cs="David" w:hint="cs"/>
                <w:b/>
                <w:bCs/>
                <w:sz w:val="24"/>
                <w:szCs w:val="24"/>
                <w:rtl/>
              </w:rPr>
              <w:t xml:space="preserve"> נתוני אשראי </w:t>
            </w:r>
            <w:r>
              <w:rPr>
                <w:rFonts w:ascii="David" w:hAnsi="David" w:cs="David" w:hint="cs"/>
                <w:b/>
                <w:bCs/>
                <w:sz w:val="24"/>
                <w:szCs w:val="24"/>
                <w:rtl/>
              </w:rPr>
              <w:t>ב</w:t>
            </w:r>
            <w:r w:rsidRPr="007A63D1">
              <w:rPr>
                <w:rFonts w:ascii="David" w:hAnsi="David" w:cs="David" w:hint="cs"/>
                <w:b/>
                <w:bCs/>
                <w:sz w:val="24"/>
                <w:szCs w:val="24"/>
                <w:rtl/>
              </w:rPr>
              <w:t>בנק ישראל</w:t>
            </w:r>
          </w:p>
        </w:tc>
      </w:tr>
    </w:tbl>
    <w:p w:rsidR="00475D92" w:rsidRPr="00475D92" w:rsidRDefault="00475D92" w:rsidP="00364D79">
      <w:pPr>
        <w:pStyle w:val="ae"/>
        <w:bidi/>
        <w:spacing w:line="360" w:lineRule="auto"/>
        <w:ind w:left="776"/>
        <w:jc w:val="both"/>
        <w:rPr>
          <w:rFonts w:ascii="David" w:hAnsi="David" w:cs="David"/>
          <w:sz w:val="24"/>
          <w:szCs w:val="24"/>
        </w:rPr>
      </w:pPr>
    </w:p>
    <w:p w:rsidR="005B5DDC" w:rsidRPr="00151EEA" w:rsidRDefault="00623E13" w:rsidP="00151EEA">
      <w:pPr>
        <w:pStyle w:val="ae"/>
        <w:numPr>
          <w:ilvl w:val="0"/>
          <w:numId w:val="8"/>
        </w:numPr>
        <w:bidi/>
        <w:spacing w:line="360" w:lineRule="auto"/>
        <w:ind w:left="720"/>
        <w:jc w:val="both"/>
        <w:rPr>
          <w:rFonts w:ascii="David" w:eastAsia="Calibri" w:hAnsi="David" w:cs="David"/>
          <w:sz w:val="24"/>
          <w:szCs w:val="24"/>
          <w:lang w:eastAsia="en-US"/>
        </w:rPr>
      </w:pPr>
      <w:r>
        <w:rPr>
          <w:rFonts w:ascii="David" w:eastAsia="Calibri" w:hAnsi="David" w:cs="David" w:hint="cs"/>
          <w:sz w:val="24"/>
          <w:szCs w:val="24"/>
          <w:rtl/>
          <w:lang w:eastAsia="en-US"/>
        </w:rPr>
        <w:t>ב</w:t>
      </w:r>
      <w:r w:rsidRPr="00151EEA">
        <w:rPr>
          <w:rFonts w:ascii="David" w:hAnsi="David" w:cs="David" w:hint="cs"/>
          <w:sz w:val="24"/>
          <w:szCs w:val="24"/>
          <w:rtl/>
        </w:rPr>
        <w:t xml:space="preserve">מחקר </w:t>
      </w:r>
      <w:r w:rsidR="00151EEA" w:rsidRPr="00151EEA">
        <w:rPr>
          <w:rFonts w:ascii="David" w:eastAsia="Calibri" w:hAnsi="David" w:cs="David" w:hint="cs"/>
          <w:sz w:val="24"/>
          <w:szCs w:val="24"/>
          <w:rtl/>
          <w:lang w:eastAsia="en-US"/>
        </w:rPr>
        <w:t xml:space="preserve">שמתפרסם היום </w:t>
      </w:r>
      <w:bookmarkStart w:id="0" w:name="_GoBack"/>
      <w:bookmarkEnd w:id="0"/>
      <w:r w:rsidR="00B912F9" w:rsidRPr="0079405B">
        <w:rPr>
          <w:rFonts w:ascii="David" w:hAnsi="David" w:cs="David" w:hint="cs"/>
          <w:sz w:val="24"/>
          <w:szCs w:val="24"/>
          <w:rtl/>
        </w:rPr>
        <w:t>(קישור</w:t>
      </w:r>
      <w:r w:rsidR="00B912F9" w:rsidRPr="00151EEA">
        <w:rPr>
          <w:rFonts w:ascii="David" w:hAnsi="David" w:cs="David" w:hint="cs"/>
          <w:sz w:val="24"/>
          <w:szCs w:val="24"/>
          <w:rtl/>
        </w:rPr>
        <w:t xml:space="preserve">) הבוחן </w:t>
      </w:r>
      <w:r w:rsidR="00B912F9" w:rsidRPr="00151EEA">
        <w:rPr>
          <w:rFonts w:ascii="David" w:hAnsi="David" w:cs="David"/>
          <w:sz w:val="24"/>
          <w:szCs w:val="24"/>
          <w:rtl/>
        </w:rPr>
        <w:t xml:space="preserve">את ההשפעה של מאגר </w:t>
      </w:r>
      <w:r w:rsidR="00B912F9" w:rsidRPr="00151EEA">
        <w:rPr>
          <w:rFonts w:ascii="David" w:hAnsi="David" w:cs="David" w:hint="cs"/>
          <w:sz w:val="24"/>
          <w:szCs w:val="24"/>
          <w:rtl/>
        </w:rPr>
        <w:t xml:space="preserve">נתוני </w:t>
      </w:r>
      <w:r w:rsidR="00B912F9" w:rsidRPr="00151EEA">
        <w:rPr>
          <w:rFonts w:ascii="David" w:hAnsi="David" w:cs="David"/>
          <w:sz w:val="24"/>
          <w:szCs w:val="24"/>
          <w:rtl/>
        </w:rPr>
        <w:t>אשראי</w:t>
      </w:r>
      <w:r w:rsidR="00B912F9" w:rsidRPr="00151EEA">
        <w:rPr>
          <w:rFonts w:ascii="David" w:hAnsi="David" w:cs="David" w:hint="cs"/>
          <w:sz w:val="24"/>
          <w:szCs w:val="24"/>
          <w:rtl/>
        </w:rPr>
        <w:t xml:space="preserve"> </w:t>
      </w:r>
      <w:r w:rsidR="00B912F9" w:rsidRPr="00151EEA">
        <w:rPr>
          <w:rFonts w:ascii="David" w:hAnsi="David" w:cs="David"/>
          <w:sz w:val="24"/>
          <w:szCs w:val="24"/>
          <w:rtl/>
        </w:rPr>
        <w:t>על קשרי הבנק עם לקוחותיו ובפרט על תמחור אשראי צרכני</w:t>
      </w:r>
      <w:r w:rsidR="00994B34" w:rsidRPr="00151EEA">
        <w:rPr>
          <w:rFonts w:ascii="David" w:hAnsi="David" w:cs="David" w:hint="cs"/>
          <w:sz w:val="24"/>
          <w:szCs w:val="24"/>
          <w:rtl/>
        </w:rPr>
        <w:t>.</w:t>
      </w:r>
      <w:r w:rsidR="00151EEA">
        <w:rPr>
          <w:rFonts w:ascii="David" w:eastAsia="Calibri" w:hAnsi="David" w:cs="David" w:hint="cs"/>
          <w:sz w:val="24"/>
          <w:szCs w:val="24"/>
          <w:rtl/>
          <w:lang w:eastAsia="en-US"/>
        </w:rPr>
        <w:t xml:space="preserve"> </w:t>
      </w:r>
      <w:r w:rsidR="005B5DDC" w:rsidRPr="00151EEA">
        <w:rPr>
          <w:rFonts w:ascii="David" w:eastAsia="Calibri" w:hAnsi="David" w:cs="David"/>
          <w:sz w:val="24"/>
          <w:szCs w:val="24"/>
          <w:rtl/>
          <w:lang w:eastAsia="en-US"/>
        </w:rPr>
        <w:t xml:space="preserve">נמצא </w:t>
      </w:r>
      <w:r w:rsidR="005B5DDC" w:rsidRPr="00CC690D">
        <w:rPr>
          <w:rFonts w:ascii="David" w:eastAsia="Calibri" w:hAnsi="David" w:cs="David"/>
          <w:b/>
          <w:bCs/>
          <w:sz w:val="24"/>
          <w:szCs w:val="24"/>
          <w:rtl/>
          <w:lang w:eastAsia="en-US"/>
        </w:rPr>
        <w:t xml:space="preserve">שלפני הקמת </w:t>
      </w:r>
      <w:r w:rsidR="00994B34" w:rsidRPr="00CC690D">
        <w:rPr>
          <w:rFonts w:ascii="David" w:eastAsia="Calibri" w:hAnsi="David" w:cs="David" w:hint="cs"/>
          <w:b/>
          <w:bCs/>
          <w:sz w:val="24"/>
          <w:szCs w:val="24"/>
          <w:rtl/>
          <w:lang w:eastAsia="en-US"/>
        </w:rPr>
        <w:t>המערכת</w:t>
      </w:r>
      <w:r w:rsidR="005B5DDC" w:rsidRPr="00CC690D">
        <w:rPr>
          <w:rFonts w:ascii="David" w:eastAsia="Calibri" w:hAnsi="David" w:cs="David"/>
          <w:b/>
          <w:bCs/>
          <w:sz w:val="24"/>
          <w:szCs w:val="24"/>
          <w:rtl/>
          <w:lang w:eastAsia="en-US"/>
        </w:rPr>
        <w:t>, לקוחות אשר ניהלו חשבון עו"ש בבנק בודד (לקוחות בלעדיים) שילמו כ-0.4% יותר על אשראי צרכני לעומת לקוחות אשר ניהלו מספר חשבונות עו"ש בבנקים שונים</w:t>
      </w:r>
      <w:r w:rsidR="005B5DDC" w:rsidRPr="00151EEA">
        <w:rPr>
          <w:rFonts w:ascii="David" w:eastAsia="Calibri" w:hAnsi="David" w:cs="David"/>
          <w:sz w:val="24"/>
          <w:szCs w:val="24"/>
          <w:rtl/>
          <w:lang w:eastAsia="en-US"/>
        </w:rPr>
        <w:t>. כמו כן, לאחר הקמת מאגר נתוני אשראי פער זה בריביות הצטמצם באופן משמעותי</w:t>
      </w:r>
      <w:r w:rsidR="0082246A" w:rsidRPr="00151EEA">
        <w:rPr>
          <w:rFonts w:ascii="David" w:eastAsia="Calibri" w:hAnsi="David" w:cs="David" w:hint="cs"/>
          <w:sz w:val="24"/>
          <w:szCs w:val="24"/>
          <w:rtl/>
          <w:lang w:eastAsia="en-US"/>
        </w:rPr>
        <w:t>.</w:t>
      </w:r>
    </w:p>
    <w:p w:rsidR="000D0655" w:rsidRPr="009B638F" w:rsidRDefault="00B912F9" w:rsidP="00623E13">
      <w:pPr>
        <w:pStyle w:val="ae"/>
        <w:numPr>
          <w:ilvl w:val="0"/>
          <w:numId w:val="8"/>
        </w:numPr>
        <w:bidi/>
        <w:spacing w:line="360" w:lineRule="auto"/>
        <w:ind w:left="720"/>
        <w:jc w:val="both"/>
        <w:rPr>
          <w:rFonts w:ascii="David" w:eastAsia="Calibri" w:hAnsi="David" w:cs="David"/>
          <w:sz w:val="24"/>
          <w:szCs w:val="24"/>
          <w:lang w:eastAsia="en-US"/>
        </w:rPr>
      </w:pPr>
      <w:r w:rsidRPr="009B638F">
        <w:rPr>
          <w:rFonts w:ascii="David" w:eastAsia="Calibri" w:hAnsi="David" w:cs="David" w:hint="cs"/>
          <w:sz w:val="24"/>
          <w:szCs w:val="24"/>
          <w:rtl/>
          <w:lang w:eastAsia="en-US"/>
        </w:rPr>
        <w:t xml:space="preserve">נתוני המאגר הסטטיסטי מאפשרים לבנק ישראל לבצע את תפקידיו בצורה מיטבית, לצורך קבלת החלטות ולהמלצת מדיניות. נתונים אלו </w:t>
      </w:r>
      <w:r>
        <w:rPr>
          <w:rFonts w:ascii="David" w:eastAsia="Calibri" w:hAnsi="David" w:cs="David" w:hint="cs"/>
          <w:sz w:val="24"/>
          <w:szCs w:val="24"/>
          <w:rtl/>
          <w:lang w:eastAsia="en-US"/>
        </w:rPr>
        <w:t xml:space="preserve">משמשים </w:t>
      </w:r>
      <w:r w:rsidRPr="009B638F">
        <w:rPr>
          <w:rFonts w:ascii="David" w:eastAsia="Calibri" w:hAnsi="David" w:cs="David" w:hint="cs"/>
          <w:sz w:val="24"/>
          <w:szCs w:val="24"/>
          <w:rtl/>
          <w:lang w:eastAsia="en-US"/>
        </w:rPr>
        <w:t xml:space="preserve">את </w:t>
      </w:r>
      <w:r>
        <w:rPr>
          <w:rFonts w:ascii="David" w:eastAsia="Calibri" w:hAnsi="David" w:cs="David" w:hint="cs"/>
          <w:sz w:val="24"/>
          <w:szCs w:val="24"/>
          <w:rtl/>
          <w:lang w:eastAsia="en-US"/>
        </w:rPr>
        <w:t xml:space="preserve">בנק ישראל בגיבוש הצעות מדיניות לממשלה וכן </w:t>
      </w:r>
      <w:r w:rsidR="00623E13">
        <w:rPr>
          <w:rFonts w:ascii="David" w:eastAsia="Calibri" w:hAnsi="David" w:cs="David" w:hint="cs"/>
          <w:sz w:val="24"/>
          <w:szCs w:val="24"/>
          <w:rtl/>
          <w:lang w:eastAsia="en-US"/>
        </w:rPr>
        <w:t xml:space="preserve">מסייעים </w:t>
      </w:r>
      <w:r w:rsidR="00A01F03">
        <w:rPr>
          <w:rFonts w:ascii="David" w:eastAsia="Calibri" w:hAnsi="David" w:cs="David" w:hint="cs"/>
          <w:sz w:val="24"/>
          <w:szCs w:val="24"/>
          <w:rtl/>
          <w:lang w:eastAsia="en-US"/>
        </w:rPr>
        <w:t xml:space="preserve">גם </w:t>
      </w:r>
      <w:r w:rsidR="00623E13">
        <w:rPr>
          <w:rFonts w:ascii="David" w:eastAsia="Calibri" w:hAnsi="David" w:cs="David" w:hint="cs"/>
          <w:sz w:val="24"/>
          <w:szCs w:val="24"/>
          <w:rtl/>
          <w:lang w:eastAsia="en-US"/>
        </w:rPr>
        <w:t>ב</w:t>
      </w:r>
      <w:r>
        <w:rPr>
          <w:rFonts w:ascii="David" w:eastAsia="Calibri" w:hAnsi="David" w:cs="David" w:hint="cs"/>
          <w:sz w:val="24"/>
          <w:szCs w:val="24"/>
          <w:rtl/>
          <w:lang w:eastAsia="en-US"/>
        </w:rPr>
        <w:t xml:space="preserve">קבלת החלטות </w:t>
      </w:r>
      <w:r w:rsidR="00A01F03">
        <w:rPr>
          <w:rFonts w:ascii="David" w:eastAsia="Calibri" w:hAnsi="David" w:cs="David" w:hint="cs"/>
          <w:sz w:val="24"/>
          <w:szCs w:val="24"/>
          <w:rtl/>
          <w:lang w:eastAsia="en-US"/>
        </w:rPr>
        <w:t xml:space="preserve">המדיניות </w:t>
      </w:r>
      <w:r>
        <w:rPr>
          <w:rFonts w:ascii="David" w:eastAsia="Calibri" w:hAnsi="David" w:cs="David" w:hint="cs"/>
          <w:sz w:val="24"/>
          <w:szCs w:val="24"/>
          <w:rtl/>
          <w:lang w:eastAsia="en-US"/>
        </w:rPr>
        <w:t xml:space="preserve">על ידי הוועדה </w:t>
      </w:r>
      <w:r w:rsidRPr="009B638F">
        <w:rPr>
          <w:rFonts w:ascii="David" w:eastAsia="Calibri" w:hAnsi="David" w:cs="David" w:hint="cs"/>
          <w:sz w:val="24"/>
          <w:szCs w:val="24"/>
          <w:rtl/>
          <w:lang w:eastAsia="en-US"/>
        </w:rPr>
        <w:t>המוניטרית</w:t>
      </w:r>
      <w:r w:rsidR="00475D92" w:rsidRPr="009B638F">
        <w:rPr>
          <w:rFonts w:ascii="David" w:eastAsia="Calibri" w:hAnsi="David" w:cs="David" w:hint="cs"/>
          <w:sz w:val="24"/>
          <w:szCs w:val="24"/>
          <w:rtl/>
          <w:lang w:eastAsia="en-US"/>
        </w:rPr>
        <w:t xml:space="preserve">. </w:t>
      </w:r>
    </w:p>
    <w:p w:rsidR="00D60999" w:rsidRDefault="00D60999" w:rsidP="0067217B">
      <w:pPr>
        <w:bidi/>
        <w:spacing w:line="360" w:lineRule="auto"/>
        <w:ind w:left="416"/>
        <w:jc w:val="both"/>
        <w:rPr>
          <w:rFonts w:ascii="David" w:hAnsi="David" w:cs="David"/>
          <w:b/>
          <w:bCs/>
          <w:sz w:val="24"/>
          <w:szCs w:val="24"/>
          <w:rtl/>
        </w:rPr>
      </w:pPr>
    </w:p>
    <w:p w:rsidR="00531154" w:rsidRDefault="00B617B3" w:rsidP="00D60999">
      <w:pPr>
        <w:bidi/>
        <w:spacing w:line="360" w:lineRule="auto"/>
        <w:ind w:left="416"/>
        <w:jc w:val="both"/>
        <w:rPr>
          <w:rFonts w:ascii="David" w:hAnsi="David" w:cs="David"/>
          <w:sz w:val="24"/>
          <w:szCs w:val="24"/>
          <w:rtl/>
        </w:rPr>
      </w:pPr>
      <w:r w:rsidRPr="00B617B3">
        <w:rPr>
          <w:rFonts w:ascii="David" w:hAnsi="David" w:cs="David" w:hint="cs"/>
          <w:b/>
          <w:bCs/>
          <w:sz w:val="24"/>
          <w:szCs w:val="24"/>
          <w:rtl/>
        </w:rPr>
        <w:t>מנכ"לית</w:t>
      </w:r>
      <w:r w:rsidR="0067217B">
        <w:rPr>
          <w:rFonts w:ascii="David" w:hAnsi="David" w:cs="David" w:hint="cs"/>
          <w:b/>
          <w:bCs/>
          <w:sz w:val="24"/>
          <w:szCs w:val="24"/>
          <w:rtl/>
        </w:rPr>
        <w:t xml:space="preserve"> </w:t>
      </w:r>
      <w:r w:rsidR="0067217B" w:rsidRPr="000618DD">
        <w:rPr>
          <w:rFonts w:ascii="David" w:hAnsi="David" w:cs="David" w:hint="cs"/>
          <w:b/>
          <w:bCs/>
          <w:sz w:val="24"/>
          <w:szCs w:val="24"/>
          <w:rtl/>
        </w:rPr>
        <w:t>בנק ישראל</w:t>
      </w:r>
      <w:r w:rsidR="00A01F03" w:rsidRPr="000618DD">
        <w:rPr>
          <w:rFonts w:ascii="David" w:hAnsi="David" w:cs="David" w:hint="cs"/>
          <w:b/>
          <w:bCs/>
          <w:sz w:val="24"/>
          <w:szCs w:val="24"/>
          <w:rtl/>
        </w:rPr>
        <w:t>, שולמית גרי</w:t>
      </w:r>
      <w:r w:rsidR="0067217B" w:rsidRPr="000618DD">
        <w:rPr>
          <w:rFonts w:ascii="David" w:hAnsi="David" w:cs="David" w:hint="cs"/>
          <w:b/>
          <w:bCs/>
          <w:sz w:val="24"/>
          <w:szCs w:val="24"/>
          <w:rtl/>
        </w:rPr>
        <w:t>:</w:t>
      </w:r>
    </w:p>
    <w:p w:rsidR="003958E7" w:rsidRDefault="00531154" w:rsidP="000618DD">
      <w:pPr>
        <w:bidi/>
        <w:spacing w:line="360" w:lineRule="auto"/>
        <w:ind w:left="416"/>
        <w:jc w:val="both"/>
        <w:rPr>
          <w:rFonts w:ascii="David" w:hAnsi="David" w:cs="David"/>
          <w:sz w:val="24"/>
          <w:szCs w:val="24"/>
          <w:rtl/>
        </w:rPr>
      </w:pPr>
      <w:r>
        <w:rPr>
          <w:rFonts w:ascii="David" w:hAnsi="David" w:cs="David" w:hint="cs"/>
          <w:sz w:val="24"/>
          <w:szCs w:val="24"/>
          <w:rtl/>
        </w:rPr>
        <w:t>"</w:t>
      </w:r>
      <w:r w:rsidR="00B912F9">
        <w:rPr>
          <w:rFonts w:ascii="David" w:hAnsi="David" w:cs="David" w:hint="cs"/>
          <w:sz w:val="24"/>
          <w:szCs w:val="24"/>
          <w:rtl/>
        </w:rPr>
        <w:t xml:space="preserve">המערכת לשיתוף נתוני אשראי הוקמה  על פי חוק במטרה לקדם את התחרות בשוק האשראי בישראל ולהבטיח כי בידי גופים פיננסיים יהיה מידע רלוונטי לצורך קבלת החלטות אשראי מושכלות. התרחבות השימוש במאגר על ידי הגופים הפיננסיים </w:t>
      </w:r>
      <w:r w:rsidR="00151EEA">
        <w:rPr>
          <w:rFonts w:ascii="David" w:hAnsi="David" w:cs="David" w:hint="cs"/>
          <w:sz w:val="24"/>
          <w:szCs w:val="24"/>
          <w:rtl/>
        </w:rPr>
        <w:t>מוביל</w:t>
      </w:r>
      <w:r w:rsidR="00B912F9">
        <w:rPr>
          <w:rFonts w:ascii="David" w:hAnsi="David" w:cs="David" w:hint="cs"/>
          <w:sz w:val="24"/>
          <w:szCs w:val="24"/>
          <w:rtl/>
        </w:rPr>
        <w:t xml:space="preserve"> לקידום שוק האשראי </w:t>
      </w:r>
      <w:r w:rsidR="00151EEA">
        <w:rPr>
          <w:rFonts w:ascii="David" w:hAnsi="David" w:cs="David" w:hint="cs"/>
          <w:sz w:val="24"/>
          <w:szCs w:val="24"/>
          <w:rtl/>
        </w:rPr>
        <w:t>ה</w:t>
      </w:r>
      <w:r w:rsidR="00B912F9">
        <w:rPr>
          <w:rFonts w:ascii="David" w:hAnsi="David" w:cs="David" w:hint="cs"/>
          <w:sz w:val="24"/>
          <w:szCs w:val="24"/>
          <w:rtl/>
        </w:rPr>
        <w:t xml:space="preserve">קמעונאי </w:t>
      </w:r>
      <w:r w:rsidR="00151EEA">
        <w:rPr>
          <w:rFonts w:ascii="David" w:hAnsi="David" w:cs="David" w:hint="cs"/>
          <w:sz w:val="24"/>
          <w:szCs w:val="24"/>
          <w:rtl/>
        </w:rPr>
        <w:t>ולהפיכתו ל</w:t>
      </w:r>
      <w:r w:rsidR="00B912F9">
        <w:rPr>
          <w:rFonts w:ascii="David" w:hAnsi="David" w:cs="David" w:hint="cs"/>
          <w:sz w:val="24"/>
          <w:szCs w:val="24"/>
          <w:rtl/>
        </w:rPr>
        <w:t>תחרותי</w:t>
      </w:r>
      <w:r w:rsidR="00151EEA">
        <w:rPr>
          <w:rFonts w:ascii="David" w:hAnsi="David" w:cs="David" w:hint="cs"/>
          <w:sz w:val="24"/>
          <w:szCs w:val="24"/>
          <w:rtl/>
        </w:rPr>
        <w:t xml:space="preserve"> יותר</w:t>
      </w:r>
      <w:r w:rsidR="00B912F9">
        <w:rPr>
          <w:rFonts w:ascii="David" w:hAnsi="David" w:cs="David" w:hint="cs"/>
          <w:sz w:val="24"/>
          <w:szCs w:val="24"/>
          <w:rtl/>
        </w:rPr>
        <w:t>. למערכת חשיבות רבה גם לקידום התנהלות אשראי אחראית מצד הציבור ו</w:t>
      </w:r>
      <w:r w:rsidR="000618DD">
        <w:rPr>
          <w:rFonts w:ascii="David" w:hAnsi="David" w:cs="David" w:hint="cs"/>
          <w:sz w:val="24"/>
          <w:szCs w:val="24"/>
          <w:rtl/>
        </w:rPr>
        <w:t xml:space="preserve">למניעת מינוף יתר של משקי הבית. </w:t>
      </w:r>
      <w:r w:rsidR="00151EEA">
        <w:rPr>
          <w:rFonts w:ascii="David" w:hAnsi="David" w:cs="David" w:hint="cs"/>
          <w:sz w:val="24"/>
          <w:szCs w:val="24"/>
          <w:rtl/>
        </w:rPr>
        <w:t xml:space="preserve">כמו כן, </w:t>
      </w:r>
      <w:r w:rsidR="00B912F9">
        <w:rPr>
          <w:rFonts w:ascii="David" w:hAnsi="David" w:cs="David" w:hint="cs"/>
          <w:sz w:val="24"/>
          <w:szCs w:val="24"/>
          <w:rtl/>
        </w:rPr>
        <w:t xml:space="preserve">נתוני המאגר תומכים </w:t>
      </w:r>
      <w:r w:rsidR="009051F3">
        <w:rPr>
          <w:rFonts w:ascii="David" w:hAnsi="David" w:cs="David" w:hint="cs"/>
          <w:sz w:val="24"/>
          <w:szCs w:val="24"/>
          <w:rtl/>
        </w:rPr>
        <w:t>בבנק ישראל בקבלת החלטות המדיניות המוניטרית ו</w:t>
      </w:r>
      <w:r w:rsidR="00B912F9">
        <w:rPr>
          <w:rFonts w:ascii="David" w:hAnsi="David" w:cs="David" w:hint="cs"/>
          <w:sz w:val="24"/>
          <w:szCs w:val="24"/>
          <w:rtl/>
        </w:rPr>
        <w:t xml:space="preserve">בתהליכי קבלת החלטות במסגרת ביצוע תפקידיו </w:t>
      </w:r>
      <w:r w:rsidR="009051F3">
        <w:rPr>
          <w:rFonts w:ascii="David" w:hAnsi="David" w:cs="David" w:hint="cs"/>
          <w:sz w:val="24"/>
          <w:szCs w:val="24"/>
          <w:rtl/>
        </w:rPr>
        <w:t xml:space="preserve">האחרים </w:t>
      </w:r>
      <w:r w:rsidR="00B912F9">
        <w:rPr>
          <w:rFonts w:ascii="David" w:hAnsi="David" w:cs="David" w:hint="cs"/>
          <w:sz w:val="24"/>
          <w:szCs w:val="24"/>
          <w:rtl/>
        </w:rPr>
        <w:t>לרבות בתחום הייעוץ לממשלה והיציבות הפיננסית.</w:t>
      </w:r>
      <w:r w:rsidR="000618DD">
        <w:rPr>
          <w:rFonts w:ascii="David" w:hAnsi="David" w:cs="David" w:hint="cs"/>
          <w:sz w:val="24"/>
          <w:szCs w:val="24"/>
          <w:rtl/>
        </w:rPr>
        <w:t xml:space="preserve"> </w:t>
      </w:r>
      <w:r w:rsidR="00B912F9" w:rsidRPr="00531154">
        <w:rPr>
          <w:rFonts w:ascii="David" w:hAnsi="David" w:cs="David" w:hint="cs"/>
          <w:sz w:val="24"/>
          <w:szCs w:val="24"/>
          <w:rtl/>
        </w:rPr>
        <w:t xml:space="preserve">אנו </w:t>
      </w:r>
      <w:r w:rsidR="009051F3">
        <w:rPr>
          <w:rFonts w:ascii="David" w:hAnsi="David" w:cs="David" w:hint="cs"/>
          <w:sz w:val="24"/>
          <w:szCs w:val="24"/>
          <w:rtl/>
        </w:rPr>
        <w:t>ממשיכים לפעול ל</w:t>
      </w:r>
      <w:r w:rsidR="00B912F9" w:rsidRPr="00531154">
        <w:rPr>
          <w:rFonts w:ascii="David" w:hAnsi="David" w:cs="David" w:hint="cs"/>
          <w:sz w:val="24"/>
          <w:szCs w:val="24"/>
          <w:rtl/>
        </w:rPr>
        <w:t>ייע</w:t>
      </w:r>
      <w:r w:rsidR="009051F3">
        <w:rPr>
          <w:rFonts w:ascii="David" w:hAnsi="David" w:cs="David" w:hint="cs"/>
          <w:sz w:val="24"/>
          <w:szCs w:val="24"/>
          <w:rtl/>
        </w:rPr>
        <w:t>ו</w:t>
      </w:r>
      <w:r w:rsidR="00B912F9" w:rsidRPr="00531154">
        <w:rPr>
          <w:rFonts w:ascii="David" w:hAnsi="David" w:cs="David" w:hint="cs"/>
          <w:sz w:val="24"/>
          <w:szCs w:val="24"/>
          <w:rtl/>
        </w:rPr>
        <w:t>ל ולש</w:t>
      </w:r>
      <w:r w:rsidR="009051F3">
        <w:rPr>
          <w:rFonts w:ascii="David" w:hAnsi="David" w:cs="David" w:hint="cs"/>
          <w:sz w:val="24"/>
          <w:szCs w:val="24"/>
          <w:rtl/>
        </w:rPr>
        <w:t>י</w:t>
      </w:r>
      <w:r w:rsidR="00B912F9" w:rsidRPr="00531154">
        <w:rPr>
          <w:rFonts w:ascii="David" w:hAnsi="David" w:cs="David" w:hint="cs"/>
          <w:sz w:val="24"/>
          <w:szCs w:val="24"/>
          <w:rtl/>
        </w:rPr>
        <w:t>פ</w:t>
      </w:r>
      <w:r w:rsidR="009051F3">
        <w:rPr>
          <w:rFonts w:ascii="David" w:hAnsi="David" w:cs="David" w:hint="cs"/>
          <w:sz w:val="24"/>
          <w:szCs w:val="24"/>
          <w:rtl/>
        </w:rPr>
        <w:t>ו</w:t>
      </w:r>
      <w:r w:rsidR="00B912F9" w:rsidRPr="00531154">
        <w:rPr>
          <w:rFonts w:ascii="David" w:hAnsi="David" w:cs="David" w:hint="cs"/>
          <w:sz w:val="24"/>
          <w:szCs w:val="24"/>
          <w:rtl/>
        </w:rPr>
        <w:t>ר מערכת</w:t>
      </w:r>
      <w:r w:rsidR="009051F3">
        <w:rPr>
          <w:rFonts w:ascii="David" w:hAnsi="David" w:cs="David" w:hint="cs"/>
          <w:sz w:val="24"/>
          <w:szCs w:val="24"/>
          <w:rtl/>
        </w:rPr>
        <w:t xml:space="preserve"> נתוני אשראי</w:t>
      </w:r>
      <w:r w:rsidR="00B912F9" w:rsidRPr="00531154">
        <w:rPr>
          <w:rFonts w:ascii="David" w:hAnsi="David" w:cs="David" w:hint="cs"/>
          <w:sz w:val="24"/>
          <w:szCs w:val="24"/>
          <w:rtl/>
        </w:rPr>
        <w:t xml:space="preserve"> לטובת הציבור </w:t>
      </w:r>
      <w:r w:rsidR="00B912F9" w:rsidRPr="000618DD">
        <w:rPr>
          <w:rFonts w:ascii="David" w:hAnsi="David" w:cs="David" w:hint="cs"/>
          <w:sz w:val="24"/>
          <w:szCs w:val="24"/>
          <w:rtl/>
        </w:rPr>
        <w:t xml:space="preserve">ועל בסיס אותה תפיסה, אנו מקדמים גם את </w:t>
      </w:r>
      <w:r w:rsidR="000618DD" w:rsidRPr="000618DD">
        <w:rPr>
          <w:rFonts w:ascii="David" w:hAnsi="David" w:cs="David" w:hint="cs"/>
          <w:sz w:val="24"/>
          <w:szCs w:val="24"/>
          <w:rtl/>
        </w:rPr>
        <w:t xml:space="preserve">הקמת </w:t>
      </w:r>
      <w:r w:rsidR="00B912F9" w:rsidRPr="000618DD">
        <w:rPr>
          <w:rFonts w:ascii="David" w:hAnsi="David" w:cs="David" w:hint="cs"/>
          <w:sz w:val="24"/>
          <w:szCs w:val="24"/>
          <w:rtl/>
        </w:rPr>
        <w:t>מאגר נתוני האשראי העסקי</w:t>
      </w:r>
      <w:r w:rsidR="000618DD">
        <w:rPr>
          <w:rFonts w:ascii="David" w:hAnsi="David" w:cs="David" w:hint="cs"/>
          <w:sz w:val="24"/>
          <w:szCs w:val="24"/>
          <w:rtl/>
        </w:rPr>
        <w:t>.</w:t>
      </w:r>
      <w:r w:rsidR="00A10D69" w:rsidRPr="000618DD">
        <w:rPr>
          <w:rFonts w:ascii="David" w:hAnsi="David" w:cs="David" w:hint="cs"/>
          <w:sz w:val="24"/>
          <w:szCs w:val="24"/>
          <w:rtl/>
        </w:rPr>
        <w:t>"</w:t>
      </w:r>
    </w:p>
    <w:p w:rsidR="0067217B" w:rsidRDefault="0067217B" w:rsidP="00D6222B">
      <w:pPr>
        <w:bidi/>
        <w:spacing w:line="360" w:lineRule="auto"/>
        <w:ind w:left="416"/>
        <w:jc w:val="both"/>
        <w:rPr>
          <w:rFonts w:ascii="David" w:hAnsi="David" w:cs="David"/>
          <w:b/>
          <w:bCs/>
          <w:sz w:val="24"/>
          <w:szCs w:val="24"/>
          <w:rtl/>
        </w:rPr>
      </w:pPr>
    </w:p>
    <w:p w:rsidR="00315BF8" w:rsidRPr="000618DD" w:rsidRDefault="0067217B" w:rsidP="0067217B">
      <w:pPr>
        <w:bidi/>
        <w:spacing w:line="360" w:lineRule="auto"/>
        <w:ind w:left="416"/>
        <w:jc w:val="both"/>
        <w:rPr>
          <w:rFonts w:ascii="David" w:hAnsi="David" w:cs="David"/>
          <w:b/>
          <w:bCs/>
          <w:sz w:val="24"/>
          <w:szCs w:val="24"/>
          <w:rtl/>
        </w:rPr>
      </w:pPr>
      <w:r>
        <w:rPr>
          <w:rFonts w:ascii="David" w:hAnsi="David" w:cs="David" w:hint="cs"/>
          <w:b/>
          <w:bCs/>
          <w:sz w:val="24"/>
          <w:szCs w:val="24"/>
          <w:rtl/>
        </w:rPr>
        <w:t>ה</w:t>
      </w:r>
      <w:r w:rsidR="00315BF8">
        <w:rPr>
          <w:rFonts w:ascii="David" w:hAnsi="David" w:cs="David" w:hint="cs"/>
          <w:b/>
          <w:bCs/>
          <w:sz w:val="24"/>
          <w:szCs w:val="24"/>
          <w:rtl/>
        </w:rPr>
        <w:t xml:space="preserve">ממונה על שיתוף </w:t>
      </w:r>
      <w:r w:rsidR="00315BF8" w:rsidRPr="000618DD">
        <w:rPr>
          <w:rFonts w:ascii="David" w:hAnsi="David" w:cs="David" w:hint="cs"/>
          <w:b/>
          <w:bCs/>
          <w:sz w:val="24"/>
          <w:szCs w:val="24"/>
          <w:rtl/>
        </w:rPr>
        <w:t>בנתוני אשראי</w:t>
      </w:r>
      <w:r w:rsidR="00A01F03" w:rsidRPr="000618DD">
        <w:rPr>
          <w:rFonts w:ascii="David" w:hAnsi="David" w:cs="David" w:hint="cs"/>
          <w:b/>
          <w:bCs/>
          <w:sz w:val="24"/>
          <w:szCs w:val="24"/>
          <w:rtl/>
        </w:rPr>
        <w:t>, אייל חדד</w:t>
      </w:r>
      <w:r w:rsidR="00315BF8" w:rsidRPr="000618DD">
        <w:rPr>
          <w:rFonts w:ascii="David" w:hAnsi="David" w:cs="David" w:hint="cs"/>
          <w:b/>
          <w:bCs/>
          <w:sz w:val="24"/>
          <w:szCs w:val="24"/>
          <w:rtl/>
        </w:rPr>
        <w:t>:</w:t>
      </w:r>
    </w:p>
    <w:p w:rsidR="003856E3" w:rsidRPr="001363BB" w:rsidRDefault="00D6222B" w:rsidP="000618DD">
      <w:pPr>
        <w:bidi/>
        <w:spacing w:line="360" w:lineRule="auto"/>
        <w:ind w:left="416"/>
        <w:jc w:val="both"/>
        <w:rPr>
          <w:rFonts w:ascii="David" w:hAnsi="David" w:cs="David"/>
          <w:sz w:val="22"/>
          <w:szCs w:val="22"/>
          <w:rtl/>
        </w:rPr>
      </w:pPr>
      <w:r>
        <w:rPr>
          <w:rFonts w:ascii="David" w:hAnsi="David" w:cs="David" w:hint="cs"/>
          <w:sz w:val="24"/>
          <w:szCs w:val="24"/>
          <w:rtl/>
        </w:rPr>
        <w:lastRenderedPageBreak/>
        <w:t>"מאז הקמת המערכת פעלנו ונמשיך לפעול על מנת לשפר ולהעצים את תועלותי</w:t>
      </w:r>
      <w:r>
        <w:rPr>
          <w:rFonts w:ascii="David" w:hAnsi="David" w:cs="David" w:hint="eastAsia"/>
          <w:sz w:val="24"/>
          <w:szCs w:val="24"/>
          <w:rtl/>
        </w:rPr>
        <w:t>ה</w:t>
      </w:r>
      <w:r>
        <w:rPr>
          <w:rFonts w:ascii="David" w:hAnsi="David" w:cs="David" w:hint="cs"/>
          <w:sz w:val="24"/>
          <w:szCs w:val="24"/>
          <w:rtl/>
        </w:rPr>
        <w:t xml:space="preserve"> למען אזרחי מדינת ישראל.</w:t>
      </w:r>
      <w:r w:rsidR="000618DD">
        <w:rPr>
          <w:rFonts w:ascii="David" w:hAnsi="David" w:cs="David" w:hint="cs"/>
          <w:sz w:val="24"/>
          <w:szCs w:val="24"/>
          <w:rtl/>
        </w:rPr>
        <w:t xml:space="preserve"> </w:t>
      </w:r>
      <w:r>
        <w:rPr>
          <w:rFonts w:ascii="David" w:hAnsi="David" w:cs="David" w:hint="cs"/>
          <w:sz w:val="24"/>
          <w:szCs w:val="24"/>
          <w:rtl/>
        </w:rPr>
        <w:t>המערכת לשיתוף בנתוני אשראי מספקת לגופים הפיננסיים מידע שעל בסיסו יכולים להציע הצעות מיטיבות ללקוחותיהם</w:t>
      </w:r>
      <w:r w:rsidR="0067217B">
        <w:rPr>
          <w:rFonts w:ascii="David" w:hAnsi="David" w:cs="David" w:hint="cs"/>
          <w:sz w:val="24"/>
          <w:szCs w:val="24"/>
          <w:rtl/>
        </w:rPr>
        <w:t>.</w:t>
      </w:r>
      <w:r>
        <w:rPr>
          <w:rFonts w:ascii="David" w:hAnsi="David" w:cs="David" w:hint="cs"/>
          <w:sz w:val="24"/>
          <w:szCs w:val="24"/>
          <w:rtl/>
        </w:rPr>
        <w:t xml:space="preserve"> ללקוחות מספק</w:t>
      </w:r>
      <w:r w:rsidR="0067217B">
        <w:rPr>
          <w:rFonts w:ascii="David" w:hAnsi="David" w:cs="David" w:hint="cs"/>
          <w:sz w:val="24"/>
          <w:szCs w:val="24"/>
          <w:rtl/>
        </w:rPr>
        <w:t>ת המערכת</w:t>
      </w:r>
      <w:r>
        <w:rPr>
          <w:rFonts w:ascii="David" w:hAnsi="David" w:cs="David" w:hint="cs"/>
          <w:sz w:val="24"/>
          <w:szCs w:val="24"/>
          <w:rtl/>
        </w:rPr>
        <w:t xml:space="preserve"> כלי למינוף התנהלותם הפיננסית לכדי </w:t>
      </w:r>
      <w:r w:rsidR="0067217B">
        <w:rPr>
          <w:rFonts w:ascii="David" w:hAnsi="David" w:cs="David" w:hint="cs"/>
          <w:sz w:val="24"/>
          <w:szCs w:val="24"/>
          <w:rtl/>
        </w:rPr>
        <w:t>ל</w:t>
      </w:r>
      <w:r>
        <w:rPr>
          <w:rFonts w:ascii="David" w:hAnsi="David" w:cs="David" w:hint="cs"/>
          <w:sz w:val="24"/>
          <w:szCs w:val="24"/>
          <w:rtl/>
        </w:rPr>
        <w:t>שפר ו</w:t>
      </w:r>
      <w:r w:rsidR="0067217B">
        <w:rPr>
          <w:rFonts w:ascii="David" w:hAnsi="David" w:cs="David" w:hint="cs"/>
          <w:sz w:val="24"/>
          <w:szCs w:val="24"/>
          <w:rtl/>
        </w:rPr>
        <w:t>ל</w:t>
      </w:r>
      <w:r>
        <w:rPr>
          <w:rFonts w:ascii="David" w:hAnsi="David" w:cs="David" w:hint="cs"/>
          <w:sz w:val="24"/>
          <w:szCs w:val="24"/>
          <w:rtl/>
        </w:rPr>
        <w:t xml:space="preserve">מקסם </w:t>
      </w:r>
      <w:r w:rsidR="0067217B">
        <w:rPr>
          <w:rFonts w:ascii="David" w:hAnsi="David" w:cs="David" w:hint="cs"/>
          <w:sz w:val="24"/>
          <w:szCs w:val="24"/>
          <w:rtl/>
        </w:rPr>
        <w:t xml:space="preserve">את </w:t>
      </w:r>
      <w:r w:rsidR="00BE0977">
        <w:rPr>
          <w:rFonts w:ascii="David" w:hAnsi="David" w:cs="David" w:hint="cs"/>
          <w:sz w:val="24"/>
          <w:szCs w:val="24"/>
          <w:rtl/>
        </w:rPr>
        <w:t>הצעות האשראי הצר</w:t>
      </w:r>
      <w:r w:rsidR="0067217B">
        <w:rPr>
          <w:rFonts w:ascii="David" w:hAnsi="David" w:cs="David" w:hint="cs"/>
          <w:sz w:val="24"/>
          <w:szCs w:val="24"/>
          <w:rtl/>
        </w:rPr>
        <w:t>כני שמתקבלות מנותני האשראי</w:t>
      </w:r>
      <w:r w:rsidR="00BE0977">
        <w:rPr>
          <w:rFonts w:ascii="David" w:hAnsi="David" w:cs="David" w:hint="cs"/>
          <w:sz w:val="24"/>
          <w:szCs w:val="24"/>
          <w:rtl/>
        </w:rPr>
        <w:t>.</w:t>
      </w:r>
      <w:r w:rsidR="000618DD">
        <w:rPr>
          <w:rFonts w:ascii="David" w:hAnsi="David" w:cs="David" w:hint="cs"/>
          <w:sz w:val="24"/>
          <w:szCs w:val="24"/>
          <w:rtl/>
        </w:rPr>
        <w:t xml:space="preserve"> </w:t>
      </w:r>
      <w:r w:rsidR="0082246A" w:rsidRPr="0082246A">
        <w:rPr>
          <w:rFonts w:ascii="David" w:hAnsi="David" w:cs="David" w:hint="cs"/>
          <w:sz w:val="24"/>
          <w:szCs w:val="24"/>
          <w:rtl/>
        </w:rPr>
        <w:t xml:space="preserve">אנחנו פועלים ללא לאות על מנת להבטיח את אבטחת המידע, ההגנה על פרטיות הלקוחות ושמירה על עניינם של הלקוחות, הן באמצעות הוראות אסדרה רגולטוריות והן באמצעות </w:t>
      </w:r>
      <w:r w:rsidR="0082246A">
        <w:rPr>
          <w:rFonts w:ascii="David" w:hAnsi="David" w:cs="David" w:hint="cs"/>
          <w:sz w:val="24"/>
          <w:szCs w:val="24"/>
          <w:rtl/>
        </w:rPr>
        <w:t>פיקוח ובקרה ב</w:t>
      </w:r>
      <w:r w:rsidR="0082246A" w:rsidRPr="0082246A">
        <w:rPr>
          <w:rFonts w:ascii="David" w:hAnsi="David" w:cs="David" w:hint="cs"/>
          <w:sz w:val="24"/>
          <w:szCs w:val="24"/>
          <w:rtl/>
        </w:rPr>
        <w:t xml:space="preserve">תהליכי </w:t>
      </w:r>
      <w:r w:rsidR="0082246A" w:rsidRPr="0082246A">
        <w:rPr>
          <w:rFonts w:ascii="David" w:hAnsi="David" w:cs="David"/>
          <w:sz w:val="24"/>
          <w:szCs w:val="24"/>
          <w:rtl/>
        </w:rPr>
        <w:t xml:space="preserve">ניטור </w:t>
      </w:r>
      <w:r w:rsidR="0082246A">
        <w:rPr>
          <w:rFonts w:ascii="David" w:hAnsi="David" w:cs="David" w:hint="cs"/>
          <w:sz w:val="24"/>
          <w:szCs w:val="24"/>
          <w:rtl/>
        </w:rPr>
        <w:t>ו</w:t>
      </w:r>
      <w:r w:rsidR="0082246A" w:rsidRPr="0082246A">
        <w:rPr>
          <w:rFonts w:ascii="David" w:hAnsi="David" w:cs="David" w:hint="cs"/>
          <w:sz w:val="24"/>
          <w:szCs w:val="24"/>
          <w:rtl/>
        </w:rPr>
        <w:t xml:space="preserve">ביקורת כדי </w:t>
      </w:r>
      <w:r w:rsidR="0082246A" w:rsidRPr="0082246A">
        <w:rPr>
          <w:rFonts w:ascii="David" w:hAnsi="David" w:cs="David"/>
          <w:sz w:val="24"/>
          <w:szCs w:val="24"/>
          <w:rtl/>
        </w:rPr>
        <w:t>לבחון את נאותות ואפקטיביות תהלי</w:t>
      </w:r>
      <w:r w:rsidR="0082246A" w:rsidRPr="0082246A">
        <w:rPr>
          <w:rFonts w:ascii="David" w:hAnsi="David" w:cs="David" w:hint="cs"/>
          <w:sz w:val="24"/>
          <w:szCs w:val="24"/>
          <w:rtl/>
        </w:rPr>
        <w:t>כי</w:t>
      </w:r>
      <w:r w:rsidR="0082246A" w:rsidRPr="0082246A">
        <w:rPr>
          <w:rFonts w:ascii="David" w:hAnsi="David" w:cs="David"/>
          <w:sz w:val="24"/>
          <w:szCs w:val="24"/>
          <w:rtl/>
        </w:rPr>
        <w:t xml:space="preserve"> הדיווח</w:t>
      </w:r>
      <w:r w:rsidR="0082246A" w:rsidRPr="0082246A">
        <w:rPr>
          <w:rFonts w:ascii="David" w:hAnsi="David" w:cs="David" w:hint="cs"/>
          <w:sz w:val="24"/>
          <w:szCs w:val="24"/>
          <w:rtl/>
        </w:rPr>
        <w:t xml:space="preserve"> והשימוש בנתונים</w:t>
      </w:r>
      <w:r w:rsidR="0082246A">
        <w:rPr>
          <w:rFonts w:ascii="David" w:hAnsi="David" w:cs="David" w:hint="cs"/>
          <w:sz w:val="24"/>
          <w:szCs w:val="24"/>
          <w:rtl/>
        </w:rPr>
        <w:t>.</w:t>
      </w:r>
      <w:r w:rsidR="000618DD">
        <w:rPr>
          <w:rFonts w:ascii="David" w:hAnsi="David" w:cs="David" w:hint="cs"/>
          <w:sz w:val="24"/>
          <w:szCs w:val="24"/>
          <w:rtl/>
        </w:rPr>
        <w:t xml:space="preserve"> </w:t>
      </w:r>
      <w:r w:rsidR="00BE0977">
        <w:rPr>
          <w:rFonts w:ascii="David" w:hAnsi="David" w:cs="David" w:hint="cs"/>
          <w:sz w:val="24"/>
          <w:szCs w:val="24"/>
          <w:rtl/>
        </w:rPr>
        <w:t xml:space="preserve">אני גאה בהתפתחות המערכת ובהשפעתה </w:t>
      </w:r>
      <w:r w:rsidR="000618DD">
        <w:rPr>
          <w:rFonts w:ascii="David" w:hAnsi="David" w:cs="David" w:hint="cs"/>
          <w:sz w:val="24"/>
          <w:szCs w:val="24"/>
          <w:rtl/>
        </w:rPr>
        <w:t>החיובית על המשק</w:t>
      </w:r>
      <w:r w:rsidR="00BE0977">
        <w:rPr>
          <w:rFonts w:ascii="David" w:hAnsi="David" w:cs="David" w:hint="cs"/>
          <w:sz w:val="24"/>
          <w:szCs w:val="24"/>
          <w:rtl/>
        </w:rPr>
        <w:t xml:space="preserve"> ושמח ללוות את תהליך התפתחותה."</w:t>
      </w:r>
      <w:r>
        <w:rPr>
          <w:rFonts w:ascii="David" w:hAnsi="David" w:cs="David" w:hint="cs"/>
          <w:sz w:val="24"/>
          <w:szCs w:val="24"/>
          <w:rtl/>
        </w:rPr>
        <w:t xml:space="preserve"> </w:t>
      </w:r>
      <w:r w:rsidRPr="00531154">
        <w:rPr>
          <w:rFonts w:ascii="David" w:hAnsi="David" w:cs="David" w:hint="cs"/>
          <w:sz w:val="24"/>
          <w:szCs w:val="24"/>
          <w:rtl/>
        </w:rPr>
        <w:t xml:space="preserve"> </w:t>
      </w:r>
    </w:p>
    <w:sectPr w:rsidR="003856E3" w:rsidRPr="001363BB" w:rsidSect="00904A84">
      <w:headerReference w:type="even" r:id="rId16"/>
      <w:headerReference w:type="default" r:id="rId17"/>
      <w:headerReference w:type="first" r:id="rId18"/>
      <w:pgSz w:w="11906" w:h="16838"/>
      <w:pgMar w:top="1361" w:right="1758" w:bottom="1191" w:left="1758" w:header="709" w:footer="709"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4CCCBD" w16cid:durableId="23FB8F3D"/>
  <w16cid:commentId w16cid:paraId="39E723A7" w16cid:durableId="23FB8DDA"/>
  <w16cid:commentId w16cid:paraId="653A6ABB" w16cid:durableId="23FB8E1E"/>
  <w16cid:commentId w16cid:paraId="69F4E57D" w16cid:durableId="23FB8D66"/>
  <w16cid:commentId w16cid:paraId="26E9A6D6" w16cid:durableId="23FB60A4"/>
  <w16cid:commentId w16cid:paraId="6CB22546" w16cid:durableId="23FB60A5"/>
  <w16cid:commentId w16cid:paraId="094CDDDA" w16cid:durableId="23FB60A6"/>
  <w16cid:commentId w16cid:paraId="64E7AB91" w16cid:durableId="23FB60A7"/>
  <w16cid:commentId w16cid:paraId="26ADBC6F" w16cid:durableId="23FB60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16D" w:rsidRDefault="00CE316D" w:rsidP="00E5391B">
      <w:r>
        <w:separator/>
      </w:r>
    </w:p>
  </w:endnote>
  <w:endnote w:type="continuationSeparator" w:id="0">
    <w:p w:rsidR="00CE316D" w:rsidRDefault="00CE316D" w:rsidP="00E5391B">
      <w:r>
        <w:continuationSeparator/>
      </w:r>
    </w:p>
  </w:endnote>
  <w:endnote w:type="continuationNotice" w:id="1">
    <w:p w:rsidR="00CE316D" w:rsidRDefault="00CE3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16D" w:rsidRDefault="00CE316D" w:rsidP="00E5391B">
      <w:r>
        <w:separator/>
      </w:r>
    </w:p>
  </w:footnote>
  <w:footnote w:type="continuationSeparator" w:id="0">
    <w:p w:rsidR="00CE316D" w:rsidRDefault="00CE316D" w:rsidP="00E5391B">
      <w:r>
        <w:continuationSeparator/>
      </w:r>
    </w:p>
  </w:footnote>
  <w:footnote w:type="continuationNotice" w:id="1">
    <w:p w:rsidR="00CE316D" w:rsidRDefault="00CE31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BC5" w:rsidRDefault="00CE316D">
    <w:pPr>
      <w:pStyle w:val="af0"/>
      <w:jc w:val="center"/>
      <w:rPr>
        <w:rFonts w:ascii="Arial Unicode MS" w:eastAsia="Arial Unicode MS" w:hAnsi="Arial Unicode MS" w:cs="Arial Unicode MS"/>
        <w:color w:val="000000"/>
        <w:sz w:val="17"/>
        <w:rtl/>
      </w:rPr>
    </w:pPr>
    <w:bookmarkStart w:id="1" w:name="aliashAdvancedHF1HeaderEvenPages"/>
    <w:r>
      <w:rPr>
        <w:noProof/>
        <w:rtl/>
      </w:rPr>
      <w:pict w14:anchorId="0D7FF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144344" o:spid="_x0000_s2050" type="#_x0000_t136" style="position:absolute;left:0;text-align:left;margin-left:0;margin-top:0;width:422.45pt;height:168.95pt;rotation:315;z-index:-251655168;mso-position-horizontal:center;mso-position-horizontal-relative:margin;mso-position-vertical:center;mso-position-vertical-relative:margin" o:allowincell="f" fillcolor="silver" stroked="f">
          <v:fill opacity=".5"/>
          <v:textpath style="font-family:&quot;Times New Roman&quot;;font-size:1pt" string="טיוטה"/>
          <w10:wrap anchorx="margin" anchory="margin"/>
        </v:shape>
      </w:pict>
    </w:r>
    <w:r w:rsidR="00C05BC5">
      <w:rPr>
        <w:rFonts w:ascii="Arial Unicode MS" w:eastAsia="Arial Unicode MS" w:hAnsi="Arial Unicode MS" w:cs="Times New Roman"/>
        <w:color w:val="000000"/>
        <w:sz w:val="17"/>
        <w:rtl/>
      </w:rPr>
      <w:t xml:space="preserve">בנק ישראל </w:t>
    </w:r>
    <w:r w:rsidR="00C05BC5">
      <w:rPr>
        <w:rFonts w:ascii="Arial Unicode MS" w:eastAsia="Arial Unicode MS" w:hAnsi="Arial Unicode MS" w:cs="Arial Unicode MS"/>
        <w:color w:val="000000"/>
        <w:sz w:val="17"/>
        <w:rtl/>
      </w:rPr>
      <w:t xml:space="preserve">- </w:t>
    </w:r>
    <w:r w:rsidR="00C05BC5">
      <w:rPr>
        <w:rFonts w:ascii="Arial Unicode MS" w:eastAsia="Arial Unicode MS" w:hAnsi="Arial Unicode MS" w:cs="Times New Roman"/>
        <w:color w:val="000000"/>
        <w:sz w:val="17"/>
        <w:rtl/>
      </w:rPr>
      <w:t>חסוי</w:t>
    </w:r>
  </w:p>
  <w:bookmarkEnd w:id="1"/>
  <w:p w:rsidR="00C05BC5" w:rsidRDefault="00C05BC5">
    <w:pPr>
      <w:pStyle w:val="af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BC5" w:rsidRDefault="00C05BC5" w:rsidP="00DA477C">
    <w:pPr>
      <w:spacing w:after="360" w:line="360" w:lineRule="auto"/>
      <w:jc w:val="right"/>
      <w:rPr>
        <w:rFonts w:ascii="Arial Unicode MS" w:eastAsia="Arial Unicode MS" w:hAnsi="Arial Unicode MS" w:cs="David"/>
        <w:bCs/>
        <w:color w:val="000000"/>
        <w:sz w:val="17"/>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BC5" w:rsidRDefault="00CE316D">
    <w:pPr>
      <w:pStyle w:val="af0"/>
      <w:jc w:val="center"/>
      <w:rPr>
        <w:rFonts w:ascii="Arial Unicode MS" w:eastAsia="Arial Unicode MS" w:hAnsi="Arial Unicode MS" w:cs="Arial Unicode MS"/>
        <w:color w:val="000000"/>
        <w:sz w:val="17"/>
        <w:rtl/>
      </w:rPr>
    </w:pPr>
    <w:bookmarkStart w:id="2" w:name="aliashAdvancedHF1HeaderFirstPage"/>
    <w:r>
      <w:rPr>
        <w:noProof/>
        <w:rtl/>
      </w:rPr>
      <w:pict w14:anchorId="01789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144343" o:spid="_x0000_s2049" type="#_x0000_t136" style="position:absolute;left:0;text-align:left;margin-left:0;margin-top:0;width:422.45pt;height:168.95pt;rotation:315;z-index:-251657216;mso-position-horizontal:center;mso-position-horizontal-relative:margin;mso-position-vertical:center;mso-position-vertical-relative:margin" o:allowincell="f" fillcolor="silver" stroked="f">
          <v:fill opacity=".5"/>
          <v:textpath style="font-family:&quot;Times New Roman&quot;;font-size:1pt" string="טיוטה"/>
          <w10:wrap anchorx="margin" anchory="margin"/>
        </v:shape>
      </w:pict>
    </w:r>
    <w:r w:rsidR="00C05BC5">
      <w:rPr>
        <w:rFonts w:ascii="Arial Unicode MS" w:eastAsia="Arial Unicode MS" w:hAnsi="Arial Unicode MS" w:cs="Times New Roman"/>
        <w:color w:val="000000"/>
        <w:sz w:val="17"/>
        <w:rtl/>
      </w:rPr>
      <w:t xml:space="preserve">בנק ישראל </w:t>
    </w:r>
    <w:r w:rsidR="00C05BC5">
      <w:rPr>
        <w:rFonts w:ascii="Arial Unicode MS" w:eastAsia="Arial Unicode MS" w:hAnsi="Arial Unicode MS" w:cs="Arial Unicode MS"/>
        <w:color w:val="000000"/>
        <w:sz w:val="17"/>
        <w:rtl/>
      </w:rPr>
      <w:t xml:space="preserve">- </w:t>
    </w:r>
    <w:r w:rsidR="00C05BC5">
      <w:rPr>
        <w:rFonts w:ascii="Arial Unicode MS" w:eastAsia="Arial Unicode MS" w:hAnsi="Arial Unicode MS" w:cs="Times New Roman"/>
        <w:color w:val="000000"/>
        <w:sz w:val="17"/>
        <w:rtl/>
      </w:rPr>
      <w:t>חסוי</w:t>
    </w:r>
  </w:p>
  <w:bookmarkEnd w:id="2"/>
  <w:p w:rsidR="00C05BC5" w:rsidRDefault="00C05BC5">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50877"/>
    <w:multiLevelType w:val="hybridMultilevel"/>
    <w:tmpl w:val="26F4C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652CFF"/>
    <w:multiLevelType w:val="hybridMultilevel"/>
    <w:tmpl w:val="84D4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F664B"/>
    <w:multiLevelType w:val="hybridMultilevel"/>
    <w:tmpl w:val="2EE8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2718A"/>
    <w:multiLevelType w:val="hybridMultilevel"/>
    <w:tmpl w:val="855A367C"/>
    <w:lvl w:ilvl="0" w:tplc="129E85DC">
      <w:start w:val="1"/>
      <w:numFmt w:val="decimal"/>
      <w:lvlText w:val="%1)"/>
      <w:lvlJc w:val="left"/>
      <w:pPr>
        <w:tabs>
          <w:tab w:val="num" w:pos="720"/>
        </w:tabs>
        <w:ind w:left="720" w:hanging="360"/>
      </w:pPr>
      <w:rPr>
        <w:rFonts w:hint="default"/>
        <w:b w:val="0"/>
        <w:bCs w:val="0"/>
      </w:rPr>
    </w:lvl>
    <w:lvl w:ilvl="1" w:tplc="2A4CF256">
      <w:start w:val="1"/>
      <w:numFmt w:val="decimal"/>
      <w:lvlText w:val="%2)"/>
      <w:lvlJc w:val="left"/>
      <w:pPr>
        <w:tabs>
          <w:tab w:val="num" w:pos="1440"/>
        </w:tabs>
        <w:ind w:left="1440" w:hanging="360"/>
      </w:pPr>
      <w:rPr>
        <w:rFonts w:hint="default"/>
        <w:b w:val="0"/>
        <w:bCs w:val="0"/>
      </w:rPr>
    </w:lvl>
    <w:lvl w:ilvl="2" w:tplc="560ED626">
      <w:start w:val="1"/>
      <w:numFmt w:val="decimal"/>
      <w:lvlText w:val="%3."/>
      <w:lvlJc w:val="left"/>
      <w:pPr>
        <w:tabs>
          <w:tab w:val="num" w:pos="2340"/>
        </w:tabs>
        <w:ind w:left="2340" w:hanging="360"/>
      </w:pPr>
      <w:rPr>
        <w:rFonts w:ascii="Arial" w:eastAsia="Times New Roman" w:hAnsi="Arial" w:cs="David"/>
      </w:rPr>
    </w:lvl>
    <w:lvl w:ilvl="3" w:tplc="04090011">
      <w:start w:val="1"/>
      <w:numFmt w:val="decimal"/>
      <w:lvlText w:val="%4)"/>
      <w:lvlJc w:val="left"/>
      <w:pPr>
        <w:tabs>
          <w:tab w:val="num" w:pos="2880"/>
        </w:tabs>
        <w:ind w:left="2880" w:hanging="360"/>
      </w:pPr>
      <w:rPr>
        <w:rFonts w:hint="default"/>
        <w:b w:val="0"/>
        <w:bCs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076BE7"/>
    <w:multiLevelType w:val="hybridMultilevel"/>
    <w:tmpl w:val="8D54775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15:restartNumberingAfterBreak="0">
    <w:nsid w:val="4C7017AF"/>
    <w:multiLevelType w:val="hybridMultilevel"/>
    <w:tmpl w:val="AF7244B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15:restartNumberingAfterBreak="0">
    <w:nsid w:val="51184DB9"/>
    <w:multiLevelType w:val="hybridMultilevel"/>
    <w:tmpl w:val="23CC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47610"/>
    <w:multiLevelType w:val="hybridMultilevel"/>
    <w:tmpl w:val="BE429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717F5"/>
    <w:multiLevelType w:val="hybridMultilevel"/>
    <w:tmpl w:val="6E9E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3"/>
  </w:num>
  <w:num w:numId="4">
    <w:abstractNumId w:val="1"/>
  </w:num>
  <w:num w:numId="5">
    <w:abstractNumId w:val="0"/>
  </w:num>
  <w:num w:numId="6">
    <w:abstractNumId w:val="7"/>
  </w:num>
  <w:num w:numId="7">
    <w:abstractNumId w:val="8"/>
  </w:num>
  <w:num w:numId="8">
    <w:abstractNumId w:val="4"/>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C42"/>
    <w:rsid w:val="000003FC"/>
    <w:rsid w:val="000005A9"/>
    <w:rsid w:val="00010273"/>
    <w:rsid w:val="00015B34"/>
    <w:rsid w:val="00016CC4"/>
    <w:rsid w:val="0002267A"/>
    <w:rsid w:val="00024909"/>
    <w:rsid w:val="0002610A"/>
    <w:rsid w:val="000314A0"/>
    <w:rsid w:val="00032F04"/>
    <w:rsid w:val="000336BF"/>
    <w:rsid w:val="000343CB"/>
    <w:rsid w:val="00034C70"/>
    <w:rsid w:val="00037401"/>
    <w:rsid w:val="00040A42"/>
    <w:rsid w:val="0005330D"/>
    <w:rsid w:val="0005531B"/>
    <w:rsid w:val="000618DD"/>
    <w:rsid w:val="00063788"/>
    <w:rsid w:val="00066ACF"/>
    <w:rsid w:val="00070EC7"/>
    <w:rsid w:val="00074389"/>
    <w:rsid w:val="000744E0"/>
    <w:rsid w:val="00075982"/>
    <w:rsid w:val="00075E24"/>
    <w:rsid w:val="000816B0"/>
    <w:rsid w:val="00081C07"/>
    <w:rsid w:val="00091C01"/>
    <w:rsid w:val="00092407"/>
    <w:rsid w:val="00093D27"/>
    <w:rsid w:val="000973F4"/>
    <w:rsid w:val="000A5089"/>
    <w:rsid w:val="000B0BA6"/>
    <w:rsid w:val="000C075A"/>
    <w:rsid w:val="000C1D8C"/>
    <w:rsid w:val="000C6337"/>
    <w:rsid w:val="000C72F9"/>
    <w:rsid w:val="000C7A4D"/>
    <w:rsid w:val="000C7D41"/>
    <w:rsid w:val="000D0655"/>
    <w:rsid w:val="000D1ADB"/>
    <w:rsid w:val="000E2A49"/>
    <w:rsid w:val="000E4F22"/>
    <w:rsid w:val="000E62F5"/>
    <w:rsid w:val="000E6FE4"/>
    <w:rsid w:val="000E77C6"/>
    <w:rsid w:val="000F6911"/>
    <w:rsid w:val="00100EAE"/>
    <w:rsid w:val="001020C0"/>
    <w:rsid w:val="001041E2"/>
    <w:rsid w:val="00104753"/>
    <w:rsid w:val="00104DD2"/>
    <w:rsid w:val="00106123"/>
    <w:rsid w:val="001063EE"/>
    <w:rsid w:val="00107A9B"/>
    <w:rsid w:val="001132D4"/>
    <w:rsid w:val="001175A2"/>
    <w:rsid w:val="00117614"/>
    <w:rsid w:val="00124B25"/>
    <w:rsid w:val="00125B6A"/>
    <w:rsid w:val="0012605D"/>
    <w:rsid w:val="00126B8E"/>
    <w:rsid w:val="001318C1"/>
    <w:rsid w:val="001336D5"/>
    <w:rsid w:val="00135321"/>
    <w:rsid w:val="001363BB"/>
    <w:rsid w:val="00141868"/>
    <w:rsid w:val="001425AA"/>
    <w:rsid w:val="0014469C"/>
    <w:rsid w:val="0014586A"/>
    <w:rsid w:val="001466B0"/>
    <w:rsid w:val="00146E6B"/>
    <w:rsid w:val="00150046"/>
    <w:rsid w:val="00151B4A"/>
    <w:rsid w:val="00151EEA"/>
    <w:rsid w:val="001536C7"/>
    <w:rsid w:val="001539A9"/>
    <w:rsid w:val="001649D7"/>
    <w:rsid w:val="00165F7A"/>
    <w:rsid w:val="00166123"/>
    <w:rsid w:val="001679A1"/>
    <w:rsid w:val="0017094C"/>
    <w:rsid w:val="001723D1"/>
    <w:rsid w:val="00173EC3"/>
    <w:rsid w:val="00181DBC"/>
    <w:rsid w:val="00191C49"/>
    <w:rsid w:val="001945E2"/>
    <w:rsid w:val="00194CC0"/>
    <w:rsid w:val="001A012D"/>
    <w:rsid w:val="001A3634"/>
    <w:rsid w:val="001A5975"/>
    <w:rsid w:val="001A61D7"/>
    <w:rsid w:val="001A6850"/>
    <w:rsid w:val="001A7157"/>
    <w:rsid w:val="001A77D5"/>
    <w:rsid w:val="001B23D4"/>
    <w:rsid w:val="001B6E7F"/>
    <w:rsid w:val="001C2F19"/>
    <w:rsid w:val="001C393C"/>
    <w:rsid w:val="001C617E"/>
    <w:rsid w:val="001D3CF5"/>
    <w:rsid w:val="001E5932"/>
    <w:rsid w:val="001F19E0"/>
    <w:rsid w:val="001F1C53"/>
    <w:rsid w:val="001F55B0"/>
    <w:rsid w:val="00201D02"/>
    <w:rsid w:val="002030EB"/>
    <w:rsid w:val="00203390"/>
    <w:rsid w:val="00207293"/>
    <w:rsid w:val="00221469"/>
    <w:rsid w:val="0022499A"/>
    <w:rsid w:val="00224DCA"/>
    <w:rsid w:val="0022558B"/>
    <w:rsid w:val="00225ED0"/>
    <w:rsid w:val="00232C99"/>
    <w:rsid w:val="00234E00"/>
    <w:rsid w:val="00242B5A"/>
    <w:rsid w:val="00246598"/>
    <w:rsid w:val="00246672"/>
    <w:rsid w:val="002526A9"/>
    <w:rsid w:val="0026198D"/>
    <w:rsid w:val="00263CC5"/>
    <w:rsid w:val="00264791"/>
    <w:rsid w:val="00266D6C"/>
    <w:rsid w:val="002715FB"/>
    <w:rsid w:val="0027215E"/>
    <w:rsid w:val="002734D3"/>
    <w:rsid w:val="00273733"/>
    <w:rsid w:val="00274308"/>
    <w:rsid w:val="002747A8"/>
    <w:rsid w:val="00281511"/>
    <w:rsid w:val="00281E6C"/>
    <w:rsid w:val="00282FDE"/>
    <w:rsid w:val="002869EA"/>
    <w:rsid w:val="002879BB"/>
    <w:rsid w:val="00287AA7"/>
    <w:rsid w:val="00291FF7"/>
    <w:rsid w:val="00296A19"/>
    <w:rsid w:val="002A3CEF"/>
    <w:rsid w:val="002A3F19"/>
    <w:rsid w:val="002A45B1"/>
    <w:rsid w:val="002A5736"/>
    <w:rsid w:val="002B1439"/>
    <w:rsid w:val="002B2237"/>
    <w:rsid w:val="002B2437"/>
    <w:rsid w:val="002B3373"/>
    <w:rsid w:val="002B64A8"/>
    <w:rsid w:val="002C0A80"/>
    <w:rsid w:val="002C170D"/>
    <w:rsid w:val="002C2DBB"/>
    <w:rsid w:val="002D6B61"/>
    <w:rsid w:val="002D79BF"/>
    <w:rsid w:val="002E5F92"/>
    <w:rsid w:val="002E61E4"/>
    <w:rsid w:val="002E7B19"/>
    <w:rsid w:val="002F4CFC"/>
    <w:rsid w:val="0030271B"/>
    <w:rsid w:val="003056A5"/>
    <w:rsid w:val="00306E8E"/>
    <w:rsid w:val="00315097"/>
    <w:rsid w:val="00315BF8"/>
    <w:rsid w:val="00316E68"/>
    <w:rsid w:val="00321BE4"/>
    <w:rsid w:val="0032555E"/>
    <w:rsid w:val="003260B4"/>
    <w:rsid w:val="0032710B"/>
    <w:rsid w:val="00331F1C"/>
    <w:rsid w:val="00332159"/>
    <w:rsid w:val="003401AC"/>
    <w:rsid w:val="003420AB"/>
    <w:rsid w:val="003424AD"/>
    <w:rsid w:val="00342877"/>
    <w:rsid w:val="00343671"/>
    <w:rsid w:val="003472DE"/>
    <w:rsid w:val="00347C0A"/>
    <w:rsid w:val="003559FB"/>
    <w:rsid w:val="003575AB"/>
    <w:rsid w:val="0036099F"/>
    <w:rsid w:val="00361141"/>
    <w:rsid w:val="00362C31"/>
    <w:rsid w:val="00364169"/>
    <w:rsid w:val="003647A4"/>
    <w:rsid w:val="00364D79"/>
    <w:rsid w:val="00373B51"/>
    <w:rsid w:val="00380C6D"/>
    <w:rsid w:val="003815CB"/>
    <w:rsid w:val="00382DFD"/>
    <w:rsid w:val="00383374"/>
    <w:rsid w:val="00384B2B"/>
    <w:rsid w:val="003856E3"/>
    <w:rsid w:val="00385774"/>
    <w:rsid w:val="00386B29"/>
    <w:rsid w:val="003875F3"/>
    <w:rsid w:val="003958E7"/>
    <w:rsid w:val="003973B4"/>
    <w:rsid w:val="00397B66"/>
    <w:rsid w:val="003A7746"/>
    <w:rsid w:val="003A7C7E"/>
    <w:rsid w:val="003B126A"/>
    <w:rsid w:val="003B5E25"/>
    <w:rsid w:val="003B65AB"/>
    <w:rsid w:val="003C0555"/>
    <w:rsid w:val="003C2C24"/>
    <w:rsid w:val="003C3087"/>
    <w:rsid w:val="003C6B28"/>
    <w:rsid w:val="003D20B2"/>
    <w:rsid w:val="003D232F"/>
    <w:rsid w:val="003D26FC"/>
    <w:rsid w:val="003D4F90"/>
    <w:rsid w:val="003E51DA"/>
    <w:rsid w:val="003E611D"/>
    <w:rsid w:val="003F1B29"/>
    <w:rsid w:val="003F2329"/>
    <w:rsid w:val="003F3F96"/>
    <w:rsid w:val="003F4E3A"/>
    <w:rsid w:val="003F5CFA"/>
    <w:rsid w:val="00406C2F"/>
    <w:rsid w:val="00412A30"/>
    <w:rsid w:val="00420AA1"/>
    <w:rsid w:val="00420F12"/>
    <w:rsid w:val="004259E1"/>
    <w:rsid w:val="004264A4"/>
    <w:rsid w:val="00431E1A"/>
    <w:rsid w:val="00432AF9"/>
    <w:rsid w:val="00436950"/>
    <w:rsid w:val="004371B0"/>
    <w:rsid w:val="00437379"/>
    <w:rsid w:val="0043774A"/>
    <w:rsid w:val="00444A5D"/>
    <w:rsid w:val="004454A0"/>
    <w:rsid w:val="004531B3"/>
    <w:rsid w:val="004533EB"/>
    <w:rsid w:val="0045351D"/>
    <w:rsid w:val="00454C68"/>
    <w:rsid w:val="00454F8D"/>
    <w:rsid w:val="004554FD"/>
    <w:rsid w:val="004575DB"/>
    <w:rsid w:val="00460463"/>
    <w:rsid w:val="00462788"/>
    <w:rsid w:val="00465285"/>
    <w:rsid w:val="0046675D"/>
    <w:rsid w:val="00466E02"/>
    <w:rsid w:val="004675B5"/>
    <w:rsid w:val="004739A6"/>
    <w:rsid w:val="0047489E"/>
    <w:rsid w:val="00475D92"/>
    <w:rsid w:val="00481163"/>
    <w:rsid w:val="00483192"/>
    <w:rsid w:val="00486167"/>
    <w:rsid w:val="00486D7A"/>
    <w:rsid w:val="00487CDC"/>
    <w:rsid w:val="004915A3"/>
    <w:rsid w:val="00492D3D"/>
    <w:rsid w:val="00493088"/>
    <w:rsid w:val="0049569A"/>
    <w:rsid w:val="004957D0"/>
    <w:rsid w:val="004A6FF7"/>
    <w:rsid w:val="004B17D5"/>
    <w:rsid w:val="004B39E4"/>
    <w:rsid w:val="004B3D5A"/>
    <w:rsid w:val="004C0033"/>
    <w:rsid w:val="004C636B"/>
    <w:rsid w:val="004C7947"/>
    <w:rsid w:val="004C7AF2"/>
    <w:rsid w:val="004D229B"/>
    <w:rsid w:val="004D5721"/>
    <w:rsid w:val="004D5CAD"/>
    <w:rsid w:val="004D5E76"/>
    <w:rsid w:val="004E6151"/>
    <w:rsid w:val="004E6ACA"/>
    <w:rsid w:val="00505042"/>
    <w:rsid w:val="00506B80"/>
    <w:rsid w:val="00507C59"/>
    <w:rsid w:val="005138AB"/>
    <w:rsid w:val="00514799"/>
    <w:rsid w:val="00515E8B"/>
    <w:rsid w:val="00523507"/>
    <w:rsid w:val="005277CD"/>
    <w:rsid w:val="00531154"/>
    <w:rsid w:val="00535F96"/>
    <w:rsid w:val="00536DE6"/>
    <w:rsid w:val="00555F86"/>
    <w:rsid w:val="00561367"/>
    <w:rsid w:val="00562721"/>
    <w:rsid w:val="00565C64"/>
    <w:rsid w:val="00565D53"/>
    <w:rsid w:val="0056610C"/>
    <w:rsid w:val="00573BCA"/>
    <w:rsid w:val="00575176"/>
    <w:rsid w:val="00576CC3"/>
    <w:rsid w:val="00581ABE"/>
    <w:rsid w:val="00582A81"/>
    <w:rsid w:val="00582F3B"/>
    <w:rsid w:val="0058379C"/>
    <w:rsid w:val="00583B63"/>
    <w:rsid w:val="00585C89"/>
    <w:rsid w:val="0058778E"/>
    <w:rsid w:val="00587A00"/>
    <w:rsid w:val="00587B30"/>
    <w:rsid w:val="005918B3"/>
    <w:rsid w:val="00592D71"/>
    <w:rsid w:val="00597B32"/>
    <w:rsid w:val="005A0D92"/>
    <w:rsid w:val="005A767F"/>
    <w:rsid w:val="005A7BB4"/>
    <w:rsid w:val="005B04D3"/>
    <w:rsid w:val="005B13AC"/>
    <w:rsid w:val="005B453E"/>
    <w:rsid w:val="005B59D2"/>
    <w:rsid w:val="005B5DDC"/>
    <w:rsid w:val="005B7478"/>
    <w:rsid w:val="005C26D0"/>
    <w:rsid w:val="005C591C"/>
    <w:rsid w:val="005C6AC9"/>
    <w:rsid w:val="005C6FFF"/>
    <w:rsid w:val="005C7E43"/>
    <w:rsid w:val="005D2384"/>
    <w:rsid w:val="005D28B7"/>
    <w:rsid w:val="005D5D19"/>
    <w:rsid w:val="005E176F"/>
    <w:rsid w:val="005E1B91"/>
    <w:rsid w:val="005F1919"/>
    <w:rsid w:val="005F3423"/>
    <w:rsid w:val="00601001"/>
    <w:rsid w:val="006017A1"/>
    <w:rsid w:val="00603B20"/>
    <w:rsid w:val="00605A98"/>
    <w:rsid w:val="006077AC"/>
    <w:rsid w:val="006078D4"/>
    <w:rsid w:val="006106D7"/>
    <w:rsid w:val="006122BD"/>
    <w:rsid w:val="006143AF"/>
    <w:rsid w:val="0061741B"/>
    <w:rsid w:val="00620876"/>
    <w:rsid w:val="00621CC3"/>
    <w:rsid w:val="00623E13"/>
    <w:rsid w:val="006254C6"/>
    <w:rsid w:val="006325F8"/>
    <w:rsid w:val="0063433B"/>
    <w:rsid w:val="00634D64"/>
    <w:rsid w:val="00635A30"/>
    <w:rsid w:val="006404B4"/>
    <w:rsid w:val="00640983"/>
    <w:rsid w:val="0064393E"/>
    <w:rsid w:val="00644003"/>
    <w:rsid w:val="006448C5"/>
    <w:rsid w:val="0065395A"/>
    <w:rsid w:val="00654BDB"/>
    <w:rsid w:val="00657DAF"/>
    <w:rsid w:val="0067217B"/>
    <w:rsid w:val="00675951"/>
    <w:rsid w:val="0067791B"/>
    <w:rsid w:val="00681335"/>
    <w:rsid w:val="0068167E"/>
    <w:rsid w:val="00682F61"/>
    <w:rsid w:val="006833A0"/>
    <w:rsid w:val="006833E2"/>
    <w:rsid w:val="00693738"/>
    <w:rsid w:val="00697C33"/>
    <w:rsid w:val="006A727A"/>
    <w:rsid w:val="006B48C8"/>
    <w:rsid w:val="006C1C11"/>
    <w:rsid w:val="006C63EE"/>
    <w:rsid w:val="006D0AB0"/>
    <w:rsid w:val="006D1D37"/>
    <w:rsid w:val="006D240B"/>
    <w:rsid w:val="006D39B2"/>
    <w:rsid w:val="006D3F4D"/>
    <w:rsid w:val="006D490B"/>
    <w:rsid w:val="006D52C2"/>
    <w:rsid w:val="006D5BFA"/>
    <w:rsid w:val="006D68CF"/>
    <w:rsid w:val="006D782E"/>
    <w:rsid w:val="006E1108"/>
    <w:rsid w:val="006E7770"/>
    <w:rsid w:val="006F3454"/>
    <w:rsid w:val="006F78D0"/>
    <w:rsid w:val="0070545E"/>
    <w:rsid w:val="00711233"/>
    <w:rsid w:val="0071135E"/>
    <w:rsid w:val="007136B5"/>
    <w:rsid w:val="0072660C"/>
    <w:rsid w:val="0073220F"/>
    <w:rsid w:val="0073290B"/>
    <w:rsid w:val="00736162"/>
    <w:rsid w:val="00737D0C"/>
    <w:rsid w:val="00751094"/>
    <w:rsid w:val="00752A47"/>
    <w:rsid w:val="00754C14"/>
    <w:rsid w:val="0075501B"/>
    <w:rsid w:val="007560CF"/>
    <w:rsid w:val="007562EC"/>
    <w:rsid w:val="007637E8"/>
    <w:rsid w:val="007641A6"/>
    <w:rsid w:val="00773C25"/>
    <w:rsid w:val="007773B4"/>
    <w:rsid w:val="00780783"/>
    <w:rsid w:val="00780D9C"/>
    <w:rsid w:val="00781C43"/>
    <w:rsid w:val="007845B0"/>
    <w:rsid w:val="00785473"/>
    <w:rsid w:val="00787D10"/>
    <w:rsid w:val="007928AB"/>
    <w:rsid w:val="0079405B"/>
    <w:rsid w:val="00794093"/>
    <w:rsid w:val="00796388"/>
    <w:rsid w:val="007A03E9"/>
    <w:rsid w:val="007A2DD5"/>
    <w:rsid w:val="007A5C83"/>
    <w:rsid w:val="007A7718"/>
    <w:rsid w:val="007B0F73"/>
    <w:rsid w:val="007C5EC7"/>
    <w:rsid w:val="007C7D46"/>
    <w:rsid w:val="007D07CE"/>
    <w:rsid w:val="007E3B0A"/>
    <w:rsid w:val="007E405B"/>
    <w:rsid w:val="007E78D9"/>
    <w:rsid w:val="007F0ACE"/>
    <w:rsid w:val="007F3963"/>
    <w:rsid w:val="007F5069"/>
    <w:rsid w:val="0080371C"/>
    <w:rsid w:val="008056C3"/>
    <w:rsid w:val="00813593"/>
    <w:rsid w:val="008141CE"/>
    <w:rsid w:val="008155D0"/>
    <w:rsid w:val="00817899"/>
    <w:rsid w:val="0082246A"/>
    <w:rsid w:val="00825AC2"/>
    <w:rsid w:val="00833213"/>
    <w:rsid w:val="00833F7E"/>
    <w:rsid w:val="0083678F"/>
    <w:rsid w:val="00836AAB"/>
    <w:rsid w:val="0084322B"/>
    <w:rsid w:val="008445A5"/>
    <w:rsid w:val="00845051"/>
    <w:rsid w:val="008465AC"/>
    <w:rsid w:val="008467D1"/>
    <w:rsid w:val="0085046D"/>
    <w:rsid w:val="008516DE"/>
    <w:rsid w:val="00851C7B"/>
    <w:rsid w:val="00852723"/>
    <w:rsid w:val="0085596A"/>
    <w:rsid w:val="008567DF"/>
    <w:rsid w:val="0085725C"/>
    <w:rsid w:val="0086462A"/>
    <w:rsid w:val="008652EA"/>
    <w:rsid w:val="00866DCE"/>
    <w:rsid w:val="008809B0"/>
    <w:rsid w:val="008813C9"/>
    <w:rsid w:val="0088463D"/>
    <w:rsid w:val="00885A13"/>
    <w:rsid w:val="008937DE"/>
    <w:rsid w:val="00895463"/>
    <w:rsid w:val="008A7496"/>
    <w:rsid w:val="008B24DB"/>
    <w:rsid w:val="008B3196"/>
    <w:rsid w:val="008B432B"/>
    <w:rsid w:val="008B5E11"/>
    <w:rsid w:val="008C28CA"/>
    <w:rsid w:val="008C6C10"/>
    <w:rsid w:val="008D066D"/>
    <w:rsid w:val="008D2152"/>
    <w:rsid w:val="008E0432"/>
    <w:rsid w:val="008E0C65"/>
    <w:rsid w:val="008E32FB"/>
    <w:rsid w:val="008E35BE"/>
    <w:rsid w:val="008E5053"/>
    <w:rsid w:val="008E6659"/>
    <w:rsid w:val="008E7CED"/>
    <w:rsid w:val="008F0786"/>
    <w:rsid w:val="008F1F52"/>
    <w:rsid w:val="008F5728"/>
    <w:rsid w:val="008F5CB3"/>
    <w:rsid w:val="008F6E06"/>
    <w:rsid w:val="00904A84"/>
    <w:rsid w:val="009051F3"/>
    <w:rsid w:val="009161A1"/>
    <w:rsid w:val="009203D2"/>
    <w:rsid w:val="00921A12"/>
    <w:rsid w:val="00923458"/>
    <w:rsid w:val="00933560"/>
    <w:rsid w:val="00946C38"/>
    <w:rsid w:val="00947112"/>
    <w:rsid w:val="009500FA"/>
    <w:rsid w:val="00950785"/>
    <w:rsid w:val="009547CA"/>
    <w:rsid w:val="009637E6"/>
    <w:rsid w:val="0097765B"/>
    <w:rsid w:val="00985424"/>
    <w:rsid w:val="00994B34"/>
    <w:rsid w:val="0099634C"/>
    <w:rsid w:val="00996B7D"/>
    <w:rsid w:val="009A1CD4"/>
    <w:rsid w:val="009A32EC"/>
    <w:rsid w:val="009A5738"/>
    <w:rsid w:val="009A75BB"/>
    <w:rsid w:val="009B0B81"/>
    <w:rsid w:val="009B1F08"/>
    <w:rsid w:val="009B2E67"/>
    <w:rsid w:val="009B3165"/>
    <w:rsid w:val="009B638F"/>
    <w:rsid w:val="009C0AB7"/>
    <w:rsid w:val="009C283F"/>
    <w:rsid w:val="009C4B7B"/>
    <w:rsid w:val="009C626E"/>
    <w:rsid w:val="009C743D"/>
    <w:rsid w:val="009C78B1"/>
    <w:rsid w:val="009D5CA5"/>
    <w:rsid w:val="009D605B"/>
    <w:rsid w:val="009F5060"/>
    <w:rsid w:val="009F5C8C"/>
    <w:rsid w:val="00A0074F"/>
    <w:rsid w:val="00A01EC9"/>
    <w:rsid w:val="00A01F03"/>
    <w:rsid w:val="00A10D69"/>
    <w:rsid w:val="00A11E1C"/>
    <w:rsid w:val="00A230DD"/>
    <w:rsid w:val="00A23EA1"/>
    <w:rsid w:val="00A23F3E"/>
    <w:rsid w:val="00A26876"/>
    <w:rsid w:val="00A27D80"/>
    <w:rsid w:val="00A3331A"/>
    <w:rsid w:val="00A35436"/>
    <w:rsid w:val="00A4782B"/>
    <w:rsid w:val="00A62283"/>
    <w:rsid w:val="00A636AA"/>
    <w:rsid w:val="00A63928"/>
    <w:rsid w:val="00A64562"/>
    <w:rsid w:val="00A65C96"/>
    <w:rsid w:val="00A731B0"/>
    <w:rsid w:val="00A7431D"/>
    <w:rsid w:val="00A74BF1"/>
    <w:rsid w:val="00A75B09"/>
    <w:rsid w:val="00A75C72"/>
    <w:rsid w:val="00A824A8"/>
    <w:rsid w:val="00A83CE4"/>
    <w:rsid w:val="00A912A0"/>
    <w:rsid w:val="00A9296A"/>
    <w:rsid w:val="00AA0478"/>
    <w:rsid w:val="00AA0C6B"/>
    <w:rsid w:val="00AA0D56"/>
    <w:rsid w:val="00AA16AD"/>
    <w:rsid w:val="00AA3CC3"/>
    <w:rsid w:val="00AA541E"/>
    <w:rsid w:val="00AB1D94"/>
    <w:rsid w:val="00AC1E69"/>
    <w:rsid w:val="00AC3FB9"/>
    <w:rsid w:val="00AC43B2"/>
    <w:rsid w:val="00AD22AE"/>
    <w:rsid w:val="00AD4DC9"/>
    <w:rsid w:val="00AD7570"/>
    <w:rsid w:val="00AE0D78"/>
    <w:rsid w:val="00AE151C"/>
    <w:rsid w:val="00AE6D8A"/>
    <w:rsid w:val="00AE793D"/>
    <w:rsid w:val="00AE79F5"/>
    <w:rsid w:val="00AF3E72"/>
    <w:rsid w:val="00AF45BE"/>
    <w:rsid w:val="00AF4AC7"/>
    <w:rsid w:val="00AF5DF3"/>
    <w:rsid w:val="00AF6444"/>
    <w:rsid w:val="00B06850"/>
    <w:rsid w:val="00B07406"/>
    <w:rsid w:val="00B1622A"/>
    <w:rsid w:val="00B201EB"/>
    <w:rsid w:val="00B2614D"/>
    <w:rsid w:val="00B26B86"/>
    <w:rsid w:val="00B307E3"/>
    <w:rsid w:val="00B31C33"/>
    <w:rsid w:val="00B405EA"/>
    <w:rsid w:val="00B41AE2"/>
    <w:rsid w:val="00B42AF9"/>
    <w:rsid w:val="00B4590A"/>
    <w:rsid w:val="00B46E9B"/>
    <w:rsid w:val="00B517B1"/>
    <w:rsid w:val="00B53CC0"/>
    <w:rsid w:val="00B55051"/>
    <w:rsid w:val="00B558B3"/>
    <w:rsid w:val="00B617B3"/>
    <w:rsid w:val="00B64140"/>
    <w:rsid w:val="00B64D28"/>
    <w:rsid w:val="00B700CF"/>
    <w:rsid w:val="00B702CC"/>
    <w:rsid w:val="00B70700"/>
    <w:rsid w:val="00B7164C"/>
    <w:rsid w:val="00B72E25"/>
    <w:rsid w:val="00B7303B"/>
    <w:rsid w:val="00B733EB"/>
    <w:rsid w:val="00B74C31"/>
    <w:rsid w:val="00B75E4B"/>
    <w:rsid w:val="00B768A6"/>
    <w:rsid w:val="00B77987"/>
    <w:rsid w:val="00B813EC"/>
    <w:rsid w:val="00B912F9"/>
    <w:rsid w:val="00B977A7"/>
    <w:rsid w:val="00BA329A"/>
    <w:rsid w:val="00BA3E2E"/>
    <w:rsid w:val="00BA6898"/>
    <w:rsid w:val="00BB1E0C"/>
    <w:rsid w:val="00BB2E14"/>
    <w:rsid w:val="00BB5E1D"/>
    <w:rsid w:val="00BC223B"/>
    <w:rsid w:val="00BC27F3"/>
    <w:rsid w:val="00BC4935"/>
    <w:rsid w:val="00BC75AC"/>
    <w:rsid w:val="00BD28F7"/>
    <w:rsid w:val="00BD2C72"/>
    <w:rsid w:val="00BD3E5C"/>
    <w:rsid w:val="00BE0362"/>
    <w:rsid w:val="00BE06D6"/>
    <w:rsid w:val="00BE0977"/>
    <w:rsid w:val="00BF1257"/>
    <w:rsid w:val="00BF2F88"/>
    <w:rsid w:val="00BF4606"/>
    <w:rsid w:val="00BF4EBB"/>
    <w:rsid w:val="00BF7484"/>
    <w:rsid w:val="00C01C35"/>
    <w:rsid w:val="00C05BC5"/>
    <w:rsid w:val="00C06D7F"/>
    <w:rsid w:val="00C12E3C"/>
    <w:rsid w:val="00C147A0"/>
    <w:rsid w:val="00C15897"/>
    <w:rsid w:val="00C23A13"/>
    <w:rsid w:val="00C25DAC"/>
    <w:rsid w:val="00C27B4A"/>
    <w:rsid w:val="00C31745"/>
    <w:rsid w:val="00C41410"/>
    <w:rsid w:val="00C51EA3"/>
    <w:rsid w:val="00C53E2A"/>
    <w:rsid w:val="00C547B3"/>
    <w:rsid w:val="00C63756"/>
    <w:rsid w:val="00C67FA8"/>
    <w:rsid w:val="00C71E23"/>
    <w:rsid w:val="00C73E54"/>
    <w:rsid w:val="00C74270"/>
    <w:rsid w:val="00C77073"/>
    <w:rsid w:val="00C80011"/>
    <w:rsid w:val="00C805AB"/>
    <w:rsid w:val="00C86A4F"/>
    <w:rsid w:val="00C87244"/>
    <w:rsid w:val="00C872CB"/>
    <w:rsid w:val="00C97651"/>
    <w:rsid w:val="00CA2E5F"/>
    <w:rsid w:val="00CA7323"/>
    <w:rsid w:val="00CB4703"/>
    <w:rsid w:val="00CB6B4F"/>
    <w:rsid w:val="00CB7496"/>
    <w:rsid w:val="00CC1DC5"/>
    <w:rsid w:val="00CC22DC"/>
    <w:rsid w:val="00CC690D"/>
    <w:rsid w:val="00CD0E25"/>
    <w:rsid w:val="00CD2477"/>
    <w:rsid w:val="00CD7120"/>
    <w:rsid w:val="00CE0F2E"/>
    <w:rsid w:val="00CE316D"/>
    <w:rsid w:val="00CE3EF4"/>
    <w:rsid w:val="00CE65B1"/>
    <w:rsid w:val="00CF1707"/>
    <w:rsid w:val="00CF33FC"/>
    <w:rsid w:val="00CF6290"/>
    <w:rsid w:val="00CF764C"/>
    <w:rsid w:val="00D02AF6"/>
    <w:rsid w:val="00D04313"/>
    <w:rsid w:val="00D054A0"/>
    <w:rsid w:val="00D05DB9"/>
    <w:rsid w:val="00D07D97"/>
    <w:rsid w:val="00D11A79"/>
    <w:rsid w:val="00D11FF6"/>
    <w:rsid w:val="00D1351A"/>
    <w:rsid w:val="00D2057C"/>
    <w:rsid w:val="00D24C1A"/>
    <w:rsid w:val="00D34423"/>
    <w:rsid w:val="00D358B6"/>
    <w:rsid w:val="00D36C7B"/>
    <w:rsid w:val="00D416D6"/>
    <w:rsid w:val="00D44919"/>
    <w:rsid w:val="00D502E2"/>
    <w:rsid w:val="00D517BC"/>
    <w:rsid w:val="00D550A9"/>
    <w:rsid w:val="00D57C42"/>
    <w:rsid w:val="00D60999"/>
    <w:rsid w:val="00D61787"/>
    <w:rsid w:val="00D6222B"/>
    <w:rsid w:val="00D66CD5"/>
    <w:rsid w:val="00D66E57"/>
    <w:rsid w:val="00D701A0"/>
    <w:rsid w:val="00D70702"/>
    <w:rsid w:val="00D7193E"/>
    <w:rsid w:val="00D72970"/>
    <w:rsid w:val="00D760C2"/>
    <w:rsid w:val="00D76935"/>
    <w:rsid w:val="00D77884"/>
    <w:rsid w:val="00D82BC8"/>
    <w:rsid w:val="00D87F71"/>
    <w:rsid w:val="00D90794"/>
    <w:rsid w:val="00D92A89"/>
    <w:rsid w:val="00D9712A"/>
    <w:rsid w:val="00D97628"/>
    <w:rsid w:val="00DA1F45"/>
    <w:rsid w:val="00DA2383"/>
    <w:rsid w:val="00DA3ACC"/>
    <w:rsid w:val="00DA477C"/>
    <w:rsid w:val="00DA50E2"/>
    <w:rsid w:val="00DA5D6C"/>
    <w:rsid w:val="00DA7FB2"/>
    <w:rsid w:val="00DB2B8D"/>
    <w:rsid w:val="00DB36D1"/>
    <w:rsid w:val="00DB38AC"/>
    <w:rsid w:val="00DB4ED1"/>
    <w:rsid w:val="00DC0356"/>
    <w:rsid w:val="00DC09D8"/>
    <w:rsid w:val="00DC1C37"/>
    <w:rsid w:val="00DC22DE"/>
    <w:rsid w:val="00DC7D5D"/>
    <w:rsid w:val="00DD2817"/>
    <w:rsid w:val="00DD3777"/>
    <w:rsid w:val="00DE4E65"/>
    <w:rsid w:val="00DE714B"/>
    <w:rsid w:val="00DE7A1B"/>
    <w:rsid w:val="00DF33E8"/>
    <w:rsid w:val="00DF502E"/>
    <w:rsid w:val="00DF5A84"/>
    <w:rsid w:val="00DF66BE"/>
    <w:rsid w:val="00E00629"/>
    <w:rsid w:val="00E01880"/>
    <w:rsid w:val="00E033A4"/>
    <w:rsid w:val="00E0447E"/>
    <w:rsid w:val="00E04775"/>
    <w:rsid w:val="00E04B24"/>
    <w:rsid w:val="00E05FDF"/>
    <w:rsid w:val="00E073F4"/>
    <w:rsid w:val="00E12009"/>
    <w:rsid w:val="00E1234F"/>
    <w:rsid w:val="00E16148"/>
    <w:rsid w:val="00E1694C"/>
    <w:rsid w:val="00E16B8F"/>
    <w:rsid w:val="00E17923"/>
    <w:rsid w:val="00E22073"/>
    <w:rsid w:val="00E273C4"/>
    <w:rsid w:val="00E3067A"/>
    <w:rsid w:val="00E34E74"/>
    <w:rsid w:val="00E410FA"/>
    <w:rsid w:val="00E42D39"/>
    <w:rsid w:val="00E433DD"/>
    <w:rsid w:val="00E45213"/>
    <w:rsid w:val="00E5078E"/>
    <w:rsid w:val="00E5391B"/>
    <w:rsid w:val="00E56EAE"/>
    <w:rsid w:val="00E71247"/>
    <w:rsid w:val="00E72C9B"/>
    <w:rsid w:val="00E7657C"/>
    <w:rsid w:val="00E77698"/>
    <w:rsid w:val="00E77729"/>
    <w:rsid w:val="00E80A09"/>
    <w:rsid w:val="00E813FF"/>
    <w:rsid w:val="00E8212F"/>
    <w:rsid w:val="00E8490D"/>
    <w:rsid w:val="00E900F5"/>
    <w:rsid w:val="00E90995"/>
    <w:rsid w:val="00E946C5"/>
    <w:rsid w:val="00EA59E9"/>
    <w:rsid w:val="00EA7710"/>
    <w:rsid w:val="00EB1997"/>
    <w:rsid w:val="00EB2462"/>
    <w:rsid w:val="00EB67C6"/>
    <w:rsid w:val="00EB74AA"/>
    <w:rsid w:val="00EC188E"/>
    <w:rsid w:val="00EC19AD"/>
    <w:rsid w:val="00EC7DD1"/>
    <w:rsid w:val="00EE1AF7"/>
    <w:rsid w:val="00EE2648"/>
    <w:rsid w:val="00EE4CE0"/>
    <w:rsid w:val="00EE70B0"/>
    <w:rsid w:val="00EF3EB4"/>
    <w:rsid w:val="00EF7C91"/>
    <w:rsid w:val="00F0075F"/>
    <w:rsid w:val="00F03BE1"/>
    <w:rsid w:val="00F03D24"/>
    <w:rsid w:val="00F05ECE"/>
    <w:rsid w:val="00F06B54"/>
    <w:rsid w:val="00F07545"/>
    <w:rsid w:val="00F07F33"/>
    <w:rsid w:val="00F102E1"/>
    <w:rsid w:val="00F125C3"/>
    <w:rsid w:val="00F1597F"/>
    <w:rsid w:val="00F21EFE"/>
    <w:rsid w:val="00F258EE"/>
    <w:rsid w:val="00F300A3"/>
    <w:rsid w:val="00F30588"/>
    <w:rsid w:val="00F3167C"/>
    <w:rsid w:val="00F31DC7"/>
    <w:rsid w:val="00F36FA2"/>
    <w:rsid w:val="00F400C2"/>
    <w:rsid w:val="00F42854"/>
    <w:rsid w:val="00F47AAE"/>
    <w:rsid w:val="00F501AC"/>
    <w:rsid w:val="00F506BC"/>
    <w:rsid w:val="00F52431"/>
    <w:rsid w:val="00F52D20"/>
    <w:rsid w:val="00F52D2E"/>
    <w:rsid w:val="00F650D9"/>
    <w:rsid w:val="00F65DB1"/>
    <w:rsid w:val="00F6784E"/>
    <w:rsid w:val="00F71E8B"/>
    <w:rsid w:val="00F72E2F"/>
    <w:rsid w:val="00F7360F"/>
    <w:rsid w:val="00F83FFD"/>
    <w:rsid w:val="00F8403F"/>
    <w:rsid w:val="00F85659"/>
    <w:rsid w:val="00F86032"/>
    <w:rsid w:val="00F8652B"/>
    <w:rsid w:val="00F86ABA"/>
    <w:rsid w:val="00F87BCB"/>
    <w:rsid w:val="00F92CDF"/>
    <w:rsid w:val="00FA0A7B"/>
    <w:rsid w:val="00FA4B37"/>
    <w:rsid w:val="00FA4BF0"/>
    <w:rsid w:val="00FA6A3E"/>
    <w:rsid w:val="00FA7514"/>
    <w:rsid w:val="00FB6E18"/>
    <w:rsid w:val="00FC455D"/>
    <w:rsid w:val="00FC4C7A"/>
    <w:rsid w:val="00FC62E8"/>
    <w:rsid w:val="00FD1F2D"/>
    <w:rsid w:val="00FD2FB2"/>
    <w:rsid w:val="00FD45CA"/>
    <w:rsid w:val="00FD492B"/>
    <w:rsid w:val="00FE0227"/>
    <w:rsid w:val="00FE18D4"/>
    <w:rsid w:val="00FE4148"/>
    <w:rsid w:val="00FE5819"/>
    <w:rsid w:val="00FE63AD"/>
    <w:rsid w:val="00FE74E4"/>
    <w:rsid w:val="00FF391E"/>
    <w:rsid w:val="00FF52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D92"/>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8C8"/>
    <w:rPr>
      <w:rFonts w:ascii="Tahoma" w:hAnsi="Tahoma" w:cs="Tahoma"/>
      <w:sz w:val="16"/>
      <w:szCs w:val="16"/>
    </w:rPr>
  </w:style>
  <w:style w:type="character" w:customStyle="1" w:styleId="a4">
    <w:name w:val="טקסט בלונים תו"/>
    <w:basedOn w:val="a0"/>
    <w:link w:val="a3"/>
    <w:uiPriority w:val="99"/>
    <w:semiHidden/>
    <w:rsid w:val="006B48C8"/>
    <w:rPr>
      <w:rFonts w:ascii="Tahoma" w:eastAsia="Times New Roman" w:hAnsi="Tahoma" w:cs="Tahoma"/>
      <w:sz w:val="16"/>
      <w:szCs w:val="16"/>
      <w:lang w:eastAsia="he-IL"/>
    </w:rPr>
  </w:style>
  <w:style w:type="paragraph" w:styleId="a5">
    <w:name w:val="footnote text"/>
    <w:aliases w:val="טקסט הערות שוליים תו2,טקסט הערות שוליים תו1 תו,טקסט הערות שוליים תו תו תו, תו תו תו תו,טקסט הערות שוליים תו תו1, תו תו תו1,Footnote Text תו,תו תו תו1,תו תו תו תו,fn,fn Char,single space,Footnote Text Char Char Char Char Char Char,תו, תו"/>
    <w:basedOn w:val="a"/>
    <w:link w:val="a6"/>
    <w:uiPriority w:val="99"/>
    <w:unhideWhenUsed/>
    <w:rsid w:val="00E5391B"/>
  </w:style>
  <w:style w:type="character" w:customStyle="1" w:styleId="a6">
    <w:name w:val="טקסט הערת שוליים תו"/>
    <w:aliases w:val="טקסט הערות שוליים תו2 תו,טקסט הערות שוליים תו1 תו תו,טקסט הערות שוליים תו תו תו תו, תו תו תו תו תו,טקסט הערות שוליים תו תו1 תו, תו תו תו1 תו,Footnote Text תו תו,תו תו תו1 תו,תו תו תו תו תו,fn תו,fn Char תו,single space תו,תו תו"/>
    <w:basedOn w:val="a0"/>
    <w:link w:val="a5"/>
    <w:uiPriority w:val="99"/>
    <w:rsid w:val="00E5391B"/>
    <w:rPr>
      <w:rFonts w:ascii="Times New Roman" w:eastAsia="Times New Roman" w:hAnsi="Times New Roman" w:cs="Miriam"/>
      <w:sz w:val="20"/>
      <w:szCs w:val="20"/>
      <w:lang w:eastAsia="he-IL"/>
    </w:rPr>
  </w:style>
  <w:style w:type="character" w:styleId="a7">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nhideWhenUsed/>
    <w:rsid w:val="00E5391B"/>
    <w:rPr>
      <w:vertAlign w:val="superscript"/>
    </w:rPr>
  </w:style>
  <w:style w:type="character" w:styleId="a8">
    <w:name w:val="annotation reference"/>
    <w:basedOn w:val="a0"/>
    <w:uiPriority w:val="99"/>
    <w:semiHidden/>
    <w:unhideWhenUsed/>
    <w:rsid w:val="008155D0"/>
    <w:rPr>
      <w:sz w:val="16"/>
      <w:szCs w:val="16"/>
    </w:rPr>
  </w:style>
  <w:style w:type="paragraph" w:styleId="a9">
    <w:name w:val="annotation text"/>
    <w:basedOn w:val="a"/>
    <w:link w:val="aa"/>
    <w:uiPriority w:val="99"/>
    <w:semiHidden/>
    <w:unhideWhenUsed/>
    <w:rsid w:val="008155D0"/>
  </w:style>
  <w:style w:type="character" w:customStyle="1" w:styleId="aa">
    <w:name w:val="טקסט הערה תו"/>
    <w:basedOn w:val="a0"/>
    <w:link w:val="a9"/>
    <w:uiPriority w:val="99"/>
    <w:semiHidden/>
    <w:rsid w:val="008155D0"/>
    <w:rPr>
      <w:rFonts w:ascii="Times New Roman" w:eastAsia="Times New Roman" w:hAnsi="Times New Roman" w:cs="Miriam"/>
      <w:sz w:val="20"/>
      <w:szCs w:val="20"/>
      <w:lang w:eastAsia="he-IL"/>
    </w:rPr>
  </w:style>
  <w:style w:type="paragraph" w:styleId="ab">
    <w:name w:val="annotation subject"/>
    <w:basedOn w:val="a9"/>
    <w:next w:val="a9"/>
    <w:link w:val="ac"/>
    <w:uiPriority w:val="99"/>
    <w:semiHidden/>
    <w:unhideWhenUsed/>
    <w:rsid w:val="008155D0"/>
    <w:rPr>
      <w:b/>
      <w:bCs/>
    </w:rPr>
  </w:style>
  <w:style w:type="character" w:customStyle="1" w:styleId="ac">
    <w:name w:val="נושא הערה תו"/>
    <w:basedOn w:val="aa"/>
    <w:link w:val="ab"/>
    <w:uiPriority w:val="99"/>
    <w:semiHidden/>
    <w:rsid w:val="008155D0"/>
    <w:rPr>
      <w:rFonts w:ascii="Times New Roman" w:eastAsia="Times New Roman" w:hAnsi="Times New Roman" w:cs="Miriam"/>
      <w:b/>
      <w:bCs/>
      <w:sz w:val="20"/>
      <w:szCs w:val="20"/>
      <w:lang w:eastAsia="he-IL"/>
    </w:rPr>
  </w:style>
  <w:style w:type="paragraph" w:styleId="ad">
    <w:name w:val="Revision"/>
    <w:hidden/>
    <w:uiPriority w:val="99"/>
    <w:semiHidden/>
    <w:rsid w:val="008A7496"/>
    <w:pPr>
      <w:spacing w:after="0" w:line="240" w:lineRule="auto"/>
    </w:pPr>
    <w:rPr>
      <w:rFonts w:ascii="Times New Roman" w:eastAsia="Times New Roman" w:hAnsi="Times New Roman" w:cs="Miriam"/>
      <w:sz w:val="20"/>
      <w:szCs w:val="20"/>
      <w:lang w:eastAsia="he-IL"/>
    </w:rPr>
  </w:style>
  <w:style w:type="paragraph" w:styleId="ae">
    <w:name w:val="List Paragraph"/>
    <w:aliases w:val="style 2"/>
    <w:basedOn w:val="a"/>
    <w:link w:val="af"/>
    <w:uiPriority w:val="34"/>
    <w:qFormat/>
    <w:rsid w:val="006D240B"/>
    <w:pPr>
      <w:ind w:left="720"/>
      <w:contextualSpacing/>
    </w:pPr>
  </w:style>
  <w:style w:type="paragraph" w:styleId="af0">
    <w:name w:val="header"/>
    <w:basedOn w:val="a"/>
    <w:link w:val="af1"/>
    <w:uiPriority w:val="99"/>
    <w:unhideWhenUsed/>
    <w:rsid w:val="007845B0"/>
    <w:pPr>
      <w:tabs>
        <w:tab w:val="center" w:pos="4153"/>
        <w:tab w:val="right" w:pos="8306"/>
      </w:tabs>
    </w:pPr>
  </w:style>
  <w:style w:type="character" w:customStyle="1" w:styleId="af1">
    <w:name w:val="כותרת עליונה תו"/>
    <w:basedOn w:val="a0"/>
    <w:link w:val="af0"/>
    <w:uiPriority w:val="99"/>
    <w:rsid w:val="007845B0"/>
    <w:rPr>
      <w:rFonts w:ascii="Times New Roman" w:eastAsia="Times New Roman" w:hAnsi="Times New Roman" w:cs="Miriam"/>
      <w:sz w:val="20"/>
      <w:szCs w:val="20"/>
      <w:lang w:eastAsia="he-IL"/>
    </w:rPr>
  </w:style>
  <w:style w:type="paragraph" w:styleId="af2">
    <w:name w:val="footer"/>
    <w:basedOn w:val="a"/>
    <w:link w:val="af3"/>
    <w:uiPriority w:val="99"/>
    <w:unhideWhenUsed/>
    <w:rsid w:val="007845B0"/>
    <w:pPr>
      <w:tabs>
        <w:tab w:val="center" w:pos="4153"/>
        <w:tab w:val="right" w:pos="8306"/>
      </w:tabs>
    </w:pPr>
  </w:style>
  <w:style w:type="character" w:customStyle="1" w:styleId="af3">
    <w:name w:val="כותרת תחתונה תו"/>
    <w:basedOn w:val="a0"/>
    <w:link w:val="af2"/>
    <w:uiPriority w:val="99"/>
    <w:rsid w:val="007845B0"/>
    <w:rPr>
      <w:rFonts w:ascii="Times New Roman" w:eastAsia="Times New Roman" w:hAnsi="Times New Roman" w:cs="Miriam"/>
      <w:sz w:val="20"/>
      <w:szCs w:val="20"/>
      <w:lang w:eastAsia="he-IL"/>
    </w:rPr>
  </w:style>
  <w:style w:type="paragraph" w:customStyle="1" w:styleId="-2">
    <w:name w:val="דוח-כותרת ביאור 2"/>
    <w:basedOn w:val="a"/>
    <w:autoRedefine/>
    <w:rsid w:val="00F83FFD"/>
    <w:pPr>
      <w:bidi/>
      <w:spacing w:line="360" w:lineRule="auto"/>
      <w:jc w:val="both"/>
    </w:pPr>
    <w:rPr>
      <w:rFonts w:ascii="Arial" w:hAnsi="Arial" w:cs="David"/>
      <w:b/>
      <w:bCs/>
      <w:sz w:val="26"/>
      <w:szCs w:val="26"/>
      <w:lang w:eastAsia="en-US"/>
    </w:rPr>
  </w:style>
  <w:style w:type="paragraph" w:styleId="af4">
    <w:name w:val="endnote text"/>
    <w:basedOn w:val="a"/>
    <w:link w:val="af5"/>
    <w:uiPriority w:val="99"/>
    <w:semiHidden/>
    <w:unhideWhenUsed/>
    <w:rsid w:val="00EA7710"/>
  </w:style>
  <w:style w:type="character" w:customStyle="1" w:styleId="af5">
    <w:name w:val="טקסט הערת סיום תו"/>
    <w:basedOn w:val="a0"/>
    <w:link w:val="af4"/>
    <w:uiPriority w:val="99"/>
    <w:semiHidden/>
    <w:rsid w:val="00EA7710"/>
    <w:rPr>
      <w:rFonts w:ascii="Times New Roman" w:eastAsia="Times New Roman" w:hAnsi="Times New Roman" w:cs="Miriam"/>
      <w:sz w:val="20"/>
      <w:szCs w:val="20"/>
      <w:lang w:eastAsia="he-IL"/>
    </w:rPr>
  </w:style>
  <w:style w:type="character" w:styleId="af6">
    <w:name w:val="endnote reference"/>
    <w:basedOn w:val="a0"/>
    <w:uiPriority w:val="99"/>
    <w:semiHidden/>
    <w:unhideWhenUsed/>
    <w:rsid w:val="00EA7710"/>
    <w:rPr>
      <w:vertAlign w:val="superscript"/>
    </w:rPr>
  </w:style>
  <w:style w:type="character" w:styleId="Hyperlink">
    <w:name w:val="Hyperlink"/>
    <w:basedOn w:val="a0"/>
    <w:uiPriority w:val="99"/>
    <w:unhideWhenUsed/>
    <w:rsid w:val="00BE0977"/>
    <w:rPr>
      <w:color w:val="0000FF" w:themeColor="hyperlink"/>
      <w:u w:val="single"/>
    </w:rPr>
  </w:style>
  <w:style w:type="character" w:customStyle="1" w:styleId="af">
    <w:name w:val="פיסקת רשימה תו"/>
    <w:aliases w:val="style 2 תו"/>
    <w:link w:val="ae"/>
    <w:uiPriority w:val="34"/>
    <w:qFormat/>
    <w:locked/>
    <w:rsid w:val="00B617B3"/>
    <w:rPr>
      <w:rFonts w:ascii="Times New Roman" w:eastAsia="Times New Roman" w:hAnsi="Times New Roman" w:cs="Miriam"/>
      <w:sz w:val="20"/>
      <w:szCs w:val="20"/>
      <w:lang w:eastAsia="he-IL"/>
    </w:rPr>
  </w:style>
  <w:style w:type="table" w:styleId="af7">
    <w:name w:val="Table Grid"/>
    <w:basedOn w:val="a1"/>
    <w:rsid w:val="00D92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פיסקת רשימה תו1"/>
    <w:aliases w:val="style 2 תו1"/>
    <w:uiPriority w:val="34"/>
    <w:qFormat/>
    <w:locked/>
    <w:rsid w:val="00635A30"/>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467804">
      <w:bodyDiv w:val="1"/>
      <w:marLeft w:val="0"/>
      <w:marRight w:val="0"/>
      <w:marTop w:val="0"/>
      <w:marBottom w:val="0"/>
      <w:divBdr>
        <w:top w:val="none" w:sz="0" w:space="0" w:color="auto"/>
        <w:left w:val="none" w:sz="0" w:space="0" w:color="auto"/>
        <w:bottom w:val="none" w:sz="0" w:space="0" w:color="auto"/>
        <w:right w:val="none" w:sz="0" w:space="0" w:color="auto"/>
      </w:divBdr>
    </w:div>
    <w:div w:id="1492481310">
      <w:bodyDiv w:val="1"/>
      <w:marLeft w:val="0"/>
      <w:marRight w:val="0"/>
      <w:marTop w:val="0"/>
      <w:marBottom w:val="0"/>
      <w:divBdr>
        <w:top w:val="none" w:sz="0" w:space="0" w:color="auto"/>
        <w:left w:val="none" w:sz="0" w:space="0" w:color="auto"/>
        <w:bottom w:val="none" w:sz="0" w:space="0" w:color="auto"/>
        <w:right w:val="none" w:sz="0" w:space="0" w:color="auto"/>
      </w:divBdr>
    </w:div>
    <w:div w:id="1596397236">
      <w:bodyDiv w:val="1"/>
      <w:marLeft w:val="0"/>
      <w:marRight w:val="0"/>
      <w:marTop w:val="0"/>
      <w:marBottom w:val="0"/>
      <w:divBdr>
        <w:top w:val="none" w:sz="0" w:space="0" w:color="auto"/>
        <w:left w:val="none" w:sz="0" w:space="0" w:color="auto"/>
        <w:bottom w:val="none" w:sz="0" w:space="0" w:color="auto"/>
        <w:right w:val="none" w:sz="0" w:space="0" w:color="auto"/>
      </w:divBdr>
    </w:div>
    <w:div w:id="2015766710">
      <w:bodyDiv w:val="1"/>
      <w:marLeft w:val="0"/>
      <w:marRight w:val="0"/>
      <w:marTop w:val="0"/>
      <w:marBottom w:val="0"/>
      <w:divBdr>
        <w:top w:val="none" w:sz="0" w:space="0" w:color="auto"/>
        <w:left w:val="none" w:sz="0" w:space="0" w:color="auto"/>
        <w:bottom w:val="none" w:sz="0" w:space="0" w:color="auto"/>
        <w:right w:val="none" w:sz="0" w:space="0" w:color="auto"/>
      </w:divBdr>
    </w:div>
    <w:div w:id="207719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editdata.org.il/%D7%9E%D7%99%D7%93%D7%A2-%D7%9C%D7%A6%D7%99%D7%91%D7%95%D7%A8/%D7%93%D7%95%D7%97-%D7%A8%D7%99%D7%9B%D7%95%D7%96-%D7%A0%D7%AA%D7%95%D7%A0%D7%99%D7%9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ED9743D772B645B781F7C3F7CCDE7A" ma:contentTypeVersion="6" ma:contentTypeDescription="Create a new document." ma:contentTypeScope="" ma:versionID="8a866d2fb245b410173a9f89e5e50f02">
  <xsd:schema xmlns:xsd="http://www.w3.org/2001/XMLSchema" xmlns:xs="http://www.w3.org/2001/XMLSchema" xmlns:p="http://schemas.microsoft.com/office/2006/metadata/properties" xmlns:ns3="dda35238-fdc7-4a1b-975f-bd528ae1d951" xmlns:ns4="e65fdb26-f33d-4ecf-981e-cc5b7c8b8300" targetNamespace="http://schemas.microsoft.com/office/2006/metadata/properties" ma:root="true" ma:fieldsID="cdc926985008194ede7589f993475c09" ns3:_="" ns4:_="">
    <xsd:import namespace="dda35238-fdc7-4a1b-975f-bd528ae1d951"/>
    <xsd:import namespace="e65fdb26-f33d-4ecf-981e-cc5b7c8b83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35238-fdc7-4a1b-975f-bd528ae1d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5fdb26-f33d-4ecf-981e-cc5b7c8b83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BC8C6-EDD7-4931-AFB9-FE53F47D8933}">
  <ds:schemaRefs>
    <ds:schemaRef ds:uri="http://schemas.microsoft.com/sharepoint/v3/contenttype/forms"/>
  </ds:schemaRefs>
</ds:datastoreItem>
</file>

<file path=customXml/itemProps2.xml><?xml version="1.0" encoding="utf-8"?>
<ds:datastoreItem xmlns:ds="http://schemas.openxmlformats.org/officeDocument/2006/customXml" ds:itemID="{6D6A8D1D-8ED0-415D-861A-89028270A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35238-fdc7-4a1b-975f-bd528ae1d951"/>
    <ds:schemaRef ds:uri="e65fdb26-f33d-4ecf-981e-cc5b7c8b8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C7FC8-7B5B-4C12-BA0B-FEA46A7432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E9D827-7FE3-44AF-B66E-F55890BD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966</Words>
  <Characters>4835</Characters>
  <Application>Microsoft Office Word</Application>
  <DocSecurity>0</DocSecurity>
  <Lines>40</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2023-04-30T07:25:00Z</dcterms:created>
  <dcterms:modified xsi:type="dcterms:W3CDTF">2023-04-30T07:25:00Z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0x010100ECED9743D772B645B781F7C3F7CCDE7A</vt:lpwstr>
  </property>
</Properties>
</file>