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55" w:rsidRDefault="009A4855"/>
    <w:tbl>
      <w:tblPr>
        <w:bidiVisual/>
        <w:tblW w:w="0" w:type="auto"/>
        <w:jc w:val="center"/>
        <w:tblLayout w:type="fixed"/>
        <w:tblLook w:val="0000" w:firstRow="0" w:lastRow="0" w:firstColumn="0" w:lastColumn="0" w:noHBand="0" w:noVBand="0"/>
      </w:tblPr>
      <w:tblGrid>
        <w:gridCol w:w="2840"/>
        <w:gridCol w:w="2596"/>
        <w:gridCol w:w="3084"/>
      </w:tblGrid>
      <w:tr w:rsidR="000150C4" w:rsidRPr="00A53CC2" w:rsidTr="00D73301">
        <w:trPr>
          <w:cantSplit/>
          <w:jc w:val="center"/>
        </w:trPr>
        <w:tc>
          <w:tcPr>
            <w:tcW w:w="2840" w:type="dxa"/>
            <w:tcBorders>
              <w:top w:val="nil"/>
              <w:left w:val="nil"/>
              <w:bottom w:val="nil"/>
              <w:right w:val="nil"/>
            </w:tcBorders>
            <w:vAlign w:val="center"/>
          </w:tcPr>
          <w:p w:rsidR="000150C4" w:rsidRPr="008554AE" w:rsidRDefault="000150C4" w:rsidP="00D73301">
            <w:pPr>
              <w:spacing w:line="360" w:lineRule="auto"/>
              <w:jc w:val="center"/>
              <w:rPr>
                <w:rFonts w:cs="David"/>
                <w:b/>
                <w:bCs/>
              </w:rPr>
            </w:pPr>
            <w:r w:rsidRPr="008554AE">
              <w:rPr>
                <w:rFonts w:cs="David"/>
                <w:b/>
                <w:bCs/>
                <w:rtl/>
              </w:rPr>
              <w:t>בנק ישראל</w:t>
            </w:r>
          </w:p>
          <w:p w:rsidR="000150C4" w:rsidRPr="008554AE" w:rsidRDefault="000150C4" w:rsidP="00D73301">
            <w:pPr>
              <w:spacing w:line="360" w:lineRule="auto"/>
              <w:ind w:right="-101"/>
              <w:jc w:val="center"/>
            </w:pPr>
            <w:r w:rsidRPr="008554AE">
              <w:rPr>
                <w:rFonts w:cs="David"/>
                <w:rtl/>
              </w:rPr>
              <w:t>דוברות והסברה כלכלית</w:t>
            </w:r>
          </w:p>
        </w:tc>
        <w:tc>
          <w:tcPr>
            <w:tcW w:w="2596" w:type="dxa"/>
            <w:tcBorders>
              <w:top w:val="nil"/>
              <w:left w:val="nil"/>
              <w:bottom w:val="nil"/>
              <w:right w:val="nil"/>
            </w:tcBorders>
          </w:tcPr>
          <w:p w:rsidR="000150C4" w:rsidRPr="008554AE" w:rsidRDefault="00773E4B" w:rsidP="00D73301">
            <w:pPr>
              <w:jc w:val="center"/>
            </w:pPr>
            <w:r w:rsidRPr="006858A0">
              <w:rPr>
                <w:noProof/>
                <w:lang w:eastAsia="en-US"/>
              </w:rPr>
              <w:drawing>
                <wp:inline distT="0" distB="0" distL="0" distR="0" wp14:anchorId="77C9F529" wp14:editId="19CF2FFD">
                  <wp:extent cx="887105" cy="887105"/>
                  <wp:effectExtent l="0" t="0" r="8255" b="8255"/>
                  <wp:docPr id="7" name="תמונה 7"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0150C4" w:rsidRPr="008554AE" w:rsidRDefault="000150C4" w:rsidP="00E04508">
            <w:pPr>
              <w:spacing w:line="480" w:lineRule="auto"/>
              <w:jc w:val="right"/>
              <w:rPr>
                <w:rFonts w:cs="David"/>
              </w:rPr>
            </w:pPr>
            <w:r w:rsidRPr="008554AE">
              <w:rPr>
                <w:rFonts w:cs="David" w:hint="eastAsia"/>
                <w:rtl/>
              </w:rPr>
              <w:t>‏</w:t>
            </w:r>
            <w:r w:rsidRPr="008554AE">
              <w:rPr>
                <w:rFonts w:cs="David"/>
                <w:rtl/>
              </w:rPr>
              <w:t>ירושלים,</w:t>
            </w:r>
            <w:r w:rsidR="000E248C">
              <w:rPr>
                <w:rFonts w:cs="David" w:hint="cs"/>
                <w:rtl/>
              </w:rPr>
              <w:t xml:space="preserve"> </w:t>
            </w:r>
            <w:r w:rsidR="00E04508">
              <w:rPr>
                <w:rFonts w:cs="David" w:hint="cs"/>
                <w:rtl/>
              </w:rPr>
              <w:t>כ"ז</w:t>
            </w:r>
            <w:r w:rsidR="002768FD">
              <w:rPr>
                <w:rFonts w:cs="David" w:hint="cs"/>
                <w:rtl/>
              </w:rPr>
              <w:t xml:space="preserve"> </w:t>
            </w:r>
            <w:r w:rsidR="000E248C">
              <w:rPr>
                <w:rFonts w:cs="David" w:hint="cs"/>
                <w:rtl/>
              </w:rPr>
              <w:t>ב</w:t>
            </w:r>
            <w:r w:rsidR="00E04508">
              <w:rPr>
                <w:rFonts w:cs="David" w:hint="cs"/>
                <w:rtl/>
              </w:rPr>
              <w:t>אלול</w:t>
            </w:r>
            <w:r w:rsidR="000E248C" w:rsidRPr="008554AE">
              <w:rPr>
                <w:rFonts w:cs="David" w:hint="cs"/>
                <w:rtl/>
              </w:rPr>
              <w:t xml:space="preserve"> </w:t>
            </w:r>
            <w:r w:rsidRPr="008554AE">
              <w:rPr>
                <w:rFonts w:cs="David"/>
                <w:rtl/>
              </w:rPr>
              <w:t>תש"</w:t>
            </w:r>
            <w:r w:rsidR="00FE3B8A">
              <w:rPr>
                <w:rFonts w:cs="David" w:hint="cs"/>
                <w:rtl/>
              </w:rPr>
              <w:t>פ</w:t>
            </w:r>
          </w:p>
          <w:p w:rsidR="000150C4" w:rsidRPr="008554AE" w:rsidRDefault="000150C4" w:rsidP="005125E9">
            <w:pPr>
              <w:spacing w:line="480" w:lineRule="auto"/>
              <w:jc w:val="right"/>
              <w:rPr>
                <w:rFonts w:cs="David"/>
              </w:rPr>
            </w:pPr>
            <w:r w:rsidRPr="008554AE">
              <w:rPr>
                <w:rFonts w:cs="David" w:hint="eastAsia"/>
                <w:rtl/>
              </w:rPr>
              <w:t>‏‏</w:t>
            </w:r>
            <w:r w:rsidR="002339E4">
              <w:rPr>
                <w:rFonts w:cs="David" w:hint="cs"/>
                <w:rtl/>
              </w:rPr>
              <w:t>1</w:t>
            </w:r>
            <w:r w:rsidR="005125E9">
              <w:rPr>
                <w:rFonts w:cs="David" w:hint="cs"/>
                <w:rtl/>
              </w:rPr>
              <w:t>4</w:t>
            </w:r>
            <w:r w:rsidR="000E248C" w:rsidRPr="008554AE">
              <w:rPr>
                <w:rFonts w:cs="David"/>
                <w:rtl/>
              </w:rPr>
              <w:t xml:space="preserve"> </w:t>
            </w:r>
            <w:r w:rsidR="002768FD">
              <w:rPr>
                <w:rFonts w:cs="David" w:hint="cs"/>
                <w:rtl/>
              </w:rPr>
              <w:t>ב</w:t>
            </w:r>
            <w:r w:rsidR="002339E4">
              <w:rPr>
                <w:rFonts w:cs="David" w:hint="cs"/>
                <w:rtl/>
              </w:rPr>
              <w:t>ספטמבר</w:t>
            </w:r>
            <w:r w:rsidRPr="008554AE">
              <w:rPr>
                <w:rFonts w:cs="David"/>
                <w:rtl/>
              </w:rPr>
              <w:t xml:space="preserve"> 20</w:t>
            </w:r>
            <w:r w:rsidR="002768FD">
              <w:rPr>
                <w:rFonts w:cs="David" w:hint="cs"/>
                <w:rtl/>
              </w:rPr>
              <w:t>20</w:t>
            </w:r>
          </w:p>
        </w:tc>
      </w:tr>
    </w:tbl>
    <w:p w:rsidR="002D5576" w:rsidRPr="008554AE" w:rsidRDefault="00DB2C69" w:rsidP="002D468D">
      <w:pPr>
        <w:spacing w:before="240" w:line="360" w:lineRule="auto"/>
        <w:rPr>
          <w:rtl/>
        </w:rPr>
      </w:pPr>
      <w:r w:rsidRPr="008554AE">
        <w:rPr>
          <w:rFonts w:cs="David"/>
          <w:rtl/>
        </w:rPr>
        <w:t>הודעה לעיתונות</w:t>
      </w:r>
      <w:r w:rsidR="002D5576" w:rsidRPr="008554AE">
        <w:rPr>
          <w:rFonts w:cs="David" w:hint="cs"/>
          <w:rtl/>
        </w:rPr>
        <w:t>:</w:t>
      </w:r>
    </w:p>
    <w:p w:rsidR="000150C4" w:rsidRPr="00A53CC2" w:rsidRDefault="000150C4" w:rsidP="000150C4">
      <w:pPr>
        <w:pStyle w:val="ad"/>
        <w:rPr>
          <w:highlight w:val="yellow"/>
          <w:u w:val="none"/>
          <w:rtl/>
        </w:rPr>
      </w:pPr>
    </w:p>
    <w:p w:rsidR="00BB4BBF" w:rsidRPr="00F453D2" w:rsidRDefault="00673D6C" w:rsidP="002339E4">
      <w:pPr>
        <w:pStyle w:val="ad"/>
        <w:rPr>
          <w:u w:val="none"/>
          <w:rtl/>
        </w:rPr>
      </w:pPr>
      <w:bookmarkStart w:id="0" w:name="_GoBack"/>
      <w:r w:rsidRPr="00F453D2">
        <w:rPr>
          <w:u w:val="none"/>
          <w:rtl/>
        </w:rPr>
        <w:t xml:space="preserve">הנכסים וההתחייבויות של המשק </w:t>
      </w:r>
      <w:r w:rsidR="00807F97" w:rsidRPr="00F453D2">
        <w:rPr>
          <w:rFonts w:hint="cs"/>
          <w:u w:val="none"/>
          <w:rtl/>
        </w:rPr>
        <w:t xml:space="preserve">מול </w:t>
      </w:r>
      <w:r w:rsidRPr="00F453D2">
        <w:rPr>
          <w:u w:val="none"/>
          <w:rtl/>
        </w:rPr>
        <w:t>חו"ל</w:t>
      </w:r>
      <w:r w:rsidR="00922F75" w:rsidRPr="00F453D2">
        <w:rPr>
          <w:rFonts w:hint="cs"/>
          <w:u w:val="none"/>
          <w:rtl/>
        </w:rPr>
        <w:t>,</w:t>
      </w:r>
      <w:r w:rsidR="00D77467" w:rsidRPr="00F453D2">
        <w:rPr>
          <w:rFonts w:hint="cs"/>
          <w:u w:val="none"/>
          <w:rtl/>
        </w:rPr>
        <w:t xml:space="preserve"> </w:t>
      </w:r>
      <w:r w:rsidR="000150C4" w:rsidRPr="00F453D2">
        <w:rPr>
          <w:rFonts w:hint="cs"/>
          <w:u w:val="none"/>
          <w:rtl/>
        </w:rPr>
        <w:t xml:space="preserve">רביע </w:t>
      </w:r>
      <w:r w:rsidR="002339E4">
        <w:rPr>
          <w:rFonts w:hint="cs"/>
          <w:u w:val="none"/>
          <w:rtl/>
        </w:rPr>
        <w:t>שני</w:t>
      </w:r>
      <w:r w:rsidR="008B5EE0" w:rsidRPr="00F453D2">
        <w:rPr>
          <w:rFonts w:hint="cs"/>
          <w:u w:val="none"/>
          <w:rtl/>
        </w:rPr>
        <w:t xml:space="preserve"> </w:t>
      </w:r>
      <w:r w:rsidR="00492A66" w:rsidRPr="00F453D2">
        <w:rPr>
          <w:rFonts w:hint="cs"/>
          <w:u w:val="none"/>
          <w:rtl/>
        </w:rPr>
        <w:t>20</w:t>
      </w:r>
      <w:r w:rsidR="002317BB">
        <w:rPr>
          <w:rFonts w:hint="cs"/>
          <w:u w:val="none"/>
          <w:rtl/>
        </w:rPr>
        <w:t>20</w:t>
      </w:r>
    </w:p>
    <w:bookmarkEnd w:id="0"/>
    <w:p w:rsidR="00DC15F9" w:rsidRPr="00A53CC2" w:rsidRDefault="00DC15F9" w:rsidP="005A0B34">
      <w:pPr>
        <w:spacing w:after="240" w:line="360" w:lineRule="auto"/>
        <w:ind w:right="426"/>
        <w:jc w:val="both"/>
        <w:rPr>
          <w:rFonts w:ascii="Arial" w:hAnsi="Arial" w:cs="David"/>
          <w:b/>
          <w:bCs/>
          <w:highlight w:val="yellow"/>
        </w:rPr>
      </w:pPr>
    </w:p>
    <w:p w:rsidR="00316734" w:rsidRPr="003F3E23" w:rsidRDefault="002F5DFE" w:rsidP="00331865">
      <w:pPr>
        <w:numPr>
          <w:ilvl w:val="0"/>
          <w:numId w:val="9"/>
        </w:numPr>
        <w:spacing w:after="240" w:line="360" w:lineRule="auto"/>
        <w:ind w:right="426"/>
        <w:jc w:val="both"/>
        <w:rPr>
          <w:rFonts w:ascii="Arial" w:hAnsi="Arial" w:cs="David"/>
          <w:b/>
          <w:bCs/>
        </w:rPr>
      </w:pPr>
      <w:r w:rsidRPr="00540159">
        <w:rPr>
          <w:rFonts w:ascii="Arial" w:hAnsi="Arial" w:cs="David" w:hint="cs"/>
          <w:b/>
          <w:bCs/>
          <w:rtl/>
        </w:rPr>
        <w:t xml:space="preserve">יתרת הנכסים של תושבי ישראל בחו"ל </w:t>
      </w:r>
      <w:r w:rsidR="00756DEB" w:rsidRPr="00540159">
        <w:rPr>
          <w:rFonts w:ascii="Arial" w:hAnsi="Arial" w:cs="David" w:hint="cs"/>
          <w:b/>
          <w:bCs/>
          <w:rtl/>
        </w:rPr>
        <w:t>עלתה</w:t>
      </w:r>
      <w:r w:rsidRPr="00540159">
        <w:rPr>
          <w:rFonts w:ascii="Arial" w:hAnsi="Arial" w:cs="David" w:hint="cs"/>
          <w:b/>
          <w:bCs/>
          <w:rtl/>
        </w:rPr>
        <w:t xml:space="preserve"> ברביע </w:t>
      </w:r>
      <w:r w:rsidR="00A53CC2" w:rsidRPr="00540159">
        <w:rPr>
          <w:rFonts w:ascii="Arial" w:hAnsi="Arial" w:cs="David" w:hint="cs"/>
          <w:b/>
          <w:bCs/>
          <w:rtl/>
        </w:rPr>
        <w:t>ה</w:t>
      </w:r>
      <w:r w:rsidR="00756DEB" w:rsidRPr="00540159">
        <w:rPr>
          <w:rFonts w:ascii="Arial" w:hAnsi="Arial" w:cs="David" w:hint="cs"/>
          <w:b/>
          <w:bCs/>
          <w:rtl/>
        </w:rPr>
        <w:t>שני</w:t>
      </w:r>
      <w:r w:rsidR="008A4EAA" w:rsidRPr="00540159">
        <w:rPr>
          <w:rFonts w:ascii="Arial" w:hAnsi="Arial" w:cs="David" w:hint="cs"/>
          <w:b/>
          <w:bCs/>
          <w:rtl/>
        </w:rPr>
        <w:t xml:space="preserve"> </w:t>
      </w:r>
      <w:r w:rsidRPr="00540159">
        <w:rPr>
          <w:rFonts w:ascii="Arial" w:hAnsi="Arial" w:cs="David" w:hint="cs"/>
          <w:b/>
          <w:bCs/>
          <w:rtl/>
        </w:rPr>
        <w:t xml:space="preserve">של </w:t>
      </w:r>
      <w:r w:rsidR="00FB7A17" w:rsidRPr="00540159">
        <w:rPr>
          <w:rFonts w:ascii="Arial" w:hAnsi="Arial" w:cs="David" w:hint="cs"/>
          <w:b/>
          <w:bCs/>
          <w:rtl/>
        </w:rPr>
        <w:t>שנת 2020</w:t>
      </w:r>
      <w:r w:rsidRPr="00540159">
        <w:rPr>
          <w:rFonts w:ascii="Arial" w:hAnsi="Arial" w:cs="David" w:hint="cs"/>
          <w:b/>
          <w:bCs/>
          <w:rtl/>
        </w:rPr>
        <w:t xml:space="preserve"> בכ-</w:t>
      </w:r>
      <w:r w:rsidR="00756DEB" w:rsidRPr="00540159">
        <w:rPr>
          <w:rFonts w:ascii="Arial" w:hAnsi="Arial" w:cs="David" w:hint="cs"/>
          <w:b/>
          <w:bCs/>
          <w:rtl/>
        </w:rPr>
        <w:t>47</w:t>
      </w:r>
      <w:r w:rsidR="00755D0D" w:rsidRPr="00540159">
        <w:rPr>
          <w:rFonts w:ascii="Arial" w:hAnsi="Arial" w:cs="David" w:hint="cs"/>
          <w:b/>
          <w:bCs/>
          <w:rtl/>
        </w:rPr>
        <w:t xml:space="preserve"> </w:t>
      </w:r>
      <w:r w:rsidRPr="00540159">
        <w:rPr>
          <w:rFonts w:ascii="Arial" w:hAnsi="Arial" w:cs="David" w:hint="cs"/>
          <w:b/>
          <w:bCs/>
          <w:rtl/>
        </w:rPr>
        <w:t>מיליארדי דולרים (</w:t>
      </w:r>
      <w:r w:rsidR="00756DEB" w:rsidRPr="00540159">
        <w:rPr>
          <w:rFonts w:ascii="Arial" w:hAnsi="Arial" w:cs="David" w:hint="cs"/>
          <w:b/>
          <w:bCs/>
          <w:rtl/>
        </w:rPr>
        <w:t>9.9</w:t>
      </w:r>
      <w:r w:rsidR="00A53CC2" w:rsidRPr="00540159">
        <w:rPr>
          <w:rFonts w:ascii="Arial" w:hAnsi="Arial" w:cs="David" w:hint="cs"/>
          <w:b/>
          <w:bCs/>
          <w:rtl/>
        </w:rPr>
        <w:t>%</w:t>
      </w:r>
      <w:r w:rsidRPr="00540159">
        <w:rPr>
          <w:rFonts w:ascii="Arial" w:hAnsi="Arial" w:cs="David" w:hint="cs"/>
          <w:b/>
          <w:bCs/>
          <w:rtl/>
        </w:rPr>
        <w:t xml:space="preserve">) ועמדה בסוף </w:t>
      </w:r>
      <w:r w:rsidR="00756DEB" w:rsidRPr="00540159">
        <w:rPr>
          <w:rFonts w:ascii="Arial" w:hAnsi="Arial" w:cs="David" w:hint="cs"/>
          <w:b/>
          <w:bCs/>
          <w:rtl/>
        </w:rPr>
        <w:t>יוני</w:t>
      </w:r>
      <w:r w:rsidRPr="00540159">
        <w:rPr>
          <w:rFonts w:ascii="Arial" w:hAnsi="Arial" w:cs="David" w:hint="cs"/>
          <w:b/>
          <w:bCs/>
          <w:rtl/>
        </w:rPr>
        <w:t xml:space="preserve"> על </w:t>
      </w:r>
      <w:r w:rsidR="00756DEB" w:rsidRPr="00540159">
        <w:rPr>
          <w:rFonts w:ascii="Arial" w:hAnsi="Arial" w:cs="David" w:hint="cs"/>
          <w:b/>
          <w:bCs/>
          <w:rtl/>
        </w:rPr>
        <w:t>523</w:t>
      </w:r>
      <w:r w:rsidR="00A53CC2" w:rsidRPr="00540159">
        <w:rPr>
          <w:rFonts w:ascii="Arial" w:hAnsi="Arial" w:cs="David" w:hint="cs"/>
          <w:b/>
          <w:bCs/>
          <w:rtl/>
        </w:rPr>
        <w:t xml:space="preserve"> </w:t>
      </w:r>
      <w:r w:rsidRPr="00540159">
        <w:rPr>
          <w:rFonts w:ascii="Arial" w:hAnsi="Arial" w:cs="David" w:hint="cs"/>
          <w:b/>
          <w:bCs/>
          <w:rtl/>
        </w:rPr>
        <w:t xml:space="preserve">מיליארדים. </w:t>
      </w:r>
      <w:r w:rsidR="00342B58" w:rsidRPr="00540159">
        <w:rPr>
          <w:rFonts w:ascii="Arial" w:hAnsi="Arial" w:cs="David" w:hint="cs"/>
          <w:b/>
          <w:bCs/>
          <w:rtl/>
        </w:rPr>
        <w:t>ה</w:t>
      </w:r>
      <w:r w:rsidR="00756DEB" w:rsidRPr="00540159">
        <w:rPr>
          <w:rFonts w:ascii="Arial" w:hAnsi="Arial" w:cs="David" w:hint="cs"/>
          <w:b/>
          <w:bCs/>
          <w:rtl/>
        </w:rPr>
        <w:t>עלייה</w:t>
      </w:r>
      <w:r w:rsidR="00342B58" w:rsidRPr="00540159">
        <w:rPr>
          <w:rFonts w:ascii="Arial" w:hAnsi="Arial" w:cs="David" w:hint="cs"/>
          <w:b/>
          <w:bCs/>
          <w:rtl/>
        </w:rPr>
        <w:t xml:space="preserve"> ביתרה נבעה </w:t>
      </w:r>
      <w:r w:rsidR="00E44ED9" w:rsidRPr="00540159">
        <w:rPr>
          <w:rFonts w:ascii="Arial" w:hAnsi="Arial" w:cs="David" w:hint="cs"/>
          <w:b/>
          <w:bCs/>
          <w:rtl/>
        </w:rPr>
        <w:t xml:space="preserve">ברובה </w:t>
      </w:r>
      <w:r w:rsidR="00756DEB" w:rsidRPr="00540159">
        <w:rPr>
          <w:rFonts w:ascii="Arial" w:hAnsi="Arial" w:cs="David" w:hint="cs"/>
          <w:b/>
          <w:bCs/>
          <w:rtl/>
        </w:rPr>
        <w:t>מעלייה חדה במחירי הנכסים בתיק ני"ע בחו"ל</w:t>
      </w:r>
      <w:r w:rsidR="00BB043A" w:rsidRPr="00540159">
        <w:rPr>
          <w:rFonts w:ascii="Arial" w:hAnsi="Arial" w:cs="David" w:hint="cs"/>
          <w:b/>
          <w:bCs/>
          <w:rtl/>
        </w:rPr>
        <w:t xml:space="preserve"> (22.3 מיליארדים</w:t>
      </w:r>
      <w:r w:rsidR="00BB043A" w:rsidRPr="00540159">
        <w:rPr>
          <w:rFonts w:ascii="Arial" w:hAnsi="Arial" w:cs="David"/>
          <w:b/>
          <w:bCs/>
          <w:rtl/>
        </w:rPr>
        <w:t>)</w:t>
      </w:r>
      <w:r w:rsidR="00BB043A" w:rsidRPr="00540159">
        <w:rPr>
          <w:rFonts w:ascii="Arial" w:hAnsi="Arial" w:cs="David" w:hint="cs"/>
          <w:b/>
          <w:bCs/>
          <w:rtl/>
        </w:rPr>
        <w:t>,</w:t>
      </w:r>
      <w:r w:rsidR="00756DEB" w:rsidRPr="00540159">
        <w:rPr>
          <w:rFonts w:ascii="Arial" w:hAnsi="Arial" w:cs="David" w:hint="cs"/>
          <w:b/>
          <w:bCs/>
          <w:rtl/>
        </w:rPr>
        <w:t xml:space="preserve"> בעיקר בהון מניות. כמו כן, נרש</w:t>
      </w:r>
      <w:r w:rsidR="0007333F">
        <w:rPr>
          <w:rFonts w:ascii="Arial" w:hAnsi="Arial" w:cs="David" w:hint="cs"/>
          <w:b/>
          <w:bCs/>
          <w:rtl/>
        </w:rPr>
        <w:t>ם</w:t>
      </w:r>
      <w:r w:rsidR="00756DEB" w:rsidRPr="00540159">
        <w:rPr>
          <w:rFonts w:ascii="Arial" w:hAnsi="Arial" w:cs="David" w:hint="cs"/>
          <w:b/>
          <w:bCs/>
          <w:rtl/>
        </w:rPr>
        <w:t xml:space="preserve"> ברביע השני </w:t>
      </w:r>
      <w:r w:rsidR="00756DEB" w:rsidRPr="00540159">
        <w:rPr>
          <w:rFonts w:ascii="Arial" w:hAnsi="Arial" w:cs="David"/>
          <w:b/>
          <w:bCs/>
          <w:rtl/>
        </w:rPr>
        <w:t xml:space="preserve">גידול בנכסי </w:t>
      </w:r>
      <w:r w:rsidR="00756DEB" w:rsidRPr="00540159">
        <w:rPr>
          <w:rFonts w:ascii="Arial" w:hAnsi="Arial" w:cs="David" w:hint="cs"/>
          <w:b/>
          <w:bCs/>
          <w:rtl/>
        </w:rPr>
        <w:t>ה</w:t>
      </w:r>
      <w:r w:rsidR="00756DEB" w:rsidRPr="00540159">
        <w:rPr>
          <w:rFonts w:ascii="Arial" w:hAnsi="Arial" w:cs="David"/>
          <w:b/>
          <w:bCs/>
          <w:rtl/>
        </w:rPr>
        <w:t>רזרבה</w:t>
      </w:r>
      <w:r w:rsidR="00C76D71" w:rsidRPr="00540159">
        <w:rPr>
          <w:rFonts w:ascii="Arial" w:hAnsi="Arial" w:cs="David" w:hint="cs"/>
          <w:b/>
          <w:bCs/>
          <w:rtl/>
        </w:rPr>
        <w:t xml:space="preserve"> (</w:t>
      </w:r>
      <w:r w:rsidR="00195CAF">
        <w:rPr>
          <w:rFonts w:ascii="Arial" w:hAnsi="Arial" w:cs="David" w:hint="cs"/>
          <w:b/>
          <w:bCs/>
          <w:rtl/>
        </w:rPr>
        <w:t>16.</w:t>
      </w:r>
      <w:r w:rsidR="00BD5EAF">
        <w:rPr>
          <w:rFonts w:ascii="Arial" w:hAnsi="Arial" w:cs="David" w:hint="cs"/>
          <w:b/>
          <w:bCs/>
          <w:rtl/>
        </w:rPr>
        <w:t>5</w:t>
      </w:r>
      <w:r w:rsidR="00195CAF">
        <w:rPr>
          <w:rFonts w:ascii="Arial" w:hAnsi="Arial" w:cs="David" w:hint="cs"/>
          <w:b/>
          <w:bCs/>
          <w:rtl/>
        </w:rPr>
        <w:t xml:space="preserve"> מיליארד</w:t>
      </w:r>
      <w:r w:rsidR="00BD5EAF">
        <w:rPr>
          <w:rFonts w:ascii="Arial" w:hAnsi="Arial" w:cs="David" w:hint="cs"/>
          <w:b/>
          <w:bCs/>
          <w:rtl/>
        </w:rPr>
        <w:t>ים</w:t>
      </w:r>
      <w:r w:rsidR="00C76D71" w:rsidRPr="00540159">
        <w:rPr>
          <w:rFonts w:ascii="Arial" w:hAnsi="Arial" w:cs="David" w:hint="cs"/>
          <w:b/>
          <w:bCs/>
          <w:rtl/>
        </w:rPr>
        <w:t>)</w:t>
      </w:r>
      <w:r w:rsidR="00756DEB" w:rsidRPr="00540159">
        <w:rPr>
          <w:rFonts w:ascii="Arial" w:hAnsi="Arial" w:cs="David"/>
          <w:b/>
          <w:bCs/>
          <w:rtl/>
        </w:rPr>
        <w:t xml:space="preserve"> </w:t>
      </w:r>
      <w:r w:rsidR="00756DEB" w:rsidRPr="00540159">
        <w:rPr>
          <w:rFonts w:ascii="Arial" w:hAnsi="Arial" w:cs="David" w:hint="cs"/>
          <w:b/>
          <w:bCs/>
          <w:rtl/>
        </w:rPr>
        <w:t>ו</w:t>
      </w:r>
      <w:r w:rsidR="00756DEB" w:rsidRPr="00540159">
        <w:rPr>
          <w:rFonts w:ascii="Arial" w:hAnsi="Arial" w:cs="David"/>
          <w:b/>
          <w:bCs/>
          <w:rtl/>
        </w:rPr>
        <w:t>השקעות בני"ע סחירים</w:t>
      </w:r>
      <w:r w:rsidR="00C76D71" w:rsidRPr="00540159">
        <w:rPr>
          <w:rFonts w:ascii="Arial" w:hAnsi="Arial" w:cs="David" w:hint="cs"/>
          <w:b/>
          <w:bCs/>
          <w:rtl/>
        </w:rPr>
        <w:t xml:space="preserve"> (11.7 מיליארדים)</w:t>
      </w:r>
      <w:r w:rsidR="00756DEB" w:rsidRPr="00540159">
        <w:rPr>
          <w:rFonts w:ascii="Arial" w:hAnsi="Arial" w:cs="David"/>
          <w:b/>
          <w:bCs/>
          <w:rtl/>
        </w:rPr>
        <w:t xml:space="preserve"> </w:t>
      </w:r>
      <w:r w:rsidR="00756DEB" w:rsidRPr="00540159">
        <w:rPr>
          <w:rFonts w:ascii="Arial" w:hAnsi="Arial" w:cs="David" w:hint="cs"/>
          <w:b/>
          <w:bCs/>
          <w:rtl/>
        </w:rPr>
        <w:t>שקוזזו בחלקם על ידי</w:t>
      </w:r>
      <w:r w:rsidR="00756DEB" w:rsidRPr="00540159">
        <w:rPr>
          <w:rFonts w:ascii="Arial" w:hAnsi="Arial" w:cs="David"/>
          <w:b/>
          <w:bCs/>
          <w:rtl/>
        </w:rPr>
        <w:t xml:space="preserve"> </w:t>
      </w:r>
      <w:r w:rsidR="00331865">
        <w:rPr>
          <w:rFonts w:ascii="Arial" w:hAnsi="Arial" w:cs="David" w:hint="cs"/>
          <w:b/>
          <w:bCs/>
          <w:rtl/>
        </w:rPr>
        <w:t>משיכות מפיקדונות בחו"ל של בנקים ישראליים.</w:t>
      </w:r>
    </w:p>
    <w:p w:rsidR="00624014" w:rsidRDefault="002F5DFE" w:rsidP="007635F6">
      <w:pPr>
        <w:pStyle w:val="af7"/>
        <w:numPr>
          <w:ilvl w:val="0"/>
          <w:numId w:val="9"/>
        </w:numPr>
        <w:spacing w:line="360" w:lineRule="auto"/>
        <w:ind w:right="426"/>
        <w:jc w:val="both"/>
        <w:rPr>
          <w:rFonts w:ascii="Arial" w:hAnsi="Arial" w:cs="David"/>
          <w:b/>
          <w:bCs/>
        </w:rPr>
      </w:pPr>
      <w:r w:rsidRPr="00331865">
        <w:rPr>
          <w:rFonts w:ascii="Arial" w:hAnsi="Arial" w:cs="David" w:hint="cs"/>
          <w:b/>
          <w:bCs/>
          <w:rtl/>
        </w:rPr>
        <w:t xml:space="preserve">יתרת ההתחייבויות של המשק לחו"ל </w:t>
      </w:r>
      <w:r w:rsidR="001F7AC3" w:rsidRPr="00331865">
        <w:rPr>
          <w:rFonts w:ascii="Arial" w:hAnsi="Arial" w:cs="David" w:hint="cs"/>
          <w:b/>
          <w:bCs/>
          <w:rtl/>
        </w:rPr>
        <w:t>עלתה</w:t>
      </w:r>
      <w:r w:rsidRPr="00331865">
        <w:rPr>
          <w:rFonts w:ascii="Arial" w:hAnsi="Arial" w:cs="David" w:hint="cs"/>
          <w:b/>
          <w:bCs/>
          <w:rtl/>
        </w:rPr>
        <w:t xml:space="preserve"> במהלך הרביע ה</w:t>
      </w:r>
      <w:r w:rsidR="001F7AC3" w:rsidRPr="00331865">
        <w:rPr>
          <w:rFonts w:ascii="Arial" w:hAnsi="Arial" w:cs="David" w:hint="cs"/>
          <w:b/>
          <w:bCs/>
          <w:rtl/>
        </w:rPr>
        <w:t>שני</w:t>
      </w:r>
      <w:r w:rsidRPr="00331865">
        <w:rPr>
          <w:rFonts w:ascii="Arial" w:hAnsi="Arial" w:cs="David" w:hint="cs"/>
          <w:b/>
          <w:bCs/>
          <w:rtl/>
        </w:rPr>
        <w:t xml:space="preserve"> בכ-</w:t>
      </w:r>
      <w:r w:rsidR="001F7AC3" w:rsidRPr="00331865">
        <w:rPr>
          <w:rFonts w:ascii="Arial" w:hAnsi="Arial" w:cs="David" w:hint="cs"/>
          <w:b/>
          <w:bCs/>
          <w:rtl/>
        </w:rPr>
        <w:t>33</w:t>
      </w:r>
      <w:r w:rsidRPr="00331865">
        <w:rPr>
          <w:rFonts w:ascii="Arial" w:hAnsi="Arial" w:cs="David" w:hint="cs"/>
          <w:b/>
          <w:bCs/>
          <w:rtl/>
        </w:rPr>
        <w:t xml:space="preserve"> מיליארדי דולרים (</w:t>
      </w:r>
      <w:r w:rsidR="001F7AC3" w:rsidRPr="00331865">
        <w:rPr>
          <w:rFonts w:ascii="Arial" w:hAnsi="Arial" w:cs="David" w:hint="cs"/>
          <w:b/>
          <w:bCs/>
          <w:rtl/>
        </w:rPr>
        <w:t>10.1</w:t>
      </w:r>
      <w:r w:rsidRPr="00331865">
        <w:rPr>
          <w:rFonts w:ascii="Arial" w:hAnsi="Arial" w:cs="David" w:hint="cs"/>
          <w:b/>
          <w:bCs/>
          <w:rtl/>
        </w:rPr>
        <w:t>%</w:t>
      </w:r>
      <w:r w:rsidR="001F7AC3" w:rsidRPr="00331865">
        <w:rPr>
          <w:rFonts w:ascii="Arial" w:hAnsi="Arial" w:cs="David" w:hint="cs"/>
          <w:b/>
          <w:bCs/>
          <w:rtl/>
        </w:rPr>
        <w:t>) ועמדה בסופו</w:t>
      </w:r>
      <w:r w:rsidRPr="004B6824">
        <w:rPr>
          <w:rFonts w:ascii="Arial" w:hAnsi="Arial" w:cs="David"/>
          <w:b/>
          <w:bCs/>
          <w:rtl/>
        </w:rPr>
        <w:t xml:space="preserve"> </w:t>
      </w:r>
      <w:r w:rsidR="005151C1" w:rsidRPr="004B6824">
        <w:rPr>
          <w:rFonts w:ascii="Arial" w:hAnsi="Arial" w:cs="David" w:hint="eastAsia"/>
          <w:b/>
          <w:bCs/>
          <w:rtl/>
        </w:rPr>
        <w:t>על</w:t>
      </w:r>
      <w:r w:rsidR="005151C1" w:rsidRPr="004B6824">
        <w:rPr>
          <w:rFonts w:ascii="Arial" w:hAnsi="Arial" w:cs="David"/>
          <w:b/>
          <w:bCs/>
          <w:rtl/>
        </w:rPr>
        <w:t xml:space="preserve"> </w:t>
      </w:r>
      <w:r w:rsidR="001F7AC3" w:rsidRPr="004B6824">
        <w:rPr>
          <w:rFonts w:ascii="Arial" w:hAnsi="Arial" w:cs="David"/>
          <w:b/>
          <w:bCs/>
          <w:rtl/>
        </w:rPr>
        <w:t>358</w:t>
      </w:r>
      <w:r w:rsidR="00755D0D" w:rsidRPr="004B6824">
        <w:rPr>
          <w:rFonts w:ascii="Arial" w:hAnsi="Arial" w:cs="David"/>
          <w:b/>
          <w:bCs/>
          <w:rtl/>
        </w:rPr>
        <w:t xml:space="preserve"> </w:t>
      </w:r>
      <w:r w:rsidRPr="004B6824">
        <w:rPr>
          <w:rFonts w:ascii="Arial" w:hAnsi="Arial" w:cs="David" w:hint="eastAsia"/>
          <w:b/>
          <w:bCs/>
          <w:rtl/>
        </w:rPr>
        <w:t>מיליארדים</w:t>
      </w:r>
      <w:r w:rsidR="003912C6" w:rsidRPr="004B6824">
        <w:rPr>
          <w:rFonts w:ascii="Arial" w:hAnsi="Arial" w:cs="David"/>
          <w:b/>
          <w:bCs/>
          <w:rtl/>
        </w:rPr>
        <w:t xml:space="preserve">. </w:t>
      </w:r>
      <w:r w:rsidR="003F3E23" w:rsidRPr="004B6824">
        <w:rPr>
          <w:rFonts w:ascii="Arial" w:hAnsi="Arial" w:cs="David" w:hint="eastAsia"/>
          <w:b/>
          <w:bCs/>
          <w:rtl/>
        </w:rPr>
        <w:t>העלייה</w:t>
      </w:r>
      <w:r w:rsidR="003F3E23" w:rsidRPr="004B6824">
        <w:rPr>
          <w:rFonts w:ascii="Arial" w:hAnsi="Arial" w:cs="David"/>
          <w:b/>
          <w:bCs/>
          <w:rtl/>
        </w:rPr>
        <w:t xml:space="preserve"> ביתרה נבעה בעיקר מעליות במחירי המניות הישראליות שמחזיקים תושבי חוץ (17.5 מיליארדים) </w:t>
      </w:r>
      <w:r w:rsidR="000762E1" w:rsidRPr="004B6824">
        <w:rPr>
          <w:rFonts w:ascii="Arial" w:hAnsi="Arial" w:cs="David" w:hint="eastAsia"/>
          <w:b/>
          <w:bCs/>
          <w:rtl/>
        </w:rPr>
        <w:t>ומהשקעות</w:t>
      </w:r>
      <w:r w:rsidR="000762E1" w:rsidRPr="004B6824">
        <w:rPr>
          <w:rFonts w:ascii="Arial" w:hAnsi="Arial" w:cs="David"/>
          <w:b/>
          <w:bCs/>
          <w:rtl/>
        </w:rPr>
        <w:t xml:space="preserve"> של תושב</w:t>
      </w:r>
      <w:r w:rsidR="00146728">
        <w:rPr>
          <w:rFonts w:ascii="Arial" w:hAnsi="Arial" w:cs="David" w:hint="cs"/>
          <w:b/>
          <w:bCs/>
          <w:rtl/>
        </w:rPr>
        <w:t>י</w:t>
      </w:r>
      <w:r w:rsidR="000762E1" w:rsidRPr="004B6824">
        <w:rPr>
          <w:rFonts w:ascii="Arial" w:hAnsi="Arial" w:cs="David"/>
          <w:b/>
          <w:bCs/>
          <w:rtl/>
        </w:rPr>
        <w:t xml:space="preserve"> חוץ באג"ח במטבע חוץ של ממשלת ישראל (12.5 מיליארדים) . </w:t>
      </w:r>
    </w:p>
    <w:p w:rsidR="00395210" w:rsidRPr="007635F6" w:rsidRDefault="00395210" w:rsidP="00395210">
      <w:pPr>
        <w:pStyle w:val="af7"/>
        <w:spacing w:line="360" w:lineRule="auto"/>
        <w:ind w:left="501" w:right="426"/>
        <w:jc w:val="both"/>
        <w:rPr>
          <w:rFonts w:ascii="Arial" w:hAnsi="Arial" w:cs="David"/>
          <w:b/>
          <w:bCs/>
        </w:rPr>
      </w:pPr>
    </w:p>
    <w:p w:rsidR="00331865" w:rsidRPr="007635F6" w:rsidRDefault="00331865" w:rsidP="007635F6">
      <w:pPr>
        <w:pStyle w:val="af7"/>
        <w:numPr>
          <w:ilvl w:val="0"/>
          <w:numId w:val="9"/>
        </w:numPr>
        <w:spacing w:line="360" w:lineRule="auto"/>
        <w:ind w:right="426"/>
        <w:jc w:val="both"/>
        <w:rPr>
          <w:rFonts w:ascii="Arial" w:hAnsi="Arial" w:cs="David"/>
          <w:b/>
          <w:bCs/>
        </w:rPr>
      </w:pPr>
      <w:r w:rsidRPr="007635F6">
        <w:rPr>
          <w:rFonts w:ascii="Arial" w:hAnsi="Arial" w:cs="David" w:hint="cs"/>
          <w:b/>
          <w:bCs/>
          <w:rtl/>
        </w:rPr>
        <w:t xml:space="preserve">ברביע השני תושבי חוץ רכשו חברה הישראלית מענף </w:t>
      </w:r>
      <w:r w:rsidRPr="007635F6">
        <w:rPr>
          <w:rFonts w:ascii="Arial" w:hAnsi="Arial" w:cs="David"/>
          <w:b/>
          <w:bCs/>
          <w:rtl/>
        </w:rPr>
        <w:t xml:space="preserve">תעשיית </w:t>
      </w:r>
      <w:r w:rsidRPr="007635F6">
        <w:rPr>
          <w:rFonts w:ascii="Arial" w:hAnsi="Arial" w:cs="David" w:hint="cs"/>
          <w:b/>
          <w:bCs/>
          <w:rtl/>
        </w:rPr>
        <w:t xml:space="preserve">המוליכים למחצה </w:t>
      </w:r>
      <w:r w:rsidRPr="007635F6">
        <w:rPr>
          <w:rFonts w:ascii="Arial" w:hAnsi="Arial" w:cs="David"/>
          <w:b/>
          <w:bCs/>
          <w:rtl/>
        </w:rPr>
        <w:t>–</w:t>
      </w:r>
      <w:r w:rsidRPr="007635F6">
        <w:rPr>
          <w:rFonts w:ascii="Arial" w:hAnsi="Arial" w:cs="David" w:hint="cs"/>
          <w:b/>
          <w:bCs/>
          <w:rtl/>
        </w:rPr>
        <w:t xml:space="preserve"> השקעה ישירה בהיקף של כ-6 מיליארדי דולרים. מאחר שברוב מניות החברה (טרם רכישתה) החזיקו משקיעים פיננסיים זרים, יבוא ההון בגין השקעה זו קוזז ברובו במימוש השקעות פיננסיות של תושבי חוץ במניות ולא השפיע על השוק המקומי.</w:t>
      </w:r>
    </w:p>
    <w:p w:rsidR="00624014" w:rsidRPr="000762E1" w:rsidRDefault="00624014" w:rsidP="00395210">
      <w:pPr>
        <w:pStyle w:val="af7"/>
        <w:spacing w:line="360" w:lineRule="auto"/>
        <w:ind w:left="643" w:right="426"/>
        <w:jc w:val="both"/>
        <w:rPr>
          <w:rFonts w:ascii="Arial" w:hAnsi="Arial" w:cs="David"/>
          <w:b/>
          <w:bCs/>
          <w:highlight w:val="lightGray"/>
        </w:rPr>
      </w:pPr>
    </w:p>
    <w:p w:rsidR="00536949" w:rsidRPr="00930CD3" w:rsidRDefault="00B46ECC" w:rsidP="00930CD3">
      <w:pPr>
        <w:numPr>
          <w:ilvl w:val="0"/>
          <w:numId w:val="9"/>
        </w:numPr>
        <w:spacing w:after="240" w:line="360" w:lineRule="auto"/>
        <w:ind w:right="426"/>
        <w:jc w:val="both"/>
        <w:rPr>
          <w:rFonts w:ascii="Arial" w:hAnsi="Arial" w:cs="David"/>
          <w:b/>
          <w:bCs/>
        </w:rPr>
      </w:pPr>
      <w:r w:rsidRPr="00930CD3">
        <w:rPr>
          <w:rFonts w:ascii="Arial" w:hAnsi="Arial" w:cs="David" w:hint="cs"/>
          <w:b/>
          <w:bCs/>
          <w:rtl/>
        </w:rPr>
        <w:t xml:space="preserve">עודף הנכסים על ההתחייבויות של המשק מול חו"ל </w:t>
      </w:r>
      <w:r w:rsidR="00930CD3" w:rsidRPr="00930CD3">
        <w:rPr>
          <w:rFonts w:ascii="Arial" w:hAnsi="Arial" w:cs="David" w:hint="cs"/>
          <w:b/>
          <w:bCs/>
          <w:rtl/>
        </w:rPr>
        <w:t>עלה</w:t>
      </w:r>
      <w:r w:rsidRPr="00930CD3">
        <w:rPr>
          <w:rFonts w:ascii="Arial" w:hAnsi="Arial" w:cs="David" w:hint="cs"/>
          <w:b/>
          <w:bCs/>
          <w:rtl/>
        </w:rPr>
        <w:t xml:space="preserve"> במהלך הרביע ה</w:t>
      </w:r>
      <w:r w:rsidR="00930CD3" w:rsidRPr="00930CD3">
        <w:rPr>
          <w:rFonts w:ascii="Arial" w:hAnsi="Arial" w:cs="David" w:hint="cs"/>
          <w:b/>
          <w:bCs/>
          <w:rtl/>
        </w:rPr>
        <w:t>שני</w:t>
      </w:r>
      <w:r w:rsidRPr="00930CD3">
        <w:rPr>
          <w:rFonts w:ascii="Arial" w:hAnsi="Arial" w:cs="David" w:hint="cs"/>
          <w:b/>
          <w:bCs/>
          <w:rtl/>
        </w:rPr>
        <w:t xml:space="preserve"> ב</w:t>
      </w:r>
      <w:r w:rsidR="003A681A" w:rsidRPr="00930CD3">
        <w:rPr>
          <w:rFonts w:ascii="Arial" w:hAnsi="Arial" w:cs="David" w:hint="cs"/>
          <w:b/>
          <w:bCs/>
          <w:rtl/>
        </w:rPr>
        <w:t>כ</w:t>
      </w:r>
      <w:r w:rsidRPr="00930CD3">
        <w:rPr>
          <w:rFonts w:ascii="Arial" w:hAnsi="Arial" w:cs="David" w:hint="cs"/>
          <w:b/>
          <w:bCs/>
          <w:rtl/>
        </w:rPr>
        <w:t>-</w:t>
      </w:r>
      <w:r w:rsidR="00930CD3" w:rsidRPr="00930CD3">
        <w:rPr>
          <w:rFonts w:ascii="Arial" w:hAnsi="Arial" w:cs="David" w:hint="cs"/>
          <w:b/>
          <w:bCs/>
          <w:rtl/>
        </w:rPr>
        <w:t>14.5</w:t>
      </w:r>
      <w:r w:rsidRPr="00930CD3">
        <w:rPr>
          <w:rFonts w:ascii="Arial" w:hAnsi="Arial" w:cs="David" w:hint="cs"/>
          <w:b/>
          <w:bCs/>
          <w:rtl/>
        </w:rPr>
        <w:t xml:space="preserve"> מיליארדי דולרים (</w:t>
      </w:r>
      <w:r w:rsidR="00930CD3" w:rsidRPr="00930CD3">
        <w:rPr>
          <w:rFonts w:ascii="Arial" w:hAnsi="Arial" w:cs="David" w:hint="cs"/>
          <w:b/>
          <w:bCs/>
          <w:rtl/>
        </w:rPr>
        <w:t>9.6</w:t>
      </w:r>
      <w:r w:rsidRPr="00930CD3">
        <w:rPr>
          <w:rFonts w:ascii="Arial" w:hAnsi="Arial" w:cs="David" w:hint="cs"/>
          <w:b/>
          <w:bCs/>
          <w:rtl/>
        </w:rPr>
        <w:t>%</w:t>
      </w:r>
      <w:r w:rsidR="00930CD3" w:rsidRPr="00930CD3">
        <w:rPr>
          <w:rFonts w:ascii="Arial" w:hAnsi="Arial" w:cs="David" w:hint="cs"/>
          <w:b/>
          <w:bCs/>
          <w:rtl/>
        </w:rPr>
        <w:t>) ועמד בסופו</w:t>
      </w:r>
      <w:r w:rsidRPr="00930CD3">
        <w:rPr>
          <w:rFonts w:ascii="Arial" w:hAnsi="Arial" w:cs="David" w:hint="cs"/>
          <w:b/>
          <w:bCs/>
          <w:rtl/>
        </w:rPr>
        <w:t xml:space="preserve"> על </w:t>
      </w:r>
      <w:r w:rsidR="00930CD3" w:rsidRPr="00930CD3">
        <w:rPr>
          <w:rFonts w:ascii="Arial" w:hAnsi="Arial" w:cs="David" w:hint="cs"/>
          <w:b/>
          <w:bCs/>
          <w:rtl/>
        </w:rPr>
        <w:t>165</w:t>
      </w:r>
      <w:r w:rsidR="00D3259C" w:rsidRPr="00930CD3">
        <w:rPr>
          <w:rFonts w:ascii="Arial" w:hAnsi="Arial" w:cs="David" w:hint="cs"/>
          <w:b/>
          <w:bCs/>
          <w:rtl/>
        </w:rPr>
        <w:t xml:space="preserve"> </w:t>
      </w:r>
      <w:r w:rsidRPr="00930CD3">
        <w:rPr>
          <w:rFonts w:ascii="Arial" w:hAnsi="Arial" w:cs="David" w:hint="cs"/>
          <w:b/>
          <w:bCs/>
          <w:rtl/>
        </w:rPr>
        <w:t>מיליארדי</w:t>
      </w:r>
      <w:r w:rsidR="00F00B73" w:rsidRPr="00930CD3">
        <w:rPr>
          <w:rFonts w:ascii="Arial" w:hAnsi="Arial" w:cs="David" w:hint="cs"/>
          <w:b/>
          <w:bCs/>
          <w:rtl/>
        </w:rPr>
        <w:t>ם</w:t>
      </w:r>
      <w:r w:rsidRPr="00930CD3">
        <w:rPr>
          <w:rFonts w:ascii="Arial" w:hAnsi="Arial" w:cs="David" w:hint="cs"/>
          <w:b/>
          <w:bCs/>
          <w:rtl/>
        </w:rPr>
        <w:t xml:space="preserve">. </w:t>
      </w:r>
    </w:p>
    <w:p w:rsidR="00536949" w:rsidRPr="00483BA4" w:rsidRDefault="00536949" w:rsidP="00536949">
      <w:pPr>
        <w:pStyle w:val="af7"/>
        <w:rPr>
          <w:rFonts w:ascii="Arial" w:hAnsi="Arial" w:cs="David"/>
          <w:b/>
          <w:bCs/>
          <w:highlight w:val="lightGray"/>
          <w:rtl/>
        </w:rPr>
      </w:pPr>
    </w:p>
    <w:p w:rsidR="00203A0D" w:rsidRPr="00914CB9" w:rsidRDefault="00203A0D" w:rsidP="0007333F">
      <w:pPr>
        <w:numPr>
          <w:ilvl w:val="0"/>
          <w:numId w:val="9"/>
        </w:numPr>
        <w:spacing w:after="240" w:line="360" w:lineRule="auto"/>
        <w:ind w:right="426"/>
        <w:jc w:val="both"/>
        <w:rPr>
          <w:rFonts w:ascii="Arial" w:hAnsi="Arial" w:cs="David"/>
          <w:b/>
          <w:bCs/>
          <w:rtl/>
        </w:rPr>
      </w:pPr>
      <w:r w:rsidRPr="00914CB9">
        <w:rPr>
          <w:rFonts w:ascii="Arial" w:hAnsi="Arial" w:cs="David" w:hint="cs"/>
          <w:b/>
          <w:bCs/>
          <w:rtl/>
        </w:rPr>
        <w:t xml:space="preserve">עודף הנכסים על ההתחייבויות במכשירי חוב בלבד (החוב חיצוני השלילי נטו), </w:t>
      </w:r>
      <w:r w:rsidR="00066DD0" w:rsidRPr="00914CB9">
        <w:rPr>
          <w:rFonts w:ascii="Arial" w:hAnsi="Arial" w:cs="David" w:hint="cs"/>
          <w:b/>
          <w:bCs/>
          <w:rtl/>
        </w:rPr>
        <w:t>עלה</w:t>
      </w:r>
      <w:r w:rsidRPr="00914CB9">
        <w:rPr>
          <w:rFonts w:ascii="Arial" w:hAnsi="Arial" w:cs="David" w:hint="cs"/>
          <w:b/>
          <w:bCs/>
          <w:rtl/>
        </w:rPr>
        <w:t xml:space="preserve"> במהלך הרביע ה</w:t>
      </w:r>
      <w:r w:rsidR="00066DD0" w:rsidRPr="00914CB9">
        <w:rPr>
          <w:rFonts w:ascii="Arial" w:hAnsi="Arial" w:cs="David" w:hint="cs"/>
          <w:b/>
          <w:bCs/>
          <w:rtl/>
        </w:rPr>
        <w:t>שני</w:t>
      </w:r>
      <w:r w:rsidRPr="00914CB9">
        <w:rPr>
          <w:rFonts w:ascii="Arial" w:hAnsi="Arial" w:cs="David" w:hint="cs"/>
          <w:b/>
          <w:bCs/>
          <w:rtl/>
        </w:rPr>
        <w:t xml:space="preserve"> ב</w:t>
      </w:r>
      <w:r w:rsidR="003A681A" w:rsidRPr="00914CB9">
        <w:rPr>
          <w:rFonts w:ascii="Arial" w:hAnsi="Arial" w:cs="David" w:hint="cs"/>
          <w:b/>
          <w:bCs/>
          <w:rtl/>
        </w:rPr>
        <w:t>כ</w:t>
      </w:r>
      <w:r w:rsidRPr="00914CB9">
        <w:rPr>
          <w:rFonts w:ascii="Arial" w:hAnsi="Arial" w:cs="David" w:hint="cs"/>
          <w:b/>
          <w:bCs/>
          <w:rtl/>
        </w:rPr>
        <w:t>-</w:t>
      </w:r>
      <w:r w:rsidR="00195CAF">
        <w:rPr>
          <w:rFonts w:ascii="Arial" w:hAnsi="Arial" w:cs="David" w:hint="cs"/>
          <w:b/>
          <w:bCs/>
          <w:rtl/>
        </w:rPr>
        <w:t xml:space="preserve">12 </w:t>
      </w:r>
      <w:r w:rsidRPr="00914CB9">
        <w:rPr>
          <w:rFonts w:ascii="Arial" w:hAnsi="Arial" w:cs="David" w:hint="cs"/>
          <w:b/>
          <w:bCs/>
          <w:rtl/>
        </w:rPr>
        <w:t>מיליארדי דולרים (</w:t>
      </w:r>
      <w:r w:rsidR="00066DD0" w:rsidRPr="00914CB9">
        <w:rPr>
          <w:rFonts w:ascii="Arial" w:hAnsi="Arial" w:cs="David" w:hint="cs"/>
          <w:b/>
          <w:bCs/>
          <w:rtl/>
        </w:rPr>
        <w:t>7.1</w:t>
      </w:r>
      <w:r w:rsidRPr="00914CB9">
        <w:rPr>
          <w:rFonts w:ascii="Arial" w:hAnsi="Arial" w:cs="David" w:hint="cs"/>
          <w:b/>
          <w:bCs/>
          <w:rtl/>
        </w:rPr>
        <w:t xml:space="preserve">%) </w:t>
      </w:r>
      <w:r w:rsidR="00D3259C" w:rsidRPr="00914CB9">
        <w:rPr>
          <w:rFonts w:ascii="Arial" w:hAnsi="Arial" w:cs="David" w:hint="cs"/>
          <w:b/>
          <w:bCs/>
          <w:rtl/>
        </w:rPr>
        <w:t xml:space="preserve">ועמד </w:t>
      </w:r>
      <w:r w:rsidR="00066DD0" w:rsidRPr="00914CB9">
        <w:rPr>
          <w:rFonts w:ascii="Arial" w:hAnsi="Arial" w:cs="David" w:hint="cs"/>
          <w:b/>
          <w:bCs/>
          <w:rtl/>
        </w:rPr>
        <w:t xml:space="preserve">בסופו </w:t>
      </w:r>
      <w:r w:rsidR="00D3259C" w:rsidRPr="00914CB9">
        <w:rPr>
          <w:rFonts w:ascii="Arial" w:hAnsi="Arial" w:cs="David" w:hint="cs"/>
          <w:b/>
          <w:bCs/>
          <w:rtl/>
        </w:rPr>
        <w:t xml:space="preserve">על </w:t>
      </w:r>
      <w:r w:rsidR="00066DD0" w:rsidRPr="00914CB9">
        <w:rPr>
          <w:rFonts w:ascii="Arial" w:hAnsi="Arial" w:cs="David" w:hint="cs"/>
          <w:b/>
          <w:bCs/>
          <w:rtl/>
        </w:rPr>
        <w:t>180</w:t>
      </w:r>
      <w:r w:rsidRPr="00914CB9">
        <w:rPr>
          <w:rFonts w:ascii="Arial" w:hAnsi="Arial" w:cs="David" w:hint="cs"/>
          <w:b/>
          <w:bCs/>
          <w:rtl/>
        </w:rPr>
        <w:t xml:space="preserve"> מיליארדי</w:t>
      </w:r>
      <w:r w:rsidR="00D3259C" w:rsidRPr="00914CB9">
        <w:rPr>
          <w:rFonts w:ascii="Arial" w:hAnsi="Arial" w:cs="David" w:hint="cs"/>
          <w:b/>
          <w:bCs/>
          <w:rtl/>
        </w:rPr>
        <w:t>ם</w:t>
      </w:r>
      <w:r w:rsidRPr="00914CB9">
        <w:rPr>
          <w:rFonts w:ascii="Arial" w:hAnsi="Arial" w:cs="David" w:hint="cs"/>
          <w:b/>
          <w:bCs/>
          <w:rtl/>
        </w:rPr>
        <w:t>.</w:t>
      </w:r>
      <w:r w:rsidR="00066DD0" w:rsidRPr="00914CB9">
        <w:rPr>
          <w:rFonts w:ascii="Arial" w:hAnsi="Arial" w:cs="David" w:hint="cs"/>
          <w:rtl/>
        </w:rPr>
        <w:t xml:space="preserve"> </w:t>
      </w:r>
    </w:p>
    <w:p w:rsidR="00095D4E" w:rsidRPr="00914CB9" w:rsidRDefault="00075CF6" w:rsidP="00066DD0">
      <w:pPr>
        <w:numPr>
          <w:ilvl w:val="0"/>
          <w:numId w:val="9"/>
        </w:numPr>
        <w:spacing w:after="240" w:line="360" w:lineRule="auto"/>
        <w:ind w:right="426"/>
        <w:jc w:val="both"/>
        <w:rPr>
          <w:rFonts w:ascii="Arial" w:hAnsi="Arial" w:cs="David"/>
          <w:b/>
          <w:bCs/>
        </w:rPr>
      </w:pPr>
      <w:r w:rsidRPr="00914CB9">
        <w:rPr>
          <w:rFonts w:ascii="Arial" w:hAnsi="Arial" w:cs="David" w:hint="cs"/>
          <w:b/>
          <w:bCs/>
          <w:rtl/>
        </w:rPr>
        <w:t>היחס שבין החוב החיצוני ברוטו לתמ"ג</w:t>
      </w:r>
      <w:r w:rsidRPr="00914CB9">
        <w:rPr>
          <w:rFonts w:ascii="Arial" w:hAnsi="Arial" w:cs="David" w:hint="cs"/>
          <w:rtl/>
        </w:rPr>
        <w:t xml:space="preserve"> </w:t>
      </w:r>
      <w:r w:rsidR="00066DD0" w:rsidRPr="00914CB9">
        <w:rPr>
          <w:rFonts w:ascii="Arial" w:hAnsi="Arial" w:cs="David" w:hint="cs"/>
          <w:b/>
          <w:bCs/>
          <w:rtl/>
        </w:rPr>
        <w:t>עלה</w:t>
      </w:r>
      <w:r w:rsidR="00EA65B4" w:rsidRPr="00914CB9">
        <w:rPr>
          <w:rFonts w:ascii="Arial" w:hAnsi="Arial" w:cs="David" w:hint="cs"/>
          <w:b/>
          <w:bCs/>
          <w:rtl/>
        </w:rPr>
        <w:t xml:space="preserve"> </w:t>
      </w:r>
      <w:r w:rsidRPr="00914CB9">
        <w:rPr>
          <w:rFonts w:ascii="Arial" w:hAnsi="Arial" w:cs="David" w:hint="cs"/>
          <w:b/>
          <w:bCs/>
          <w:rtl/>
        </w:rPr>
        <w:t>במהלך הרביע ה</w:t>
      </w:r>
      <w:r w:rsidR="00066DD0" w:rsidRPr="00914CB9">
        <w:rPr>
          <w:rFonts w:ascii="Arial" w:hAnsi="Arial" w:cs="David" w:hint="cs"/>
          <w:b/>
          <w:bCs/>
          <w:rtl/>
        </w:rPr>
        <w:t>שני ב-2.8</w:t>
      </w:r>
      <w:r w:rsidR="00EA65B4" w:rsidRPr="00914CB9">
        <w:rPr>
          <w:rFonts w:ascii="Arial" w:hAnsi="Arial" w:cs="David" w:hint="cs"/>
          <w:b/>
          <w:bCs/>
          <w:rtl/>
        </w:rPr>
        <w:t xml:space="preserve"> </w:t>
      </w:r>
      <w:r w:rsidRPr="00914CB9">
        <w:rPr>
          <w:rFonts w:ascii="Arial" w:hAnsi="Arial" w:cs="David" w:hint="cs"/>
          <w:b/>
          <w:bCs/>
          <w:rtl/>
        </w:rPr>
        <w:t xml:space="preserve">נקודות האחוז ועמד בסוף </w:t>
      </w:r>
      <w:r w:rsidR="00066DD0" w:rsidRPr="00914CB9">
        <w:rPr>
          <w:rFonts w:ascii="Arial" w:hAnsi="Arial" w:cs="David" w:hint="cs"/>
          <w:b/>
          <w:bCs/>
          <w:rtl/>
        </w:rPr>
        <w:t>יוני</w:t>
      </w:r>
      <w:r w:rsidR="00382546" w:rsidRPr="00914CB9">
        <w:rPr>
          <w:rFonts w:ascii="Arial" w:hAnsi="Arial" w:cs="David" w:hint="cs"/>
          <w:b/>
          <w:bCs/>
          <w:rtl/>
        </w:rPr>
        <w:t xml:space="preserve"> </w:t>
      </w:r>
      <w:r w:rsidRPr="00914CB9">
        <w:rPr>
          <w:rFonts w:ascii="Arial" w:hAnsi="Arial" w:cs="David" w:hint="cs"/>
          <w:b/>
          <w:bCs/>
          <w:rtl/>
        </w:rPr>
        <w:t>על 2</w:t>
      </w:r>
      <w:r w:rsidR="00066DD0" w:rsidRPr="00914CB9">
        <w:rPr>
          <w:rFonts w:ascii="Arial" w:hAnsi="Arial" w:cs="David" w:hint="cs"/>
          <w:b/>
          <w:bCs/>
          <w:rtl/>
        </w:rPr>
        <w:t>9</w:t>
      </w:r>
      <w:r w:rsidRPr="00914CB9">
        <w:rPr>
          <w:rFonts w:ascii="Arial" w:hAnsi="Arial" w:cs="David" w:hint="cs"/>
          <w:b/>
          <w:bCs/>
          <w:rtl/>
        </w:rPr>
        <w:t>.</w:t>
      </w:r>
      <w:r w:rsidR="00EA65B4" w:rsidRPr="00914CB9">
        <w:rPr>
          <w:rFonts w:ascii="Arial" w:hAnsi="Arial" w:cs="David" w:hint="cs"/>
          <w:b/>
          <w:bCs/>
          <w:rtl/>
        </w:rPr>
        <w:t>1</w:t>
      </w:r>
      <w:r w:rsidRPr="00914CB9">
        <w:rPr>
          <w:rFonts w:ascii="Arial" w:hAnsi="Arial" w:cs="David" w:hint="cs"/>
          <w:b/>
          <w:bCs/>
          <w:rtl/>
        </w:rPr>
        <w:t xml:space="preserve">%. </w:t>
      </w:r>
      <w:r w:rsidR="00EA65B4" w:rsidRPr="00914CB9">
        <w:rPr>
          <w:rFonts w:ascii="Arial" w:hAnsi="Arial" w:cs="David" w:hint="cs"/>
          <w:b/>
          <w:bCs/>
          <w:rtl/>
        </w:rPr>
        <w:t>ה</w:t>
      </w:r>
      <w:r w:rsidR="00066DD0" w:rsidRPr="00914CB9">
        <w:rPr>
          <w:rFonts w:ascii="Arial" w:hAnsi="Arial" w:cs="David" w:hint="cs"/>
          <w:b/>
          <w:bCs/>
          <w:rtl/>
        </w:rPr>
        <w:t>עלייה</w:t>
      </w:r>
      <w:r w:rsidR="00EA65B4" w:rsidRPr="00914CB9">
        <w:rPr>
          <w:rFonts w:ascii="Arial" w:hAnsi="Arial" w:cs="David"/>
          <w:b/>
          <w:bCs/>
          <w:rtl/>
        </w:rPr>
        <w:t xml:space="preserve"> </w:t>
      </w:r>
      <w:r w:rsidRPr="00914CB9">
        <w:rPr>
          <w:rFonts w:ascii="Arial" w:hAnsi="Arial" w:cs="David"/>
          <w:b/>
          <w:bCs/>
          <w:rtl/>
        </w:rPr>
        <w:t>ביחס החוב לתוצר שיקפה</w:t>
      </w:r>
      <w:r w:rsidR="00066DD0" w:rsidRPr="00914CB9">
        <w:rPr>
          <w:rFonts w:ascii="Arial" w:hAnsi="Arial" w:cs="David"/>
          <w:b/>
          <w:bCs/>
          <w:rtl/>
        </w:rPr>
        <w:t xml:space="preserve"> </w:t>
      </w:r>
      <w:r w:rsidR="00066DD0" w:rsidRPr="00914CB9">
        <w:rPr>
          <w:rFonts w:ascii="Arial" w:hAnsi="Arial" w:cs="David" w:hint="cs"/>
          <w:b/>
          <w:bCs/>
          <w:rtl/>
        </w:rPr>
        <w:t xml:space="preserve">את הגידול ביתרת החוב החיצוני לעומת ההתכווצות </w:t>
      </w:r>
      <w:r w:rsidR="00066DD0" w:rsidRPr="00914CB9">
        <w:rPr>
          <w:rFonts w:ascii="Arial" w:hAnsi="Arial" w:cs="David"/>
          <w:b/>
          <w:bCs/>
          <w:rtl/>
        </w:rPr>
        <w:t>בתוצר</w:t>
      </w:r>
      <w:r w:rsidR="00066DD0" w:rsidRPr="00914CB9">
        <w:rPr>
          <w:rFonts w:ascii="Arial" w:hAnsi="Arial" w:cs="David" w:hint="cs"/>
          <w:b/>
          <w:bCs/>
          <w:rtl/>
        </w:rPr>
        <w:t xml:space="preserve"> (במונחים דולריים).</w:t>
      </w:r>
    </w:p>
    <w:p w:rsidR="005D712A" w:rsidRDefault="005D712A" w:rsidP="005D712A">
      <w:pPr>
        <w:pStyle w:val="af7"/>
        <w:rPr>
          <w:rFonts w:ascii="Arial" w:hAnsi="Arial" w:cs="David"/>
          <w:b/>
          <w:bCs/>
          <w:rtl/>
        </w:rPr>
      </w:pPr>
    </w:p>
    <w:p w:rsidR="00914CB9" w:rsidRDefault="00914CB9" w:rsidP="005D712A">
      <w:pPr>
        <w:pStyle w:val="af7"/>
        <w:rPr>
          <w:rFonts w:ascii="Arial" w:hAnsi="Arial" w:cs="David"/>
          <w:b/>
          <w:bCs/>
          <w:rtl/>
        </w:rPr>
      </w:pPr>
    </w:p>
    <w:p w:rsidR="00095D4E" w:rsidRDefault="00095D4E" w:rsidP="00095D4E">
      <w:pPr>
        <w:pStyle w:val="af7"/>
        <w:rPr>
          <w:rFonts w:ascii="Arial" w:hAnsi="Arial" w:cs="David"/>
          <w:b/>
          <w:bCs/>
          <w:highlight w:val="yellow"/>
          <w:rtl/>
        </w:rPr>
      </w:pPr>
    </w:p>
    <w:p w:rsidR="00075A78" w:rsidRPr="00395210" w:rsidRDefault="00075A78" w:rsidP="00095D4E">
      <w:pPr>
        <w:rPr>
          <w:rFonts w:ascii="Arial" w:hAnsi="Arial" w:cs="David"/>
          <w:b/>
          <w:bCs/>
          <w:highlight w:val="yellow"/>
          <w:rtl/>
        </w:rPr>
      </w:pPr>
    </w:p>
    <w:p w:rsidR="004D208E" w:rsidRDefault="00092131" w:rsidP="005921B0">
      <w:pPr>
        <w:pStyle w:val="af"/>
        <w:rPr>
          <w:u w:val="none"/>
          <w:rtl/>
        </w:rPr>
      </w:pPr>
      <w:r w:rsidRPr="00B117A4">
        <w:rPr>
          <w:rFonts w:hint="cs"/>
          <w:u w:val="none"/>
          <w:rtl/>
        </w:rPr>
        <w:t xml:space="preserve">לוח 1: </w:t>
      </w:r>
      <w:r w:rsidR="00054C99" w:rsidRPr="00B117A4">
        <w:rPr>
          <w:rFonts w:hint="cs"/>
          <w:u w:val="none"/>
          <w:rtl/>
        </w:rPr>
        <w:t xml:space="preserve">יתרות הנכסים וההתחייבויות </w:t>
      </w:r>
      <w:r w:rsidR="00DD2C6C" w:rsidRPr="00B117A4">
        <w:rPr>
          <w:rFonts w:hint="cs"/>
          <w:u w:val="none"/>
          <w:rtl/>
        </w:rPr>
        <w:t xml:space="preserve">של המשק מול חו"ל </w:t>
      </w:r>
      <w:r w:rsidR="00054C99" w:rsidRPr="00B117A4">
        <w:rPr>
          <w:rFonts w:hint="cs"/>
          <w:u w:val="none"/>
          <w:rtl/>
        </w:rPr>
        <w:t>והשינויים בהם</w:t>
      </w:r>
    </w:p>
    <w:p w:rsidR="008554AE" w:rsidRPr="008554AE" w:rsidRDefault="00866088" w:rsidP="005921B0">
      <w:pPr>
        <w:pStyle w:val="af"/>
        <w:rPr>
          <w:u w:val="none"/>
          <w:rtl/>
        </w:rPr>
      </w:pPr>
      <w:r w:rsidRPr="00866088">
        <w:rPr>
          <w:noProof/>
          <w:lang w:eastAsia="en-US"/>
        </w:rPr>
        <w:drawing>
          <wp:inline distT="0" distB="0" distL="0" distR="0" wp14:anchorId="19E12871" wp14:editId="21FC6E8F">
            <wp:extent cx="6210300" cy="272923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10300" cy="2729230"/>
                    </a:xfrm>
                    <a:prstGeom prst="rect">
                      <a:avLst/>
                    </a:prstGeom>
                  </pic:spPr>
                </pic:pic>
              </a:graphicData>
            </a:graphic>
          </wp:inline>
        </w:drawing>
      </w:r>
    </w:p>
    <w:p w:rsidR="00AE1217" w:rsidRPr="00A53CC2" w:rsidRDefault="00AE1217" w:rsidP="005921B0">
      <w:pPr>
        <w:pStyle w:val="af"/>
        <w:rPr>
          <w:highlight w:val="yellow"/>
          <w:u w:val="none"/>
          <w:rtl/>
        </w:rPr>
      </w:pPr>
    </w:p>
    <w:p w:rsidR="00E95D04" w:rsidRPr="00CD5FF7" w:rsidRDefault="000447A6" w:rsidP="00E95D04">
      <w:pPr>
        <w:pStyle w:val="1"/>
        <w:rPr>
          <w:rStyle w:val="12"/>
          <w:b/>
          <w:bCs/>
          <w:u w:val="none"/>
          <w:rtl/>
        </w:rPr>
      </w:pPr>
      <w:r w:rsidRPr="00CD5FF7">
        <w:rPr>
          <w:rStyle w:val="12"/>
          <w:rFonts w:hint="cs"/>
          <w:b/>
          <w:bCs/>
          <w:u w:val="none"/>
          <w:rtl/>
        </w:rPr>
        <w:t>יתרת</w:t>
      </w:r>
      <w:r w:rsidR="00E95D04" w:rsidRPr="00CD5FF7">
        <w:rPr>
          <w:rStyle w:val="12"/>
          <w:rFonts w:hint="cs"/>
          <w:b/>
          <w:bCs/>
          <w:u w:val="none"/>
          <w:rtl/>
        </w:rPr>
        <w:t xml:space="preserve"> הנכסים של תושבי ישראל בחו"ל  </w:t>
      </w:r>
    </w:p>
    <w:p w:rsidR="00E6040F" w:rsidRPr="00E6040F" w:rsidRDefault="00E6040F" w:rsidP="00A11C72">
      <w:pPr>
        <w:spacing w:line="360" w:lineRule="auto"/>
        <w:ind w:right="426"/>
        <w:jc w:val="both"/>
        <w:rPr>
          <w:rFonts w:ascii="Arial" w:hAnsi="Arial" w:cs="David"/>
        </w:rPr>
      </w:pPr>
      <w:r w:rsidRPr="00E6040F">
        <w:rPr>
          <w:rFonts w:ascii="Arial" w:hAnsi="Arial" w:cs="David" w:hint="cs"/>
          <w:rtl/>
        </w:rPr>
        <w:t xml:space="preserve">יתרת הנכסים של תושבי ישראל בחו"ל </w:t>
      </w:r>
      <w:r w:rsidR="00866088">
        <w:rPr>
          <w:rFonts w:ascii="Arial" w:hAnsi="Arial" w:cs="David" w:hint="cs"/>
          <w:rtl/>
        </w:rPr>
        <w:t>עלתה</w:t>
      </w:r>
      <w:r w:rsidRPr="00E6040F">
        <w:rPr>
          <w:rFonts w:ascii="Arial" w:hAnsi="Arial" w:cs="David" w:hint="cs"/>
          <w:rtl/>
        </w:rPr>
        <w:t xml:space="preserve"> ברביע ה</w:t>
      </w:r>
      <w:r w:rsidR="00866088">
        <w:rPr>
          <w:rFonts w:ascii="Arial" w:hAnsi="Arial" w:cs="David" w:hint="cs"/>
          <w:rtl/>
        </w:rPr>
        <w:t>שני</w:t>
      </w:r>
      <w:r w:rsidRPr="00E6040F">
        <w:rPr>
          <w:rFonts w:ascii="Arial" w:hAnsi="Arial" w:cs="David" w:hint="cs"/>
          <w:rtl/>
        </w:rPr>
        <w:t xml:space="preserve"> של </w:t>
      </w:r>
      <w:r w:rsidR="00FB7A17">
        <w:rPr>
          <w:rFonts w:ascii="Arial" w:hAnsi="Arial" w:cs="David" w:hint="cs"/>
          <w:rtl/>
        </w:rPr>
        <w:t>שנת 2020</w:t>
      </w:r>
      <w:r w:rsidRPr="00E6040F">
        <w:rPr>
          <w:rFonts w:ascii="Arial" w:hAnsi="Arial" w:cs="David" w:hint="cs"/>
          <w:rtl/>
        </w:rPr>
        <w:t xml:space="preserve"> בכ-</w:t>
      </w:r>
      <w:r w:rsidR="00866088">
        <w:rPr>
          <w:rFonts w:ascii="Arial" w:hAnsi="Arial" w:cs="David" w:hint="cs"/>
          <w:rtl/>
        </w:rPr>
        <w:t>47.3</w:t>
      </w:r>
      <w:r w:rsidRPr="00E6040F">
        <w:rPr>
          <w:rFonts w:ascii="Arial" w:hAnsi="Arial" w:cs="David" w:hint="cs"/>
          <w:rtl/>
        </w:rPr>
        <w:t xml:space="preserve"> מיליארדי דולרים (</w:t>
      </w:r>
      <w:r w:rsidR="00866088">
        <w:rPr>
          <w:rFonts w:ascii="Arial" w:hAnsi="Arial" w:cs="David" w:hint="cs"/>
          <w:rtl/>
        </w:rPr>
        <w:t>9.9</w:t>
      </w:r>
      <w:r w:rsidRPr="00E6040F">
        <w:rPr>
          <w:rFonts w:ascii="Arial" w:hAnsi="Arial" w:cs="David" w:hint="cs"/>
          <w:rtl/>
        </w:rPr>
        <w:t xml:space="preserve">%) ועמדה בסוף </w:t>
      </w:r>
      <w:r w:rsidR="00866088">
        <w:rPr>
          <w:rFonts w:ascii="Arial" w:hAnsi="Arial" w:cs="David" w:hint="cs"/>
          <w:rtl/>
        </w:rPr>
        <w:t xml:space="preserve">יוני </w:t>
      </w:r>
      <w:r w:rsidRPr="00E6040F">
        <w:rPr>
          <w:rFonts w:ascii="Arial" w:hAnsi="Arial" w:cs="David" w:hint="cs"/>
          <w:rtl/>
        </w:rPr>
        <w:t xml:space="preserve">על </w:t>
      </w:r>
      <w:r w:rsidR="00866088">
        <w:rPr>
          <w:rFonts w:ascii="Arial" w:hAnsi="Arial" w:cs="David" w:hint="cs"/>
          <w:rtl/>
        </w:rPr>
        <w:t>523</w:t>
      </w:r>
      <w:r w:rsidRPr="00E6040F">
        <w:rPr>
          <w:rFonts w:ascii="Arial" w:hAnsi="Arial" w:cs="David" w:hint="cs"/>
          <w:rtl/>
        </w:rPr>
        <w:t xml:space="preserve"> מיליארדים. ה</w:t>
      </w:r>
      <w:r w:rsidR="00866088">
        <w:rPr>
          <w:rFonts w:ascii="Arial" w:hAnsi="Arial" w:cs="David" w:hint="cs"/>
          <w:rtl/>
        </w:rPr>
        <w:t>עלייה</w:t>
      </w:r>
      <w:r w:rsidRPr="00E6040F">
        <w:rPr>
          <w:rFonts w:ascii="Arial" w:hAnsi="Arial" w:cs="David" w:hint="cs"/>
          <w:rtl/>
        </w:rPr>
        <w:t xml:space="preserve"> ביתרה נבעה </w:t>
      </w:r>
      <w:r w:rsidR="00F329BF">
        <w:rPr>
          <w:rFonts w:ascii="Arial" w:hAnsi="Arial" w:cs="David" w:hint="cs"/>
          <w:rtl/>
        </w:rPr>
        <w:t>מ</w:t>
      </w:r>
      <w:r w:rsidR="00866088">
        <w:rPr>
          <w:rFonts w:ascii="Arial" w:hAnsi="Arial" w:cs="David" w:hint="cs"/>
          <w:rtl/>
        </w:rPr>
        <w:t>עלייה</w:t>
      </w:r>
      <w:r w:rsidR="00F329BF">
        <w:rPr>
          <w:rFonts w:ascii="Arial" w:hAnsi="Arial" w:cs="David" w:hint="cs"/>
          <w:rtl/>
        </w:rPr>
        <w:t xml:space="preserve"> חדה </w:t>
      </w:r>
      <w:r w:rsidR="00866088">
        <w:rPr>
          <w:rFonts w:ascii="Arial" w:hAnsi="Arial" w:cs="David" w:hint="cs"/>
          <w:rtl/>
        </w:rPr>
        <w:t>במחירי הנכסים בתיק ני"ע בחו"ל</w:t>
      </w:r>
      <w:r w:rsidR="004D43C0">
        <w:rPr>
          <w:rFonts w:ascii="Arial" w:hAnsi="Arial" w:cs="David" w:hint="cs"/>
          <w:rtl/>
        </w:rPr>
        <w:t xml:space="preserve">, </w:t>
      </w:r>
      <w:r w:rsidR="00F329BF">
        <w:rPr>
          <w:rFonts w:ascii="Arial" w:hAnsi="Arial" w:cs="David" w:hint="cs"/>
          <w:rtl/>
        </w:rPr>
        <w:t>בעיקר בהון מניות</w:t>
      </w:r>
      <w:r w:rsidR="00866088">
        <w:rPr>
          <w:rFonts w:ascii="Arial" w:hAnsi="Arial" w:cs="David" w:hint="cs"/>
          <w:rtl/>
        </w:rPr>
        <w:t xml:space="preserve">. כמו </w:t>
      </w:r>
      <w:r w:rsidR="008033D8">
        <w:rPr>
          <w:rFonts w:ascii="Arial" w:hAnsi="Arial" w:cs="David" w:hint="cs"/>
          <w:rtl/>
        </w:rPr>
        <w:t xml:space="preserve">כן, נרשמו ברביע השני </w:t>
      </w:r>
      <w:r w:rsidR="008033D8" w:rsidRPr="008033D8">
        <w:rPr>
          <w:rFonts w:ascii="Arial" w:hAnsi="Arial" w:cs="David"/>
          <w:rtl/>
        </w:rPr>
        <w:t xml:space="preserve">גידול בנכסי </w:t>
      </w:r>
      <w:r w:rsidR="008033D8">
        <w:rPr>
          <w:rFonts w:ascii="Arial" w:hAnsi="Arial" w:cs="David" w:hint="cs"/>
          <w:rtl/>
        </w:rPr>
        <w:t>ה</w:t>
      </w:r>
      <w:r w:rsidR="008033D8">
        <w:rPr>
          <w:rFonts w:ascii="Arial" w:hAnsi="Arial" w:cs="David"/>
          <w:rtl/>
        </w:rPr>
        <w:t xml:space="preserve">רזרבה </w:t>
      </w:r>
      <w:r w:rsidR="008033D8">
        <w:rPr>
          <w:rFonts w:ascii="Arial" w:hAnsi="Arial" w:cs="David" w:hint="cs"/>
          <w:rtl/>
        </w:rPr>
        <w:t>ו</w:t>
      </w:r>
      <w:r w:rsidR="008033D8" w:rsidRPr="008033D8">
        <w:rPr>
          <w:rFonts w:ascii="Arial" w:hAnsi="Arial" w:cs="David"/>
          <w:rtl/>
        </w:rPr>
        <w:t xml:space="preserve">השקעות בני"ע סחירים </w:t>
      </w:r>
      <w:r w:rsidR="008033D8">
        <w:rPr>
          <w:rFonts w:ascii="Arial" w:hAnsi="Arial" w:cs="David" w:hint="cs"/>
          <w:rtl/>
        </w:rPr>
        <w:t>שקוזזו בחלקם על ידי</w:t>
      </w:r>
      <w:r w:rsidR="008033D8" w:rsidRPr="008033D8">
        <w:rPr>
          <w:rFonts w:ascii="Arial" w:hAnsi="Arial" w:cs="David"/>
          <w:rtl/>
        </w:rPr>
        <w:t xml:space="preserve"> </w:t>
      </w:r>
      <w:r w:rsidR="00A11C72" w:rsidRPr="00A11C72">
        <w:rPr>
          <w:rFonts w:ascii="Arial" w:hAnsi="Arial" w:cs="David" w:hint="cs"/>
          <w:rtl/>
        </w:rPr>
        <w:t>משיכות מפיקדונות בחו"ל של בנקים ישראליים</w:t>
      </w:r>
      <w:r w:rsidR="008033D8">
        <w:rPr>
          <w:rFonts w:ascii="Arial" w:hAnsi="Arial" w:cs="David" w:hint="cs"/>
          <w:rtl/>
        </w:rPr>
        <w:t>.</w:t>
      </w:r>
      <w:r w:rsidR="008033D8" w:rsidRPr="008033D8">
        <w:rPr>
          <w:rFonts w:ascii="Arial" w:hAnsi="Arial" w:cs="David"/>
          <w:rtl/>
        </w:rPr>
        <w:t xml:space="preserve"> </w:t>
      </w:r>
    </w:p>
    <w:p w:rsidR="00CD5FF7" w:rsidRPr="00897C20" w:rsidRDefault="00CD5FF7" w:rsidP="0091695B">
      <w:pPr>
        <w:spacing w:line="360" w:lineRule="auto"/>
        <w:ind w:right="426"/>
        <w:jc w:val="both"/>
        <w:rPr>
          <w:rFonts w:ascii="Arial" w:hAnsi="Arial" w:cs="David"/>
          <w:b/>
          <w:bCs/>
          <w:highlight w:val="yellow"/>
          <w:rtl/>
        </w:rPr>
      </w:pPr>
    </w:p>
    <w:p w:rsidR="00D064D6" w:rsidRPr="0033717C" w:rsidRDefault="00B90A51" w:rsidP="0089025F">
      <w:pPr>
        <w:pStyle w:val="af7"/>
        <w:numPr>
          <w:ilvl w:val="0"/>
          <w:numId w:val="15"/>
        </w:numPr>
        <w:spacing w:line="360" w:lineRule="auto"/>
        <w:ind w:right="426"/>
        <w:jc w:val="both"/>
        <w:rPr>
          <w:rFonts w:ascii="Arial" w:hAnsi="Arial" w:cs="David"/>
          <w:rtl/>
        </w:rPr>
      </w:pPr>
      <w:r w:rsidRPr="0033717C">
        <w:rPr>
          <w:rStyle w:val="20"/>
          <w:rFonts w:hint="cs"/>
          <w:b/>
          <w:bCs/>
          <w:rtl/>
        </w:rPr>
        <w:t>שווי ההשקעות הישירות</w:t>
      </w:r>
      <w:r w:rsidRPr="0033717C">
        <w:rPr>
          <w:rFonts w:ascii="Arial" w:hAnsi="Arial" w:cs="David" w:hint="cs"/>
          <w:b/>
          <w:bCs/>
          <w:rtl/>
        </w:rPr>
        <w:t xml:space="preserve"> </w:t>
      </w:r>
      <w:r w:rsidR="00624395" w:rsidRPr="0033717C">
        <w:rPr>
          <w:rFonts w:ascii="Arial" w:hAnsi="Arial" w:cs="David" w:hint="cs"/>
          <w:rtl/>
        </w:rPr>
        <w:t xml:space="preserve">עלה במהלך הרביע </w:t>
      </w:r>
      <w:r w:rsidR="00B34352" w:rsidRPr="0033717C">
        <w:rPr>
          <w:rFonts w:ascii="Arial" w:hAnsi="Arial" w:cs="David" w:hint="cs"/>
          <w:rtl/>
        </w:rPr>
        <w:t>ה</w:t>
      </w:r>
      <w:r w:rsidR="0089025F">
        <w:rPr>
          <w:rFonts w:ascii="Arial" w:hAnsi="Arial" w:cs="David" w:hint="cs"/>
          <w:rtl/>
        </w:rPr>
        <w:t>שני</w:t>
      </w:r>
      <w:r w:rsidR="00624395" w:rsidRPr="0033717C">
        <w:rPr>
          <w:rFonts w:ascii="Arial" w:hAnsi="Arial" w:cs="David" w:hint="cs"/>
          <w:rtl/>
        </w:rPr>
        <w:t xml:space="preserve"> בכ-</w:t>
      </w:r>
      <w:r w:rsidR="00897C20">
        <w:rPr>
          <w:rFonts w:ascii="Arial" w:hAnsi="Arial" w:cs="David" w:hint="cs"/>
          <w:rtl/>
        </w:rPr>
        <w:t>0.9</w:t>
      </w:r>
      <w:r w:rsidR="00624395" w:rsidRPr="0033717C">
        <w:rPr>
          <w:rFonts w:ascii="Arial" w:hAnsi="Arial" w:cs="David" w:hint="cs"/>
          <w:rtl/>
        </w:rPr>
        <w:t xml:space="preserve"> מיליארד</w:t>
      </w:r>
      <w:r w:rsidR="00240AFA" w:rsidRPr="0033717C">
        <w:rPr>
          <w:rFonts w:ascii="Arial" w:hAnsi="Arial" w:cs="David" w:hint="cs"/>
          <w:rtl/>
        </w:rPr>
        <w:t xml:space="preserve"> דולר</w:t>
      </w:r>
      <w:r w:rsidR="00624395" w:rsidRPr="0033717C">
        <w:rPr>
          <w:rFonts w:ascii="Arial" w:hAnsi="Arial" w:cs="David" w:hint="cs"/>
          <w:rtl/>
        </w:rPr>
        <w:t xml:space="preserve"> (</w:t>
      </w:r>
      <w:r w:rsidR="00897C20">
        <w:rPr>
          <w:rFonts w:ascii="Arial" w:hAnsi="Arial" w:cs="David" w:hint="cs"/>
          <w:rtl/>
        </w:rPr>
        <w:t>0.8</w:t>
      </w:r>
      <w:r w:rsidR="00624395" w:rsidRPr="0033717C">
        <w:rPr>
          <w:rFonts w:ascii="Arial" w:hAnsi="Arial" w:cs="David" w:hint="cs"/>
          <w:rtl/>
        </w:rPr>
        <w:t xml:space="preserve">%) בעיקר כתוצאה </w:t>
      </w:r>
      <w:r w:rsidR="0089025F">
        <w:rPr>
          <w:rFonts w:ascii="Arial" w:hAnsi="Arial" w:cs="David" w:hint="cs"/>
          <w:rtl/>
        </w:rPr>
        <w:t>מגידול ברווחים במכשירי ההון (כ-0.7 מיליארד דולר)</w:t>
      </w:r>
      <w:r w:rsidR="00624395" w:rsidRPr="0033717C">
        <w:rPr>
          <w:rFonts w:ascii="Arial" w:hAnsi="Arial" w:cs="David" w:hint="cs"/>
          <w:rtl/>
        </w:rPr>
        <w:t>.</w:t>
      </w:r>
      <w:r w:rsidR="00AB6839">
        <w:rPr>
          <w:rFonts w:ascii="Arial" w:hAnsi="Arial" w:cs="David" w:hint="cs"/>
          <w:rtl/>
        </w:rPr>
        <w:t xml:space="preserve"> </w:t>
      </w:r>
    </w:p>
    <w:p w:rsidR="00637350" w:rsidRDefault="002216F2" w:rsidP="00BB043A">
      <w:pPr>
        <w:pStyle w:val="2"/>
        <w:ind w:left="720"/>
        <w:rPr>
          <w:rFonts w:ascii="Arial" w:hAnsi="Arial"/>
          <w:rtl/>
        </w:rPr>
      </w:pPr>
      <w:r w:rsidRPr="007108B0">
        <w:rPr>
          <w:rFonts w:hint="cs"/>
          <w:b/>
          <w:bCs/>
          <w:rtl/>
        </w:rPr>
        <w:t xml:space="preserve">שווי תיק </w:t>
      </w:r>
      <w:r w:rsidR="003624A8" w:rsidRPr="007108B0">
        <w:rPr>
          <w:rFonts w:hint="cs"/>
          <w:b/>
          <w:bCs/>
          <w:rtl/>
        </w:rPr>
        <w:t>ניירות הערך</w:t>
      </w:r>
      <w:r w:rsidRPr="007108B0">
        <w:rPr>
          <w:rFonts w:hint="cs"/>
          <w:rtl/>
        </w:rPr>
        <w:t xml:space="preserve"> </w:t>
      </w:r>
      <w:r w:rsidR="0089025F">
        <w:rPr>
          <w:rFonts w:hint="cs"/>
          <w:rtl/>
        </w:rPr>
        <w:t>עלה</w:t>
      </w:r>
      <w:r w:rsidR="007E2B6A">
        <w:rPr>
          <w:rFonts w:hint="cs"/>
          <w:rtl/>
        </w:rPr>
        <w:t xml:space="preserve"> </w:t>
      </w:r>
      <w:r w:rsidRPr="007108B0">
        <w:rPr>
          <w:rFonts w:hint="cs"/>
          <w:rtl/>
        </w:rPr>
        <w:t>במהלך הרביע ה</w:t>
      </w:r>
      <w:r w:rsidR="0089025F">
        <w:rPr>
          <w:rFonts w:hint="cs"/>
          <w:rtl/>
        </w:rPr>
        <w:t>שני</w:t>
      </w:r>
      <w:r w:rsidRPr="007108B0">
        <w:rPr>
          <w:rFonts w:hint="cs"/>
          <w:rtl/>
        </w:rPr>
        <w:t xml:space="preserve"> בכ-</w:t>
      </w:r>
      <w:r w:rsidR="0089025F">
        <w:rPr>
          <w:rFonts w:hint="cs"/>
          <w:rtl/>
        </w:rPr>
        <w:t>33.5</w:t>
      </w:r>
      <w:r w:rsidR="007E2B6A">
        <w:rPr>
          <w:rFonts w:hint="cs"/>
          <w:rtl/>
        </w:rPr>
        <w:t xml:space="preserve"> </w:t>
      </w:r>
      <w:r w:rsidRPr="007108B0">
        <w:rPr>
          <w:rFonts w:hint="cs"/>
          <w:rtl/>
        </w:rPr>
        <w:t>מיליארדי דולרים (</w:t>
      </w:r>
      <w:r w:rsidR="0089025F">
        <w:rPr>
          <w:rFonts w:hint="cs"/>
          <w:rtl/>
        </w:rPr>
        <w:t>23.6</w:t>
      </w:r>
      <w:r w:rsidRPr="007108B0">
        <w:rPr>
          <w:rFonts w:hint="cs"/>
          <w:rtl/>
        </w:rPr>
        <w:t xml:space="preserve">%) בעיקר כתוצאה </w:t>
      </w:r>
      <w:r w:rsidR="00AB5EBC">
        <w:rPr>
          <w:rFonts w:hint="cs"/>
          <w:rtl/>
        </w:rPr>
        <w:t xml:space="preserve"> </w:t>
      </w:r>
      <w:r w:rsidR="0089025F">
        <w:rPr>
          <w:rFonts w:hint="cs"/>
          <w:rtl/>
        </w:rPr>
        <w:t>מעליות</w:t>
      </w:r>
      <w:r w:rsidR="00AB5EBC" w:rsidRPr="007108B0">
        <w:rPr>
          <w:rFonts w:hint="cs"/>
          <w:rtl/>
        </w:rPr>
        <w:t xml:space="preserve"> במחירי </w:t>
      </w:r>
      <w:r w:rsidR="0089025F">
        <w:rPr>
          <w:rFonts w:hint="cs"/>
          <w:rtl/>
        </w:rPr>
        <w:t>ניירות הערך הזרים</w:t>
      </w:r>
      <w:r w:rsidR="00AB5EBC" w:rsidRPr="007108B0">
        <w:rPr>
          <w:rFonts w:hint="cs"/>
          <w:rtl/>
        </w:rPr>
        <w:t xml:space="preserve"> שמחזיקים תושבי ישראל</w:t>
      </w:r>
      <w:r w:rsidR="00AB5EBC">
        <w:rPr>
          <w:rFonts w:hint="cs"/>
          <w:rtl/>
        </w:rPr>
        <w:t>,</w:t>
      </w:r>
      <w:r w:rsidR="00AB5EBC" w:rsidRPr="007108B0">
        <w:rPr>
          <w:rFonts w:hint="cs"/>
          <w:rtl/>
        </w:rPr>
        <w:t xml:space="preserve"> </w:t>
      </w:r>
      <w:r w:rsidR="00BB043A">
        <w:rPr>
          <w:rFonts w:hint="cs"/>
          <w:rtl/>
        </w:rPr>
        <w:t>שהגדילו את שווי התיק ב</w:t>
      </w:r>
      <w:r w:rsidR="0089025F">
        <w:rPr>
          <w:rFonts w:hint="cs"/>
          <w:rtl/>
        </w:rPr>
        <w:t xml:space="preserve">כ-22.3 מיליארדים </w:t>
      </w:r>
      <w:r w:rsidR="00AB5EBC" w:rsidRPr="007108B0">
        <w:rPr>
          <w:rFonts w:hint="cs"/>
          <w:rtl/>
        </w:rPr>
        <w:t>(</w:t>
      </w:r>
      <w:r w:rsidR="00921F19">
        <w:rPr>
          <w:rFonts w:ascii="David" w:hAnsi="David" w:hint="cs"/>
          <w:rtl/>
        </w:rPr>
        <w:t>15.7%</w:t>
      </w:r>
      <w:r w:rsidR="007E5415">
        <w:rPr>
          <w:rFonts w:ascii="David" w:hAnsi="David" w:hint="cs"/>
          <w:rtl/>
        </w:rPr>
        <w:t xml:space="preserve"> מיתרת ההשקעות הפיננסיות</w:t>
      </w:r>
      <w:r w:rsidR="00AB5EBC" w:rsidRPr="000D1252">
        <w:rPr>
          <w:rFonts w:ascii="David" w:hAnsi="David"/>
          <w:rtl/>
        </w:rPr>
        <w:t>)</w:t>
      </w:r>
      <w:r w:rsidR="00245A6E">
        <w:rPr>
          <w:rFonts w:ascii="David" w:hAnsi="David" w:hint="cs"/>
          <w:rtl/>
        </w:rPr>
        <w:t>, בעיקר במניות</w:t>
      </w:r>
      <w:r w:rsidR="0089025F">
        <w:rPr>
          <w:rFonts w:ascii="David" w:hAnsi="David" w:hint="cs"/>
          <w:rtl/>
        </w:rPr>
        <w:t>.</w:t>
      </w:r>
      <w:r w:rsidR="00AB5EBC" w:rsidRPr="000D1252">
        <w:rPr>
          <w:rFonts w:ascii="David" w:hAnsi="David"/>
          <w:rtl/>
        </w:rPr>
        <w:t xml:space="preserve"> </w:t>
      </w:r>
      <w:r w:rsidR="0089025F">
        <w:rPr>
          <w:rFonts w:hint="cs"/>
          <w:rtl/>
        </w:rPr>
        <w:t>זאת לאחר שברביע הקודם נרשמה ירידת מחירים בתיק ני"ע</w:t>
      </w:r>
      <w:r w:rsidR="006F0654">
        <w:rPr>
          <w:rFonts w:hint="cs"/>
          <w:rtl/>
        </w:rPr>
        <w:t xml:space="preserve"> </w:t>
      </w:r>
      <w:r w:rsidR="0089025F" w:rsidRPr="007108B0">
        <w:rPr>
          <w:rFonts w:hint="cs"/>
          <w:rtl/>
        </w:rPr>
        <w:t xml:space="preserve">בהיקף של כ- </w:t>
      </w:r>
      <w:r w:rsidR="0089025F">
        <w:rPr>
          <w:rFonts w:hint="cs"/>
          <w:rtl/>
        </w:rPr>
        <w:t>23.2</w:t>
      </w:r>
      <w:r w:rsidR="0089025F" w:rsidRPr="007108B0">
        <w:rPr>
          <w:rFonts w:hint="cs"/>
          <w:rtl/>
        </w:rPr>
        <w:t xml:space="preserve"> </w:t>
      </w:r>
      <w:r w:rsidR="0089025F">
        <w:rPr>
          <w:rFonts w:hint="cs"/>
          <w:rtl/>
        </w:rPr>
        <w:t xml:space="preserve">מיליארדי דולרים, </w:t>
      </w:r>
      <w:r w:rsidR="006F0654" w:rsidRPr="00E8538A">
        <w:rPr>
          <w:rFonts w:hint="eastAsia"/>
          <w:rtl/>
        </w:rPr>
        <w:t>על</w:t>
      </w:r>
      <w:r w:rsidR="006F0654" w:rsidRPr="00E8538A">
        <w:rPr>
          <w:rtl/>
        </w:rPr>
        <w:t xml:space="preserve"> </w:t>
      </w:r>
      <w:r w:rsidR="006F0654" w:rsidRPr="00E8538A">
        <w:rPr>
          <w:rFonts w:hint="eastAsia"/>
          <w:rtl/>
        </w:rPr>
        <w:t>רקע</w:t>
      </w:r>
      <w:r w:rsidR="006F0654" w:rsidRPr="00E8538A">
        <w:rPr>
          <w:rtl/>
        </w:rPr>
        <w:t xml:space="preserve"> </w:t>
      </w:r>
      <w:r w:rsidR="006F0654" w:rsidRPr="00E8538A">
        <w:rPr>
          <w:rFonts w:hint="eastAsia"/>
          <w:rtl/>
        </w:rPr>
        <w:t>משבר</w:t>
      </w:r>
      <w:r w:rsidR="006F0654" w:rsidRPr="00E8538A">
        <w:rPr>
          <w:rtl/>
        </w:rPr>
        <w:t xml:space="preserve"> </w:t>
      </w:r>
      <w:r w:rsidR="006F0654" w:rsidRPr="00637350">
        <w:rPr>
          <w:rFonts w:hint="eastAsia"/>
          <w:rtl/>
        </w:rPr>
        <w:t>הקורונה</w:t>
      </w:r>
      <w:r w:rsidR="00AB5EBC" w:rsidRPr="00637350">
        <w:rPr>
          <w:rFonts w:ascii="Arial" w:hAnsi="Arial" w:hint="cs"/>
          <w:rtl/>
        </w:rPr>
        <w:t xml:space="preserve">. </w:t>
      </w:r>
    </w:p>
    <w:p w:rsidR="002216F2" w:rsidRPr="007108B0" w:rsidRDefault="00AB5EBC" w:rsidP="007D658A">
      <w:pPr>
        <w:pStyle w:val="2"/>
        <w:ind w:left="720"/>
        <w:rPr>
          <w:rtl/>
        </w:rPr>
      </w:pPr>
      <w:r w:rsidRPr="00637350">
        <w:rPr>
          <w:rFonts w:ascii="Arial" w:hAnsi="Arial" w:hint="cs"/>
          <w:rtl/>
        </w:rPr>
        <w:t xml:space="preserve">כמו </w:t>
      </w:r>
      <w:r>
        <w:rPr>
          <w:rFonts w:ascii="Arial" w:hAnsi="Arial" w:hint="cs"/>
          <w:rtl/>
        </w:rPr>
        <w:t xml:space="preserve">כן, </w:t>
      </w:r>
      <w:r w:rsidR="007E5415">
        <w:rPr>
          <w:rFonts w:ascii="Arial" w:hAnsi="Arial" w:hint="cs"/>
          <w:rtl/>
        </w:rPr>
        <w:t>ל</w:t>
      </w:r>
      <w:r w:rsidR="00E94392">
        <w:rPr>
          <w:rFonts w:ascii="Arial" w:hAnsi="Arial" w:hint="cs"/>
          <w:rtl/>
        </w:rPr>
        <w:t>עלייה</w:t>
      </w:r>
      <w:r w:rsidR="007E5415">
        <w:rPr>
          <w:rFonts w:ascii="Arial" w:hAnsi="Arial" w:hint="cs"/>
          <w:rtl/>
        </w:rPr>
        <w:t xml:space="preserve"> </w:t>
      </w:r>
      <w:r w:rsidR="006B6098">
        <w:rPr>
          <w:rFonts w:ascii="Arial" w:hAnsi="Arial" w:hint="cs"/>
          <w:rtl/>
        </w:rPr>
        <w:t xml:space="preserve">בשווי </w:t>
      </w:r>
      <w:r w:rsidR="007E5415">
        <w:rPr>
          <w:rFonts w:ascii="Arial" w:hAnsi="Arial" w:hint="cs"/>
          <w:rtl/>
        </w:rPr>
        <w:t>ה</w:t>
      </w:r>
      <w:r w:rsidR="006B6098">
        <w:rPr>
          <w:rFonts w:ascii="Arial" w:hAnsi="Arial" w:hint="cs"/>
          <w:rtl/>
        </w:rPr>
        <w:t xml:space="preserve">תיק </w:t>
      </w:r>
      <w:r w:rsidR="007E5415">
        <w:rPr>
          <w:rFonts w:ascii="Arial" w:hAnsi="Arial" w:hint="cs"/>
          <w:rtl/>
        </w:rPr>
        <w:t xml:space="preserve">תרמו </w:t>
      </w:r>
      <w:r w:rsidR="00463AF7">
        <w:rPr>
          <w:rFonts w:ascii="Arial" w:hAnsi="Arial" w:hint="cs"/>
          <w:rtl/>
        </w:rPr>
        <w:t>השקעות</w:t>
      </w:r>
      <w:r w:rsidR="007E5415">
        <w:rPr>
          <w:rFonts w:ascii="Arial" w:hAnsi="Arial" w:hint="cs"/>
          <w:rtl/>
        </w:rPr>
        <w:t xml:space="preserve"> נטו</w:t>
      </w:r>
      <w:r w:rsidR="002E49B0">
        <w:rPr>
          <w:rFonts w:ascii="Arial" w:hAnsi="Arial" w:hint="cs"/>
          <w:rtl/>
        </w:rPr>
        <w:t xml:space="preserve"> </w:t>
      </w:r>
      <w:r w:rsidR="00463AF7">
        <w:rPr>
          <w:rFonts w:ascii="Arial" w:hAnsi="Arial" w:hint="cs"/>
          <w:rtl/>
        </w:rPr>
        <w:t>באג"ח זרות ובמניות בסך של כ-6.9 מיליארדי דולרים, וכ-4.8 מיליארדים בהתאמה</w:t>
      </w:r>
      <w:r w:rsidR="007A7FAC">
        <w:rPr>
          <w:rFonts w:hint="cs"/>
          <w:rtl/>
        </w:rPr>
        <w:t>.</w:t>
      </w:r>
      <w:r w:rsidR="002E49B0">
        <w:rPr>
          <w:rFonts w:hint="cs"/>
          <w:rtl/>
        </w:rPr>
        <w:t xml:space="preserve"> עיקר ה</w:t>
      </w:r>
      <w:r w:rsidR="00463AF7">
        <w:rPr>
          <w:rFonts w:hint="cs"/>
          <w:rtl/>
        </w:rPr>
        <w:t>השקעות</w:t>
      </w:r>
      <w:r w:rsidR="002E49B0">
        <w:rPr>
          <w:rFonts w:hint="cs"/>
          <w:rtl/>
        </w:rPr>
        <w:t xml:space="preserve"> בוצעו ע"י</w:t>
      </w:r>
      <w:r w:rsidR="006B6A13" w:rsidRPr="006B6A13">
        <w:rPr>
          <w:rFonts w:hint="cs"/>
          <w:rtl/>
        </w:rPr>
        <w:t xml:space="preserve"> </w:t>
      </w:r>
      <w:r w:rsidR="00D1680D">
        <w:rPr>
          <w:rFonts w:hint="cs"/>
          <w:rtl/>
        </w:rPr>
        <w:t>המשקיעים המוסדיים (כ-2.3 מיליארדים מההשקעות באג"ח וכ-1.9 מיליארדי מההשקעות במניות) ו</w:t>
      </w:r>
      <w:r w:rsidR="006B6A13">
        <w:rPr>
          <w:rFonts w:hint="cs"/>
          <w:rtl/>
        </w:rPr>
        <w:t>הבנקים</w:t>
      </w:r>
      <w:r w:rsidR="00463AF7">
        <w:rPr>
          <w:rFonts w:hint="cs"/>
          <w:rtl/>
        </w:rPr>
        <w:t xml:space="preserve"> </w:t>
      </w:r>
      <w:r w:rsidR="00D1680D">
        <w:rPr>
          <w:rFonts w:hint="cs"/>
          <w:rtl/>
        </w:rPr>
        <w:t>(כ-3.6</w:t>
      </w:r>
      <w:r w:rsidR="00463AF7">
        <w:rPr>
          <w:rFonts w:hint="cs"/>
          <w:rtl/>
        </w:rPr>
        <w:t xml:space="preserve"> מיליארדים מההשקעות </w:t>
      </w:r>
      <w:r w:rsidR="00463AF7" w:rsidRPr="007D658A">
        <w:rPr>
          <w:rFonts w:hint="cs"/>
          <w:rtl/>
        </w:rPr>
        <w:t>באג"ח)</w:t>
      </w:r>
      <w:r w:rsidR="00D1680D" w:rsidRPr="007D658A">
        <w:rPr>
          <w:rFonts w:hint="cs"/>
          <w:rtl/>
        </w:rPr>
        <w:t>.</w:t>
      </w:r>
      <w:r w:rsidR="00500571">
        <w:rPr>
          <w:rFonts w:hint="cs"/>
          <w:rtl/>
        </w:rPr>
        <w:t xml:space="preserve"> </w:t>
      </w:r>
      <w:r w:rsidR="006B6A13" w:rsidRPr="007A7FAC">
        <w:rPr>
          <w:rFonts w:hint="cs"/>
          <w:rtl/>
        </w:rPr>
        <w:t>(תרשים 1)</w:t>
      </w:r>
    </w:p>
    <w:p w:rsidR="00933151" w:rsidRDefault="00AC0310" w:rsidP="00AC0310">
      <w:pPr>
        <w:pStyle w:val="2"/>
        <w:ind w:left="720"/>
        <w:jc w:val="center"/>
        <w:rPr>
          <w:noProof/>
          <w:rtl/>
          <w:lang w:eastAsia="en-US"/>
        </w:rPr>
      </w:pPr>
      <w:r>
        <w:rPr>
          <w:noProof/>
          <w:lang w:eastAsia="en-US"/>
        </w:rPr>
        <w:lastRenderedPageBreak/>
        <w:drawing>
          <wp:inline distT="0" distB="0" distL="0" distR="0" wp14:anchorId="3F58F371">
            <wp:extent cx="3776870" cy="2569881"/>
            <wp:effectExtent l="0" t="0" r="0" b="190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8250" cy="2584428"/>
                    </a:xfrm>
                    <a:prstGeom prst="rect">
                      <a:avLst/>
                    </a:prstGeom>
                    <a:noFill/>
                  </pic:spPr>
                </pic:pic>
              </a:graphicData>
            </a:graphic>
          </wp:inline>
        </w:drawing>
      </w:r>
    </w:p>
    <w:p w:rsidR="00FB1799" w:rsidRPr="00560045" w:rsidRDefault="00FB1799" w:rsidP="00700C9B">
      <w:pPr>
        <w:pStyle w:val="2"/>
        <w:rPr>
          <w:rtl/>
        </w:rPr>
      </w:pPr>
    </w:p>
    <w:p w:rsidR="009F633E" w:rsidRPr="00560045" w:rsidRDefault="00E95D04" w:rsidP="002B635A">
      <w:pPr>
        <w:pStyle w:val="af7"/>
        <w:numPr>
          <w:ilvl w:val="0"/>
          <w:numId w:val="16"/>
        </w:numPr>
        <w:spacing w:after="240" w:line="360" w:lineRule="auto"/>
        <w:ind w:right="426"/>
        <w:jc w:val="both"/>
        <w:rPr>
          <w:rStyle w:val="20"/>
          <w:rFonts w:ascii="Arial" w:hAnsi="Arial"/>
        </w:rPr>
      </w:pPr>
      <w:r w:rsidRPr="00560045">
        <w:rPr>
          <w:rStyle w:val="20"/>
          <w:rFonts w:hint="cs"/>
          <w:b/>
          <w:bCs/>
          <w:rtl/>
        </w:rPr>
        <w:t>שווי ההשקעות האחרות</w:t>
      </w:r>
      <w:r w:rsidRPr="00560045">
        <w:rPr>
          <w:rFonts w:ascii="Arial" w:hAnsi="Arial" w:cs="David" w:hint="cs"/>
          <w:b/>
          <w:bCs/>
          <w:rtl/>
        </w:rPr>
        <w:t xml:space="preserve"> </w:t>
      </w:r>
      <w:r w:rsidRPr="00560045">
        <w:rPr>
          <w:rFonts w:ascii="Arial" w:hAnsi="Arial" w:cs="David" w:hint="cs"/>
          <w:rtl/>
        </w:rPr>
        <w:t xml:space="preserve">בחו"ל </w:t>
      </w:r>
      <w:r w:rsidR="002B635A" w:rsidRPr="00560045">
        <w:rPr>
          <w:rFonts w:ascii="Arial" w:hAnsi="Arial" w:cs="David" w:hint="cs"/>
          <w:rtl/>
        </w:rPr>
        <w:t>ירד</w:t>
      </w:r>
      <w:r w:rsidR="00B3376B" w:rsidRPr="00560045">
        <w:rPr>
          <w:rFonts w:ascii="Arial" w:hAnsi="Arial" w:cs="David" w:hint="cs"/>
          <w:rtl/>
        </w:rPr>
        <w:t xml:space="preserve"> במהלך</w:t>
      </w:r>
      <w:r w:rsidRPr="00560045">
        <w:rPr>
          <w:rFonts w:ascii="Arial" w:hAnsi="Arial" w:cs="David" w:hint="cs"/>
          <w:rtl/>
        </w:rPr>
        <w:t xml:space="preserve"> </w:t>
      </w:r>
      <w:r w:rsidR="00B3376B" w:rsidRPr="00560045">
        <w:rPr>
          <w:rFonts w:ascii="Arial" w:hAnsi="Arial" w:cs="David" w:hint="cs"/>
          <w:rtl/>
        </w:rPr>
        <w:t>ה</w:t>
      </w:r>
      <w:r w:rsidRPr="00560045">
        <w:rPr>
          <w:rFonts w:ascii="Arial" w:hAnsi="Arial" w:cs="David" w:hint="cs"/>
          <w:rtl/>
        </w:rPr>
        <w:t xml:space="preserve">רביע </w:t>
      </w:r>
      <w:r w:rsidR="002A768F" w:rsidRPr="00560045">
        <w:rPr>
          <w:rFonts w:ascii="Arial" w:hAnsi="Arial" w:cs="David" w:hint="cs"/>
          <w:rtl/>
        </w:rPr>
        <w:t>ה</w:t>
      </w:r>
      <w:r w:rsidR="002B635A" w:rsidRPr="00560045">
        <w:rPr>
          <w:rFonts w:ascii="Arial" w:hAnsi="Arial" w:cs="David" w:hint="cs"/>
          <w:rtl/>
        </w:rPr>
        <w:t>שני</w:t>
      </w:r>
      <w:r w:rsidR="006F0654" w:rsidRPr="00560045">
        <w:rPr>
          <w:rFonts w:ascii="Arial" w:hAnsi="Arial" w:cs="David" w:hint="cs"/>
          <w:rtl/>
        </w:rPr>
        <w:t xml:space="preserve"> ב</w:t>
      </w:r>
      <w:r w:rsidR="009E585A" w:rsidRPr="00560045">
        <w:rPr>
          <w:rFonts w:ascii="Arial" w:hAnsi="Arial" w:cs="David" w:hint="cs"/>
          <w:rtl/>
        </w:rPr>
        <w:t>כ-</w:t>
      </w:r>
      <w:r w:rsidR="002B635A" w:rsidRPr="00560045">
        <w:rPr>
          <w:rFonts w:ascii="David" w:hAnsi="David" w:cs="David" w:hint="cs"/>
          <w:rtl/>
        </w:rPr>
        <w:t>9</w:t>
      </w:r>
      <w:r w:rsidR="009F633E" w:rsidRPr="00560045">
        <w:rPr>
          <w:rFonts w:ascii="Arial" w:hAnsi="Arial" w:cs="David" w:hint="cs"/>
          <w:rtl/>
        </w:rPr>
        <w:t xml:space="preserve"> </w:t>
      </w:r>
      <w:r w:rsidR="00B3376B" w:rsidRPr="00560045">
        <w:rPr>
          <w:rFonts w:ascii="Arial" w:hAnsi="Arial" w:cs="David" w:hint="cs"/>
          <w:rtl/>
        </w:rPr>
        <w:t>מיליארדי דולרים</w:t>
      </w:r>
      <w:r w:rsidR="009E585A" w:rsidRPr="00560045">
        <w:rPr>
          <w:rFonts w:ascii="Arial" w:hAnsi="Arial" w:cs="David" w:hint="cs"/>
          <w:rtl/>
        </w:rPr>
        <w:t xml:space="preserve"> </w:t>
      </w:r>
      <w:r w:rsidR="00B3376B" w:rsidRPr="00560045">
        <w:rPr>
          <w:rFonts w:ascii="Arial" w:hAnsi="Arial" w:cs="David" w:hint="cs"/>
          <w:rtl/>
        </w:rPr>
        <w:t>(</w:t>
      </w:r>
      <w:r w:rsidR="002B635A" w:rsidRPr="00560045">
        <w:rPr>
          <w:rFonts w:ascii="Arial" w:hAnsi="Arial" w:cs="David" w:hint="cs"/>
          <w:rtl/>
        </w:rPr>
        <w:t>9.4</w:t>
      </w:r>
      <w:r w:rsidR="006770C0" w:rsidRPr="00560045">
        <w:rPr>
          <w:rFonts w:ascii="Arial" w:hAnsi="Arial" w:cs="David" w:hint="cs"/>
          <w:rtl/>
        </w:rPr>
        <w:t>%</w:t>
      </w:r>
      <w:r w:rsidR="002B635A" w:rsidRPr="00560045">
        <w:rPr>
          <w:rFonts w:ascii="Arial" w:hAnsi="Arial" w:cs="David" w:hint="cs"/>
          <w:rtl/>
        </w:rPr>
        <w:t>-</w:t>
      </w:r>
      <w:r w:rsidR="00B3376B" w:rsidRPr="00560045">
        <w:rPr>
          <w:rFonts w:ascii="Arial" w:hAnsi="Arial" w:cs="David" w:hint="cs"/>
          <w:rtl/>
        </w:rPr>
        <w:t>)</w:t>
      </w:r>
      <w:r w:rsidR="009265CF" w:rsidRPr="00560045">
        <w:rPr>
          <w:rFonts w:ascii="Arial" w:hAnsi="Arial" w:cs="David" w:hint="cs"/>
          <w:rtl/>
        </w:rPr>
        <w:t xml:space="preserve">. </w:t>
      </w:r>
      <w:r w:rsidR="009F633E" w:rsidRPr="00560045">
        <w:rPr>
          <w:rFonts w:ascii="Arial" w:hAnsi="Arial" w:cs="David" w:hint="cs"/>
          <w:rtl/>
        </w:rPr>
        <w:t>ה</w:t>
      </w:r>
      <w:r w:rsidR="002B635A" w:rsidRPr="00560045">
        <w:rPr>
          <w:rFonts w:ascii="Arial" w:hAnsi="Arial" w:cs="David" w:hint="cs"/>
          <w:rtl/>
        </w:rPr>
        <w:t>ירידה</w:t>
      </w:r>
      <w:r w:rsidR="00891003" w:rsidRPr="00560045">
        <w:rPr>
          <w:rFonts w:ascii="Arial" w:hAnsi="Arial" w:cs="David" w:hint="cs"/>
          <w:rtl/>
        </w:rPr>
        <w:t xml:space="preserve"> נבע</w:t>
      </w:r>
      <w:r w:rsidR="0030441C" w:rsidRPr="00560045">
        <w:rPr>
          <w:rFonts w:ascii="Arial" w:hAnsi="Arial" w:cs="David" w:hint="cs"/>
          <w:rtl/>
        </w:rPr>
        <w:t>ה</w:t>
      </w:r>
      <w:r w:rsidR="009265CF" w:rsidRPr="00560045">
        <w:rPr>
          <w:rFonts w:ascii="Arial" w:hAnsi="Arial" w:cs="David" w:hint="cs"/>
          <w:rtl/>
        </w:rPr>
        <w:t xml:space="preserve"> בעיקר</w:t>
      </w:r>
      <w:r w:rsidR="009F633E" w:rsidRPr="00560045">
        <w:rPr>
          <w:rFonts w:ascii="Arial" w:hAnsi="Arial" w:cs="David" w:hint="cs"/>
          <w:rtl/>
        </w:rPr>
        <w:t xml:space="preserve"> </w:t>
      </w:r>
      <w:r w:rsidR="002B635A" w:rsidRPr="00560045">
        <w:rPr>
          <w:rFonts w:ascii="Arial" w:hAnsi="Arial" w:cs="David" w:hint="cs"/>
          <w:rtl/>
        </w:rPr>
        <w:t>ממשיכות</w:t>
      </w:r>
      <w:r w:rsidR="0030441C" w:rsidRPr="00560045">
        <w:rPr>
          <w:rFonts w:ascii="Arial" w:hAnsi="Arial" w:cs="David" w:hint="cs"/>
          <w:rtl/>
        </w:rPr>
        <w:t xml:space="preserve"> נטו </w:t>
      </w:r>
      <w:r w:rsidR="002B635A" w:rsidRPr="00560045">
        <w:rPr>
          <w:rFonts w:ascii="Arial" w:hAnsi="Arial" w:cs="David" w:hint="cs"/>
          <w:rtl/>
        </w:rPr>
        <w:t xml:space="preserve">מפיקדונות בחו"ל </w:t>
      </w:r>
      <w:r w:rsidR="0030441C" w:rsidRPr="00560045">
        <w:rPr>
          <w:rFonts w:ascii="Arial" w:hAnsi="Arial" w:cs="David" w:hint="cs"/>
          <w:rtl/>
        </w:rPr>
        <w:t xml:space="preserve">של בנקים ישראליים </w:t>
      </w:r>
      <w:r w:rsidR="002B635A" w:rsidRPr="00560045">
        <w:rPr>
          <w:rFonts w:ascii="Arial" w:hAnsi="Arial" w:cs="David" w:hint="cs"/>
          <w:rtl/>
        </w:rPr>
        <w:t>(5.7-</w:t>
      </w:r>
      <w:r w:rsidR="0030441C" w:rsidRPr="00560045">
        <w:rPr>
          <w:rFonts w:ascii="Arial" w:hAnsi="Arial" w:cs="David" w:hint="cs"/>
          <w:rtl/>
        </w:rPr>
        <w:t xml:space="preserve"> מיליארדי דולרים</w:t>
      </w:r>
      <w:r w:rsidR="002B635A" w:rsidRPr="00560045">
        <w:rPr>
          <w:rFonts w:ascii="Arial" w:hAnsi="Arial" w:cs="David" w:hint="cs"/>
          <w:rtl/>
        </w:rPr>
        <w:t>) ושל ת</w:t>
      </w:r>
      <w:r w:rsidR="00967E5D" w:rsidRPr="00560045">
        <w:rPr>
          <w:rFonts w:ascii="Arial" w:hAnsi="Arial" w:cs="David" w:hint="cs"/>
          <w:rtl/>
        </w:rPr>
        <w:t>וש</w:t>
      </w:r>
      <w:r w:rsidR="002B635A" w:rsidRPr="00560045">
        <w:rPr>
          <w:rFonts w:ascii="Arial" w:hAnsi="Arial" w:cs="David" w:hint="cs"/>
          <w:rtl/>
        </w:rPr>
        <w:t>בי ישראל האחרים (3- מיליארדים)</w:t>
      </w:r>
      <w:r w:rsidR="00667C81" w:rsidRPr="00560045">
        <w:rPr>
          <w:rFonts w:ascii="Arial" w:hAnsi="Arial" w:cs="David" w:hint="cs"/>
          <w:rtl/>
        </w:rPr>
        <w:t>, בעיקר המגזר העסקי</w:t>
      </w:r>
      <w:r w:rsidR="002B635A" w:rsidRPr="00560045">
        <w:rPr>
          <w:rFonts w:ascii="Arial" w:hAnsi="Arial" w:cs="David" w:hint="cs"/>
          <w:rtl/>
        </w:rPr>
        <w:t xml:space="preserve"> </w:t>
      </w:r>
      <w:r w:rsidR="0030441C" w:rsidRPr="00560045">
        <w:rPr>
          <w:rFonts w:ascii="Arial" w:hAnsi="Arial" w:cs="David" w:hint="cs"/>
          <w:rtl/>
        </w:rPr>
        <w:t xml:space="preserve">.  </w:t>
      </w:r>
    </w:p>
    <w:p w:rsidR="006818A7" w:rsidRPr="00560045" w:rsidRDefault="002216F2" w:rsidP="00140AED">
      <w:pPr>
        <w:pStyle w:val="af7"/>
        <w:numPr>
          <w:ilvl w:val="0"/>
          <w:numId w:val="16"/>
        </w:numPr>
        <w:spacing w:after="240" w:line="360" w:lineRule="auto"/>
        <w:ind w:right="426"/>
        <w:jc w:val="both"/>
        <w:rPr>
          <w:rFonts w:ascii="Arial" w:hAnsi="Arial" w:cs="David"/>
        </w:rPr>
      </w:pPr>
      <w:r w:rsidRPr="00560045">
        <w:rPr>
          <w:rStyle w:val="20"/>
          <w:rFonts w:hint="cs"/>
          <w:b/>
          <w:bCs/>
          <w:rtl/>
        </w:rPr>
        <w:t xml:space="preserve">שווי </w:t>
      </w:r>
      <w:r w:rsidR="006F0654" w:rsidRPr="00560045">
        <w:rPr>
          <w:rStyle w:val="20"/>
          <w:rFonts w:hint="cs"/>
          <w:b/>
          <w:bCs/>
          <w:rtl/>
        </w:rPr>
        <w:t>נכסי הרזר</w:t>
      </w:r>
      <w:r w:rsidR="006D09B3" w:rsidRPr="00560045">
        <w:rPr>
          <w:rStyle w:val="20"/>
          <w:rFonts w:hint="cs"/>
          <w:b/>
          <w:bCs/>
          <w:rtl/>
        </w:rPr>
        <w:t>בה</w:t>
      </w:r>
      <w:r w:rsidRPr="00560045">
        <w:rPr>
          <w:rFonts w:ascii="Arial" w:hAnsi="Arial" w:cs="David" w:hint="cs"/>
          <w:rtl/>
        </w:rPr>
        <w:t xml:space="preserve"> </w:t>
      </w:r>
      <w:r w:rsidR="00BF6737" w:rsidRPr="00560045">
        <w:rPr>
          <w:rFonts w:ascii="Arial" w:hAnsi="Arial" w:cs="David" w:hint="cs"/>
          <w:rtl/>
        </w:rPr>
        <w:t>עלה</w:t>
      </w:r>
      <w:r w:rsidR="006D09B3" w:rsidRPr="00560045">
        <w:rPr>
          <w:rFonts w:ascii="Arial" w:hAnsi="Arial" w:cs="David" w:hint="cs"/>
          <w:rtl/>
        </w:rPr>
        <w:t xml:space="preserve"> </w:t>
      </w:r>
      <w:r w:rsidRPr="00560045">
        <w:rPr>
          <w:rFonts w:ascii="Arial" w:hAnsi="Arial" w:cs="David" w:hint="cs"/>
          <w:rtl/>
        </w:rPr>
        <w:t>במהלך הרביע ה</w:t>
      </w:r>
      <w:r w:rsidR="00BF6737" w:rsidRPr="00560045">
        <w:rPr>
          <w:rFonts w:ascii="Arial" w:hAnsi="Arial" w:cs="David" w:hint="cs"/>
          <w:rtl/>
        </w:rPr>
        <w:t>שני</w:t>
      </w:r>
      <w:r w:rsidR="00DC198A" w:rsidRPr="00560045">
        <w:rPr>
          <w:rFonts w:ascii="Arial" w:hAnsi="Arial" w:cs="David" w:hint="cs"/>
          <w:rtl/>
        </w:rPr>
        <w:t xml:space="preserve"> </w:t>
      </w:r>
      <w:r w:rsidR="00BF6737" w:rsidRPr="00560045">
        <w:rPr>
          <w:rFonts w:ascii="Arial" w:hAnsi="Arial" w:cs="David" w:hint="cs"/>
          <w:rtl/>
        </w:rPr>
        <w:t>בכ-21.4 מיליארדי דולרים (17%) והגיע בסוף יוני</w:t>
      </w:r>
      <w:r w:rsidRPr="00560045">
        <w:rPr>
          <w:rFonts w:ascii="Arial" w:hAnsi="Arial" w:cs="David" w:hint="cs"/>
          <w:rtl/>
        </w:rPr>
        <w:t xml:space="preserve"> </w:t>
      </w:r>
      <w:r w:rsidR="00BF6737" w:rsidRPr="00560045">
        <w:rPr>
          <w:rFonts w:ascii="Arial" w:hAnsi="Arial" w:cs="David" w:hint="cs"/>
          <w:rtl/>
        </w:rPr>
        <w:t>ל</w:t>
      </w:r>
      <w:r w:rsidR="006D09B3" w:rsidRPr="00560045">
        <w:rPr>
          <w:rFonts w:ascii="Arial" w:hAnsi="Arial" w:cs="David" w:hint="cs"/>
          <w:rtl/>
        </w:rPr>
        <w:t xml:space="preserve">רמה של </w:t>
      </w:r>
      <w:r w:rsidR="00783BBE" w:rsidRPr="00560045">
        <w:rPr>
          <w:rFonts w:ascii="Arial" w:hAnsi="Arial" w:cs="David" w:hint="cs"/>
          <w:rtl/>
        </w:rPr>
        <w:t>כ-</w:t>
      </w:r>
      <w:r w:rsidR="00807E84" w:rsidRPr="00560045">
        <w:rPr>
          <w:rFonts w:ascii="Arial" w:hAnsi="Arial" w:cs="David" w:hint="cs"/>
          <w:rtl/>
        </w:rPr>
        <w:t>1</w:t>
      </w:r>
      <w:r w:rsidR="00BF6737" w:rsidRPr="00560045">
        <w:rPr>
          <w:rFonts w:ascii="Arial" w:hAnsi="Arial" w:cs="David" w:hint="cs"/>
          <w:rtl/>
        </w:rPr>
        <w:t>47</w:t>
      </w:r>
      <w:r w:rsidRPr="00560045">
        <w:rPr>
          <w:rFonts w:ascii="Arial" w:hAnsi="Arial" w:cs="David" w:hint="cs"/>
          <w:rtl/>
        </w:rPr>
        <w:t xml:space="preserve"> מיליארדים.</w:t>
      </w:r>
      <w:r w:rsidR="006D09B3" w:rsidRPr="00560045">
        <w:rPr>
          <w:rFonts w:ascii="Arial" w:hAnsi="Arial" w:cs="David" w:hint="cs"/>
          <w:rtl/>
        </w:rPr>
        <w:t xml:space="preserve"> </w:t>
      </w:r>
      <w:r w:rsidR="00560045" w:rsidRPr="00560045">
        <w:rPr>
          <w:rFonts w:ascii="Arial" w:hAnsi="Arial" w:cs="David" w:hint="cs"/>
          <w:rtl/>
        </w:rPr>
        <w:t>העלייה ברביע השני נבעה ברובה מ</w:t>
      </w:r>
      <w:r w:rsidR="00560045" w:rsidRPr="00560045">
        <w:rPr>
          <w:rFonts w:ascii="Arial" w:hAnsi="Arial" w:cs="David"/>
          <w:rtl/>
        </w:rPr>
        <w:t xml:space="preserve">העברות הממשלה לאחר הגיוסים בחו"ל </w:t>
      </w:r>
      <w:r w:rsidR="00140AED">
        <w:rPr>
          <w:rFonts w:ascii="Arial" w:hAnsi="Arial" w:cs="David"/>
          <w:rtl/>
        </w:rPr>
        <w:t>בסך של כ- 11.2 מיליארד</w:t>
      </w:r>
      <w:r w:rsidR="00140AED">
        <w:rPr>
          <w:rFonts w:ascii="Arial" w:hAnsi="Arial" w:cs="David" w:hint="cs"/>
          <w:rtl/>
        </w:rPr>
        <w:t>י</w:t>
      </w:r>
      <w:r w:rsidR="00140AED">
        <w:rPr>
          <w:rFonts w:ascii="Arial" w:hAnsi="Arial" w:cs="David"/>
          <w:rtl/>
        </w:rPr>
        <w:t xml:space="preserve"> דולר</w:t>
      </w:r>
      <w:r w:rsidR="00140AED">
        <w:rPr>
          <w:rFonts w:ascii="Arial" w:hAnsi="Arial" w:cs="David" w:hint="cs"/>
          <w:rtl/>
        </w:rPr>
        <w:t>ים</w:t>
      </w:r>
      <w:r w:rsidR="00140AED">
        <w:rPr>
          <w:rFonts w:ascii="Arial" w:hAnsi="Arial" w:cs="David"/>
          <w:rtl/>
        </w:rPr>
        <w:t xml:space="preserve"> ו</w:t>
      </w:r>
      <w:r w:rsidR="00140AED">
        <w:rPr>
          <w:rFonts w:ascii="Arial" w:hAnsi="Arial" w:cs="David" w:hint="cs"/>
          <w:rtl/>
        </w:rPr>
        <w:t>מ</w:t>
      </w:r>
      <w:r w:rsidR="00560045" w:rsidRPr="00560045">
        <w:rPr>
          <w:rFonts w:ascii="Arial" w:hAnsi="Arial" w:cs="David"/>
          <w:rtl/>
        </w:rPr>
        <w:t>רכישות בנק ישראל ב</w:t>
      </w:r>
      <w:r w:rsidR="00140AED">
        <w:rPr>
          <w:rFonts w:ascii="Arial" w:hAnsi="Arial" w:cs="David" w:hint="cs"/>
          <w:rtl/>
        </w:rPr>
        <w:t xml:space="preserve">היקף של </w:t>
      </w:r>
      <w:r w:rsidR="00560045" w:rsidRPr="00560045">
        <w:rPr>
          <w:rFonts w:ascii="Arial" w:hAnsi="Arial" w:cs="David"/>
          <w:rtl/>
        </w:rPr>
        <w:t>כ- 4.1 מיליארד</w:t>
      </w:r>
      <w:r w:rsidR="00140AED">
        <w:rPr>
          <w:rFonts w:ascii="Arial" w:hAnsi="Arial" w:cs="David" w:hint="cs"/>
          <w:rtl/>
        </w:rPr>
        <w:t>ים</w:t>
      </w:r>
      <w:r w:rsidR="00560045" w:rsidRPr="00560045">
        <w:rPr>
          <w:rFonts w:ascii="Arial" w:hAnsi="Arial" w:cs="David" w:hint="cs"/>
          <w:rtl/>
        </w:rPr>
        <w:t>.</w:t>
      </w:r>
    </w:p>
    <w:p w:rsidR="00595D2C" w:rsidRPr="006818A7" w:rsidRDefault="00D064D6" w:rsidP="007B2BEA">
      <w:pPr>
        <w:pStyle w:val="af7"/>
        <w:numPr>
          <w:ilvl w:val="0"/>
          <w:numId w:val="16"/>
        </w:numPr>
        <w:spacing w:after="240" w:line="360" w:lineRule="auto"/>
        <w:ind w:right="426"/>
        <w:jc w:val="both"/>
        <w:rPr>
          <w:rFonts w:ascii="Arial" w:hAnsi="Arial" w:cs="David"/>
          <w:rtl/>
        </w:rPr>
      </w:pPr>
      <w:r w:rsidRPr="00560045">
        <w:rPr>
          <w:rStyle w:val="20"/>
          <w:rFonts w:hint="cs"/>
          <w:b/>
          <w:bCs/>
          <w:rtl/>
        </w:rPr>
        <w:t>הרכב התיק</w:t>
      </w:r>
      <w:r w:rsidRPr="006818A7">
        <w:rPr>
          <w:rStyle w:val="20"/>
          <w:rFonts w:hint="cs"/>
          <w:b/>
          <w:bCs/>
          <w:rtl/>
        </w:rPr>
        <w:t xml:space="preserve"> בחו"ל</w:t>
      </w:r>
      <w:r w:rsidR="00981A78">
        <w:rPr>
          <w:rFonts w:ascii="Arial" w:hAnsi="Arial" w:cs="David" w:hint="cs"/>
          <w:rtl/>
        </w:rPr>
        <w:t>:</w:t>
      </w:r>
      <w:r w:rsidR="00443DE4">
        <w:rPr>
          <w:rFonts w:ascii="Arial" w:hAnsi="Arial" w:cs="David" w:hint="cs"/>
          <w:rtl/>
        </w:rPr>
        <w:t xml:space="preserve"> </w:t>
      </w:r>
      <w:r w:rsidR="00981A78" w:rsidRPr="0067437E">
        <w:rPr>
          <w:rFonts w:ascii="Arial" w:hAnsi="Arial" w:cs="David" w:hint="cs"/>
          <w:rtl/>
        </w:rPr>
        <w:t>ה</w:t>
      </w:r>
      <w:r w:rsidR="0067437E" w:rsidRPr="0067437E">
        <w:rPr>
          <w:rFonts w:ascii="Arial" w:hAnsi="Arial" w:cs="David" w:hint="cs"/>
          <w:rtl/>
        </w:rPr>
        <w:t>עליות</w:t>
      </w:r>
      <w:r w:rsidR="00981A78" w:rsidRPr="0067437E">
        <w:rPr>
          <w:rFonts w:ascii="Arial" w:hAnsi="Arial" w:cs="David" w:hint="cs"/>
          <w:rtl/>
        </w:rPr>
        <w:t xml:space="preserve"> במחירי המניות הזרות שמחזיקים תושבי ישראל </w:t>
      </w:r>
      <w:r w:rsidR="0067437E" w:rsidRPr="0067437E">
        <w:rPr>
          <w:rFonts w:ascii="Arial" w:hAnsi="Arial" w:cs="David" w:hint="cs"/>
          <w:rtl/>
        </w:rPr>
        <w:t xml:space="preserve">וההשקעות נטו במניות </w:t>
      </w:r>
      <w:r w:rsidR="00981A78" w:rsidRPr="0067437E">
        <w:rPr>
          <w:rFonts w:ascii="Arial" w:hAnsi="Arial" w:cs="David" w:hint="cs"/>
          <w:rtl/>
        </w:rPr>
        <w:t>הביאו</w:t>
      </w:r>
      <w:r w:rsidR="00F23FA6" w:rsidRPr="0067437E">
        <w:rPr>
          <w:rFonts w:ascii="Arial" w:hAnsi="Arial" w:cs="David" w:hint="cs"/>
          <w:rtl/>
        </w:rPr>
        <w:t xml:space="preserve"> </w:t>
      </w:r>
      <w:r w:rsidR="00981A78" w:rsidRPr="0067437E">
        <w:rPr>
          <w:rFonts w:ascii="Arial" w:hAnsi="Arial" w:cs="David" w:hint="cs"/>
          <w:rtl/>
        </w:rPr>
        <w:t>ל</w:t>
      </w:r>
      <w:r w:rsidR="0067437E" w:rsidRPr="0067437E">
        <w:rPr>
          <w:rFonts w:ascii="Arial" w:hAnsi="Arial" w:cs="David" w:hint="cs"/>
          <w:rtl/>
        </w:rPr>
        <w:t>עלייה</w:t>
      </w:r>
      <w:r w:rsidR="00544A8A" w:rsidRPr="0067437E">
        <w:rPr>
          <w:rFonts w:ascii="Arial" w:hAnsi="Arial" w:cs="David" w:hint="cs"/>
          <w:rtl/>
        </w:rPr>
        <w:t xml:space="preserve"> </w:t>
      </w:r>
      <w:r w:rsidR="007F3887" w:rsidRPr="0067437E">
        <w:rPr>
          <w:rFonts w:ascii="Arial" w:hAnsi="Arial" w:cs="David" w:hint="cs"/>
          <w:rtl/>
        </w:rPr>
        <w:t xml:space="preserve">של </w:t>
      </w:r>
      <w:r w:rsidR="0067437E" w:rsidRPr="0067437E">
        <w:rPr>
          <w:rFonts w:ascii="Arial" w:hAnsi="Arial" w:cs="David" w:hint="cs"/>
          <w:rtl/>
        </w:rPr>
        <w:t>0.9</w:t>
      </w:r>
      <w:r w:rsidR="0030435D" w:rsidRPr="0067437E">
        <w:rPr>
          <w:rFonts w:ascii="Arial" w:hAnsi="Arial" w:cs="David" w:hint="cs"/>
          <w:rtl/>
        </w:rPr>
        <w:t xml:space="preserve"> </w:t>
      </w:r>
      <w:r w:rsidR="007F3887" w:rsidRPr="0067437E">
        <w:rPr>
          <w:rFonts w:ascii="Arial" w:hAnsi="Arial" w:cs="David" w:hint="cs"/>
          <w:rtl/>
        </w:rPr>
        <w:t>נקוד</w:t>
      </w:r>
      <w:r w:rsidR="000A38BE" w:rsidRPr="0067437E">
        <w:rPr>
          <w:rFonts w:ascii="Arial" w:hAnsi="Arial" w:cs="David" w:hint="cs"/>
          <w:rtl/>
        </w:rPr>
        <w:t>ו</w:t>
      </w:r>
      <w:r w:rsidR="007F3887" w:rsidRPr="0067437E">
        <w:rPr>
          <w:rFonts w:ascii="Arial" w:hAnsi="Arial" w:cs="David" w:hint="cs"/>
          <w:rtl/>
        </w:rPr>
        <w:t xml:space="preserve">ת האחוז </w:t>
      </w:r>
      <w:r w:rsidR="00F23FA6" w:rsidRPr="0067437E">
        <w:rPr>
          <w:rFonts w:ascii="Arial" w:hAnsi="Arial" w:cs="David" w:hint="cs"/>
          <w:rtl/>
        </w:rPr>
        <w:t>במשקלם של מכשירי ההון בתיק הנכסים של תושבי ישראל בחו"ל</w:t>
      </w:r>
      <w:r w:rsidR="007F3887" w:rsidRPr="0067437E">
        <w:rPr>
          <w:rFonts w:ascii="Arial" w:hAnsi="Arial" w:cs="David" w:hint="cs"/>
          <w:rtl/>
        </w:rPr>
        <w:t xml:space="preserve">, כך שבסוף </w:t>
      </w:r>
      <w:r w:rsidR="007B2BEA">
        <w:rPr>
          <w:rFonts w:ascii="Arial" w:hAnsi="Arial" w:cs="David" w:hint="cs"/>
          <w:rtl/>
        </w:rPr>
        <w:t>יוני</w:t>
      </w:r>
      <w:r w:rsidR="007F3887" w:rsidRPr="0067437E">
        <w:rPr>
          <w:rFonts w:ascii="Arial" w:hAnsi="Arial" w:cs="David" w:hint="cs"/>
          <w:rtl/>
        </w:rPr>
        <w:t xml:space="preserve"> הם היו</w:t>
      </w:r>
      <w:r w:rsidR="00511669" w:rsidRPr="0067437E">
        <w:rPr>
          <w:rFonts w:ascii="Arial" w:hAnsi="Arial" w:cs="David" w:hint="cs"/>
          <w:rtl/>
        </w:rPr>
        <w:t>ו</w:t>
      </w:r>
      <w:r w:rsidR="007F3887" w:rsidRPr="0067437E">
        <w:rPr>
          <w:rFonts w:ascii="Arial" w:hAnsi="Arial" w:cs="David" w:hint="cs"/>
          <w:rtl/>
        </w:rPr>
        <w:t xml:space="preserve"> </w:t>
      </w:r>
      <w:r w:rsidR="00CD3010" w:rsidRPr="0067437E">
        <w:rPr>
          <w:rFonts w:ascii="Arial" w:hAnsi="Arial" w:cs="David" w:hint="cs"/>
          <w:rtl/>
        </w:rPr>
        <w:t>4</w:t>
      </w:r>
      <w:r w:rsidR="00544A8A" w:rsidRPr="0067437E">
        <w:rPr>
          <w:rFonts w:ascii="Arial" w:hAnsi="Arial" w:cs="David" w:hint="cs"/>
          <w:rtl/>
        </w:rPr>
        <w:t>3</w:t>
      </w:r>
      <w:r w:rsidR="0067437E" w:rsidRPr="0067437E">
        <w:rPr>
          <w:rFonts w:ascii="Arial" w:hAnsi="Arial" w:cs="David" w:hint="cs"/>
          <w:rtl/>
        </w:rPr>
        <w:t>.4</w:t>
      </w:r>
      <w:r w:rsidR="007F3887" w:rsidRPr="0067437E">
        <w:rPr>
          <w:rFonts w:ascii="Arial" w:hAnsi="Arial" w:cs="David" w:hint="cs"/>
          <w:rtl/>
        </w:rPr>
        <w:t>% מסך התיק</w:t>
      </w:r>
      <w:r w:rsidR="00A329F1" w:rsidRPr="0067437E">
        <w:rPr>
          <w:rFonts w:ascii="Arial" w:hAnsi="Arial" w:cs="David" w:hint="cs"/>
          <w:rtl/>
        </w:rPr>
        <w:t>.</w:t>
      </w:r>
      <w:r w:rsidR="00B236D1" w:rsidRPr="0067437E">
        <w:rPr>
          <w:rFonts w:ascii="Arial" w:hAnsi="Arial" w:cs="David" w:hint="cs"/>
          <w:b/>
          <w:bCs/>
          <w:rtl/>
        </w:rPr>
        <w:t xml:space="preserve"> </w:t>
      </w:r>
    </w:p>
    <w:p w:rsidR="002216F2" w:rsidRPr="00A53CC2" w:rsidRDefault="002216F2" w:rsidP="0034126E">
      <w:pPr>
        <w:spacing w:before="240" w:line="360" w:lineRule="auto"/>
        <w:ind w:right="426"/>
        <w:jc w:val="both"/>
        <w:rPr>
          <w:rFonts w:ascii="Arial" w:hAnsi="Arial" w:cs="David"/>
          <w:b/>
          <w:bCs/>
          <w:highlight w:val="yellow"/>
          <w:rtl/>
        </w:rPr>
      </w:pPr>
    </w:p>
    <w:p w:rsidR="00890447" w:rsidRPr="00CF199C" w:rsidRDefault="00890447" w:rsidP="00890447">
      <w:pPr>
        <w:pStyle w:val="1"/>
        <w:rPr>
          <w:rtl/>
        </w:rPr>
      </w:pPr>
      <w:r w:rsidRPr="00CF199C">
        <w:rPr>
          <w:rStyle w:val="12"/>
          <w:rFonts w:hint="cs"/>
          <w:b/>
          <w:bCs/>
          <w:u w:val="none"/>
          <w:rtl/>
        </w:rPr>
        <w:t>יתרת ההתחייבויו</w:t>
      </w:r>
      <w:r w:rsidRPr="00CF199C">
        <w:rPr>
          <w:rStyle w:val="12"/>
          <w:rFonts w:hint="eastAsia"/>
          <w:b/>
          <w:bCs/>
          <w:u w:val="none"/>
          <w:rtl/>
        </w:rPr>
        <w:t>ת</w:t>
      </w:r>
      <w:r w:rsidRPr="00CF199C">
        <w:rPr>
          <w:rStyle w:val="12"/>
          <w:rFonts w:hint="cs"/>
          <w:b/>
          <w:bCs/>
          <w:u w:val="none"/>
          <w:rtl/>
        </w:rPr>
        <w:t xml:space="preserve"> של המשק לחו"ל</w:t>
      </w:r>
      <w:r w:rsidRPr="00CF199C">
        <w:rPr>
          <w:rFonts w:hint="cs"/>
          <w:rtl/>
        </w:rPr>
        <w:t xml:space="preserve"> </w:t>
      </w:r>
    </w:p>
    <w:p w:rsidR="00F544FE" w:rsidRPr="00F544FE" w:rsidRDefault="00F544FE" w:rsidP="000762E1">
      <w:pPr>
        <w:spacing w:line="360" w:lineRule="auto"/>
        <w:jc w:val="both"/>
        <w:rPr>
          <w:rFonts w:ascii="Arial" w:hAnsi="Arial" w:cs="David"/>
        </w:rPr>
      </w:pPr>
      <w:r w:rsidRPr="00F544FE">
        <w:rPr>
          <w:rFonts w:ascii="Arial" w:hAnsi="Arial" w:cs="David" w:hint="cs"/>
          <w:rtl/>
        </w:rPr>
        <w:t xml:space="preserve">יתרת ההתחייבויות של המשק לחו"ל </w:t>
      </w:r>
      <w:r w:rsidR="00DD2830">
        <w:rPr>
          <w:rFonts w:ascii="Arial" w:hAnsi="Arial" w:cs="David" w:hint="cs"/>
          <w:rtl/>
        </w:rPr>
        <w:t>עלתה</w:t>
      </w:r>
      <w:r w:rsidR="00CA5B85">
        <w:rPr>
          <w:rFonts w:ascii="Arial" w:hAnsi="Arial" w:cs="David" w:hint="cs"/>
          <w:rtl/>
        </w:rPr>
        <w:t xml:space="preserve"> </w:t>
      </w:r>
      <w:r w:rsidRPr="00F544FE">
        <w:rPr>
          <w:rFonts w:ascii="Arial" w:hAnsi="Arial" w:cs="David" w:hint="cs"/>
          <w:rtl/>
        </w:rPr>
        <w:t xml:space="preserve">במהלך הרביע </w:t>
      </w:r>
      <w:r w:rsidR="006B6A13">
        <w:rPr>
          <w:rFonts w:ascii="Arial" w:hAnsi="Arial" w:cs="David" w:hint="cs"/>
          <w:rtl/>
        </w:rPr>
        <w:t>ה</w:t>
      </w:r>
      <w:r w:rsidR="00DD2830">
        <w:rPr>
          <w:rFonts w:ascii="Arial" w:hAnsi="Arial" w:cs="David" w:hint="cs"/>
          <w:rtl/>
        </w:rPr>
        <w:t>שני</w:t>
      </w:r>
      <w:r w:rsidR="006B6A13" w:rsidRPr="00F544FE">
        <w:rPr>
          <w:rFonts w:ascii="Arial" w:hAnsi="Arial" w:cs="David" w:hint="cs"/>
          <w:rtl/>
        </w:rPr>
        <w:t xml:space="preserve"> </w:t>
      </w:r>
      <w:r w:rsidRPr="00F544FE">
        <w:rPr>
          <w:rFonts w:ascii="Arial" w:hAnsi="Arial" w:cs="David" w:hint="cs"/>
          <w:rtl/>
        </w:rPr>
        <w:t>בכ-</w:t>
      </w:r>
      <w:r w:rsidR="00DD2830">
        <w:rPr>
          <w:rFonts w:ascii="Arial" w:hAnsi="Arial" w:cs="David" w:hint="cs"/>
          <w:rtl/>
        </w:rPr>
        <w:t>32.9</w:t>
      </w:r>
      <w:r w:rsidRPr="00F544FE">
        <w:rPr>
          <w:rFonts w:ascii="Arial" w:hAnsi="Arial" w:cs="David" w:hint="cs"/>
          <w:rtl/>
        </w:rPr>
        <w:t xml:space="preserve"> מיליארדי דולרים (</w:t>
      </w:r>
      <w:r w:rsidR="00DD2830">
        <w:rPr>
          <w:rFonts w:ascii="Arial" w:hAnsi="Arial" w:cs="David" w:hint="cs"/>
          <w:rtl/>
        </w:rPr>
        <w:t>10.1</w:t>
      </w:r>
      <w:r w:rsidRPr="00F544FE">
        <w:rPr>
          <w:rFonts w:ascii="Arial" w:hAnsi="Arial" w:cs="David" w:hint="cs"/>
          <w:rtl/>
        </w:rPr>
        <w:t>%</w:t>
      </w:r>
      <w:r w:rsidR="00374D9F">
        <w:rPr>
          <w:rFonts w:ascii="Arial" w:hAnsi="Arial" w:cs="David" w:hint="cs"/>
          <w:rtl/>
        </w:rPr>
        <w:t>) ועמדה בסופו</w:t>
      </w:r>
      <w:r w:rsidRPr="00F544FE">
        <w:rPr>
          <w:rFonts w:ascii="Arial" w:hAnsi="Arial" w:cs="David" w:hint="cs"/>
          <w:rtl/>
        </w:rPr>
        <w:t xml:space="preserve"> על </w:t>
      </w:r>
      <w:r w:rsidR="001F7AC3">
        <w:rPr>
          <w:rFonts w:ascii="Arial" w:hAnsi="Arial" w:cs="David" w:hint="cs"/>
          <w:rtl/>
        </w:rPr>
        <w:t xml:space="preserve">358 </w:t>
      </w:r>
      <w:r w:rsidRPr="00F544FE">
        <w:rPr>
          <w:rFonts w:ascii="Arial" w:hAnsi="Arial" w:cs="David" w:hint="cs"/>
          <w:rtl/>
        </w:rPr>
        <w:t>מיליארדי</w:t>
      </w:r>
      <w:r w:rsidR="00CA5B85">
        <w:rPr>
          <w:rFonts w:ascii="Arial" w:hAnsi="Arial" w:cs="David" w:hint="cs"/>
          <w:rtl/>
        </w:rPr>
        <w:t>ם</w:t>
      </w:r>
      <w:r w:rsidRPr="00F544FE">
        <w:rPr>
          <w:rFonts w:ascii="Arial" w:hAnsi="Arial" w:cs="David" w:hint="cs"/>
          <w:rtl/>
        </w:rPr>
        <w:t xml:space="preserve">. </w:t>
      </w:r>
      <w:r w:rsidR="00CB3D99">
        <w:rPr>
          <w:rFonts w:ascii="Arial" w:hAnsi="Arial" w:cs="David" w:hint="cs"/>
          <w:rtl/>
        </w:rPr>
        <w:t>ה</w:t>
      </w:r>
      <w:r w:rsidR="00DD2830">
        <w:rPr>
          <w:rFonts w:ascii="Arial" w:hAnsi="Arial" w:cs="David" w:hint="cs"/>
          <w:rtl/>
        </w:rPr>
        <w:t>עלייה</w:t>
      </w:r>
      <w:r w:rsidRPr="00F544FE">
        <w:rPr>
          <w:rFonts w:ascii="Arial" w:hAnsi="Arial" w:cs="David" w:hint="cs"/>
          <w:rtl/>
        </w:rPr>
        <w:t xml:space="preserve"> </w:t>
      </w:r>
      <w:r w:rsidR="00374D9F">
        <w:rPr>
          <w:rFonts w:ascii="Arial" w:hAnsi="Arial" w:cs="David" w:hint="cs"/>
          <w:rtl/>
        </w:rPr>
        <w:t xml:space="preserve">ביתרה </w:t>
      </w:r>
      <w:r w:rsidRPr="00F544FE">
        <w:rPr>
          <w:rFonts w:ascii="Arial" w:hAnsi="Arial" w:cs="David" w:hint="cs"/>
          <w:rtl/>
        </w:rPr>
        <w:t>נבעה</w:t>
      </w:r>
      <w:r w:rsidR="00624014">
        <w:rPr>
          <w:rFonts w:ascii="Arial" w:hAnsi="Arial" w:cs="David" w:hint="cs"/>
          <w:rtl/>
        </w:rPr>
        <w:t xml:space="preserve"> </w:t>
      </w:r>
      <w:r w:rsidR="0013029B">
        <w:rPr>
          <w:rFonts w:ascii="Arial" w:hAnsi="Arial" w:cs="David" w:hint="cs"/>
          <w:rtl/>
        </w:rPr>
        <w:t xml:space="preserve">בעיקר </w:t>
      </w:r>
      <w:r w:rsidR="00DD2830">
        <w:rPr>
          <w:rFonts w:ascii="Arial" w:hAnsi="Arial" w:cs="David" w:hint="cs"/>
          <w:rtl/>
        </w:rPr>
        <w:t>מעליות במחירי</w:t>
      </w:r>
      <w:r w:rsidR="00CA5B85">
        <w:rPr>
          <w:rFonts w:ascii="Arial" w:hAnsi="Arial" w:cs="David" w:hint="cs"/>
          <w:rtl/>
        </w:rPr>
        <w:t xml:space="preserve"> המני</w:t>
      </w:r>
      <w:r w:rsidR="00DD2830">
        <w:rPr>
          <w:rFonts w:ascii="Arial" w:hAnsi="Arial" w:cs="David" w:hint="cs"/>
          <w:rtl/>
        </w:rPr>
        <w:t xml:space="preserve">ות הישראליות שמחזיקים תושבי חוץ </w:t>
      </w:r>
      <w:r w:rsidR="000762E1">
        <w:rPr>
          <w:rFonts w:ascii="Arial" w:hAnsi="Arial" w:cs="David" w:hint="cs"/>
          <w:rtl/>
        </w:rPr>
        <w:t>ומהשקעה של תושבי חוץ באג"ח ממשלתיות במט"ח שהנפיקה ממשלת ישראל.</w:t>
      </w:r>
    </w:p>
    <w:p w:rsidR="00F544FE" w:rsidRPr="00F544FE" w:rsidRDefault="00F544FE" w:rsidP="00FA6806">
      <w:pPr>
        <w:spacing w:line="360" w:lineRule="auto"/>
        <w:jc w:val="both"/>
        <w:rPr>
          <w:rFonts w:ascii="Arial" w:hAnsi="Arial" w:cs="David"/>
        </w:rPr>
      </w:pPr>
    </w:p>
    <w:p w:rsidR="005866AE" w:rsidRDefault="00695D66" w:rsidP="005866AE">
      <w:pPr>
        <w:pStyle w:val="af7"/>
        <w:numPr>
          <w:ilvl w:val="0"/>
          <w:numId w:val="17"/>
        </w:numPr>
        <w:spacing w:line="360" w:lineRule="auto"/>
        <w:jc w:val="both"/>
        <w:rPr>
          <w:rFonts w:ascii="Arial" w:hAnsi="Arial" w:cs="David"/>
        </w:rPr>
      </w:pPr>
      <w:r w:rsidRPr="00005A1C">
        <w:rPr>
          <w:rStyle w:val="20"/>
          <w:rFonts w:hint="cs"/>
          <w:b/>
          <w:bCs/>
          <w:rtl/>
        </w:rPr>
        <w:t xml:space="preserve">שווי </w:t>
      </w:r>
      <w:r w:rsidR="003624A8" w:rsidRPr="00005A1C">
        <w:rPr>
          <w:rStyle w:val="20"/>
          <w:rFonts w:hint="cs"/>
          <w:b/>
          <w:bCs/>
          <w:rtl/>
        </w:rPr>
        <w:t xml:space="preserve">תיק ניירות הערך </w:t>
      </w:r>
      <w:r w:rsidR="00C73330">
        <w:rPr>
          <w:rFonts w:ascii="Arial" w:hAnsi="Arial" w:cs="David" w:hint="cs"/>
          <w:rtl/>
        </w:rPr>
        <w:t>עלה</w:t>
      </w:r>
      <w:r w:rsidRPr="00005A1C">
        <w:rPr>
          <w:rFonts w:ascii="Arial" w:hAnsi="Arial" w:cs="David" w:hint="cs"/>
          <w:b/>
          <w:bCs/>
          <w:rtl/>
        </w:rPr>
        <w:t xml:space="preserve"> </w:t>
      </w:r>
      <w:r w:rsidRPr="00005A1C">
        <w:rPr>
          <w:rFonts w:ascii="Arial" w:hAnsi="Arial" w:cs="David" w:hint="cs"/>
          <w:rtl/>
        </w:rPr>
        <w:t xml:space="preserve">במהלך הרביע </w:t>
      </w:r>
      <w:r w:rsidR="0034126E" w:rsidRPr="00005A1C">
        <w:rPr>
          <w:rFonts w:ascii="Arial" w:hAnsi="Arial" w:cs="David" w:hint="cs"/>
          <w:rtl/>
        </w:rPr>
        <w:t>ה</w:t>
      </w:r>
      <w:r w:rsidR="00C73330">
        <w:rPr>
          <w:rFonts w:ascii="Arial" w:hAnsi="Arial" w:cs="David" w:hint="cs"/>
          <w:rtl/>
        </w:rPr>
        <w:t>שני</w:t>
      </w:r>
      <w:r w:rsidR="009D0C43" w:rsidRPr="00005A1C">
        <w:rPr>
          <w:rFonts w:ascii="Arial" w:hAnsi="Arial" w:cs="David" w:hint="cs"/>
          <w:rtl/>
        </w:rPr>
        <w:t xml:space="preserve"> ב</w:t>
      </w:r>
      <w:r w:rsidRPr="00005A1C">
        <w:rPr>
          <w:rFonts w:ascii="Arial" w:hAnsi="Arial" w:cs="David" w:hint="cs"/>
          <w:rtl/>
        </w:rPr>
        <w:t>כ-</w:t>
      </w:r>
      <w:r w:rsidR="00C73330">
        <w:rPr>
          <w:rFonts w:ascii="Arial" w:hAnsi="Arial" w:cs="David" w:hint="cs"/>
          <w:rtl/>
        </w:rPr>
        <w:t>24.4</w:t>
      </w:r>
      <w:r w:rsidRPr="00005A1C">
        <w:rPr>
          <w:rFonts w:ascii="Arial" w:hAnsi="Arial" w:cs="David" w:hint="cs"/>
          <w:rtl/>
        </w:rPr>
        <w:t xml:space="preserve"> מיליארדי דולרים (</w:t>
      </w:r>
      <w:r w:rsidR="00C73330">
        <w:rPr>
          <w:rFonts w:ascii="Arial" w:hAnsi="Arial" w:cs="David" w:hint="cs"/>
          <w:rtl/>
        </w:rPr>
        <w:t>22.4</w:t>
      </w:r>
      <w:r w:rsidR="004E4E2E">
        <w:rPr>
          <w:rFonts w:ascii="Arial" w:hAnsi="Arial" w:cs="David" w:hint="cs"/>
          <w:rtl/>
        </w:rPr>
        <w:t>%)</w:t>
      </w:r>
      <w:r w:rsidR="00221960" w:rsidRPr="00005A1C">
        <w:rPr>
          <w:rFonts w:ascii="Arial" w:hAnsi="Arial" w:cs="David" w:hint="cs"/>
          <w:rtl/>
        </w:rPr>
        <w:t>.</w:t>
      </w:r>
      <w:r w:rsidR="009645C4" w:rsidRPr="00005A1C">
        <w:rPr>
          <w:rFonts w:ascii="Arial" w:hAnsi="Arial" w:cs="David" w:hint="cs"/>
          <w:rtl/>
        </w:rPr>
        <w:t xml:space="preserve"> </w:t>
      </w:r>
      <w:r w:rsidR="00562DE8">
        <w:rPr>
          <w:rFonts w:ascii="Arial" w:hAnsi="Arial" w:cs="David" w:hint="cs"/>
          <w:rtl/>
        </w:rPr>
        <w:t xml:space="preserve">בעיקר </w:t>
      </w:r>
      <w:r w:rsidR="008F6EC3" w:rsidRPr="00005A1C">
        <w:rPr>
          <w:rFonts w:ascii="Arial" w:hAnsi="Arial" w:cs="David" w:hint="cs"/>
          <w:rtl/>
        </w:rPr>
        <w:t xml:space="preserve">כתוצאה </w:t>
      </w:r>
      <w:r w:rsidR="004E4E2E">
        <w:rPr>
          <w:rFonts w:ascii="Arial" w:hAnsi="Arial" w:cs="David" w:hint="cs"/>
          <w:rtl/>
        </w:rPr>
        <w:t>מ</w:t>
      </w:r>
      <w:r w:rsidR="006F5107">
        <w:rPr>
          <w:rFonts w:ascii="Arial" w:hAnsi="Arial" w:cs="David" w:hint="cs"/>
          <w:rtl/>
        </w:rPr>
        <w:t>עלייה במחירי המניות הישראליות המוחזקות בתיק, בהיקף של כ-17.5 מיליארדי דולרים (26.2% מיתרת ההשקעות הפיננסיות במניות), זאת לאחר שברביע הקודם נרשמו ירידות</w:t>
      </w:r>
      <w:r w:rsidR="009D0C43" w:rsidRPr="00005A1C">
        <w:rPr>
          <w:rFonts w:ascii="Arial" w:hAnsi="Arial" w:cs="David" w:hint="cs"/>
          <w:rtl/>
        </w:rPr>
        <w:t xml:space="preserve"> </w:t>
      </w:r>
      <w:r w:rsidR="00FA5AFC" w:rsidRPr="00005A1C">
        <w:rPr>
          <w:rFonts w:ascii="Arial" w:hAnsi="Arial" w:cs="David" w:hint="cs"/>
          <w:rtl/>
        </w:rPr>
        <w:t>במחירי המניות</w:t>
      </w:r>
      <w:r w:rsidR="006F5107" w:rsidRPr="006F5107">
        <w:rPr>
          <w:rFonts w:ascii="Arial" w:hAnsi="Arial" w:cs="David" w:hint="cs"/>
          <w:rtl/>
        </w:rPr>
        <w:t xml:space="preserve"> </w:t>
      </w:r>
      <w:r w:rsidR="006F5107" w:rsidRPr="00005A1C">
        <w:rPr>
          <w:rFonts w:ascii="Arial" w:hAnsi="Arial" w:cs="David" w:hint="cs"/>
          <w:rtl/>
        </w:rPr>
        <w:t xml:space="preserve">בהיקף של כ- </w:t>
      </w:r>
      <w:r w:rsidR="006F5107">
        <w:rPr>
          <w:rFonts w:ascii="Arial" w:hAnsi="Arial" w:cs="David" w:hint="cs"/>
          <w:rtl/>
        </w:rPr>
        <w:t>11.2 מיליארד</w:t>
      </w:r>
      <w:r w:rsidR="006F5107" w:rsidRPr="00005A1C">
        <w:rPr>
          <w:rFonts w:ascii="Arial" w:hAnsi="Arial" w:cs="David" w:hint="cs"/>
          <w:rtl/>
        </w:rPr>
        <w:t>ים</w:t>
      </w:r>
      <w:r w:rsidR="00562DE8">
        <w:rPr>
          <w:rFonts w:ascii="Arial" w:hAnsi="Arial" w:cs="David" w:hint="cs"/>
          <w:rtl/>
        </w:rPr>
        <w:t>,</w:t>
      </w:r>
      <w:r w:rsidR="006F0654">
        <w:rPr>
          <w:rFonts w:ascii="Arial" w:hAnsi="Arial" w:cs="David" w:hint="cs"/>
          <w:rtl/>
        </w:rPr>
        <w:t xml:space="preserve"> </w:t>
      </w:r>
      <w:r w:rsidR="006F0654" w:rsidRPr="00E8538A">
        <w:rPr>
          <w:rFonts w:ascii="Arial" w:hAnsi="Arial" w:cs="David" w:hint="eastAsia"/>
          <w:rtl/>
        </w:rPr>
        <w:t>על</w:t>
      </w:r>
      <w:r w:rsidR="006F0654" w:rsidRPr="00E8538A">
        <w:rPr>
          <w:rFonts w:ascii="Arial" w:hAnsi="Arial" w:cs="David"/>
          <w:rtl/>
        </w:rPr>
        <w:t xml:space="preserve"> </w:t>
      </w:r>
      <w:r w:rsidR="006F0654" w:rsidRPr="00E8538A">
        <w:rPr>
          <w:rFonts w:ascii="Arial" w:hAnsi="Arial" w:cs="David" w:hint="eastAsia"/>
          <w:rtl/>
        </w:rPr>
        <w:t>רקע</w:t>
      </w:r>
      <w:r w:rsidR="006F0654" w:rsidRPr="00E8538A">
        <w:rPr>
          <w:rFonts w:ascii="Arial" w:hAnsi="Arial" w:cs="David"/>
          <w:rtl/>
        </w:rPr>
        <w:t xml:space="preserve"> </w:t>
      </w:r>
      <w:r w:rsidR="006F0654" w:rsidRPr="00E8538A">
        <w:rPr>
          <w:rFonts w:ascii="Arial" w:hAnsi="Arial" w:cs="David" w:hint="eastAsia"/>
          <w:rtl/>
        </w:rPr>
        <w:t>משבר</w:t>
      </w:r>
      <w:r w:rsidR="006F0654" w:rsidRPr="00E8538A">
        <w:rPr>
          <w:rFonts w:ascii="Arial" w:hAnsi="Arial" w:cs="David"/>
          <w:rtl/>
        </w:rPr>
        <w:t xml:space="preserve"> </w:t>
      </w:r>
      <w:r w:rsidR="006F0654" w:rsidRPr="00E8538A">
        <w:rPr>
          <w:rFonts w:ascii="Arial" w:hAnsi="Arial" w:cs="David" w:hint="eastAsia"/>
          <w:rtl/>
        </w:rPr>
        <w:t>הקורונה</w:t>
      </w:r>
      <w:r w:rsidR="006F5107">
        <w:rPr>
          <w:rFonts w:ascii="Arial" w:hAnsi="Arial" w:cs="David" w:hint="cs"/>
          <w:rtl/>
        </w:rPr>
        <w:t>.</w:t>
      </w:r>
      <w:r w:rsidR="00B71D86" w:rsidRPr="00005A1C">
        <w:rPr>
          <w:rFonts w:ascii="Arial" w:hAnsi="Arial" w:cs="David" w:hint="cs"/>
          <w:rtl/>
        </w:rPr>
        <w:t xml:space="preserve"> </w:t>
      </w:r>
    </w:p>
    <w:p w:rsidR="00C97BC3" w:rsidRDefault="006F5107" w:rsidP="005866AE">
      <w:pPr>
        <w:pStyle w:val="af7"/>
        <w:spacing w:line="360" w:lineRule="auto"/>
        <w:ind w:left="1069"/>
        <w:jc w:val="both"/>
        <w:rPr>
          <w:rFonts w:ascii="Arial" w:hAnsi="Arial" w:cs="David"/>
          <w:rtl/>
        </w:rPr>
      </w:pPr>
      <w:r>
        <w:rPr>
          <w:rFonts w:ascii="Arial" w:hAnsi="Arial" w:cs="David" w:hint="cs"/>
          <w:rtl/>
        </w:rPr>
        <w:t>כמו כן</w:t>
      </w:r>
      <w:r w:rsidR="00CF1210" w:rsidRPr="00716555">
        <w:rPr>
          <w:rFonts w:ascii="Arial" w:hAnsi="Arial" w:cs="David" w:hint="cs"/>
          <w:rtl/>
        </w:rPr>
        <w:t xml:space="preserve">, </w:t>
      </w:r>
      <w:r>
        <w:rPr>
          <w:rFonts w:ascii="Arial" w:hAnsi="Arial" w:cs="David" w:hint="cs"/>
          <w:rtl/>
        </w:rPr>
        <w:t xml:space="preserve">לעלייה בשווי תיק ניירות הערך תרם זרם השקעות פיננסיות באג"ח </w:t>
      </w:r>
      <w:r w:rsidR="005866AE">
        <w:rPr>
          <w:rFonts w:ascii="Arial" w:hAnsi="Arial" w:cs="David" w:hint="cs"/>
          <w:rtl/>
        </w:rPr>
        <w:t>ממשלתיות</w:t>
      </w:r>
      <w:r>
        <w:rPr>
          <w:rFonts w:ascii="Arial" w:hAnsi="Arial" w:cs="David" w:hint="cs"/>
          <w:rtl/>
        </w:rPr>
        <w:t xml:space="preserve"> (12.5 מיליארדי דולרים)</w:t>
      </w:r>
      <w:r w:rsidR="005866AE">
        <w:rPr>
          <w:rFonts w:ascii="Arial" w:hAnsi="Arial" w:cs="David" w:hint="cs"/>
          <w:rtl/>
        </w:rPr>
        <w:t xml:space="preserve">, בעיקר כתוצאה מהנפקות של אג"ח ממשלתיות בחו"ל. </w:t>
      </w:r>
    </w:p>
    <w:p w:rsidR="00FA5AFC" w:rsidRPr="00883DB4" w:rsidRDefault="005866AE" w:rsidP="00052F13">
      <w:pPr>
        <w:pStyle w:val="af7"/>
        <w:spacing w:line="360" w:lineRule="auto"/>
        <w:ind w:left="1069"/>
        <w:jc w:val="both"/>
        <w:rPr>
          <w:rFonts w:ascii="Arial" w:hAnsi="Arial" w:cs="David"/>
        </w:rPr>
      </w:pPr>
      <w:r>
        <w:rPr>
          <w:rFonts w:ascii="Arial" w:hAnsi="Arial" w:cs="David" w:hint="cs"/>
          <w:rtl/>
        </w:rPr>
        <w:t xml:space="preserve">זרם השקעות זה </w:t>
      </w:r>
      <w:r w:rsidR="006F5107">
        <w:rPr>
          <w:rFonts w:ascii="Arial" w:hAnsi="Arial" w:cs="David" w:hint="cs"/>
          <w:rtl/>
        </w:rPr>
        <w:t>קוזז בחלקו על ידי מימושים נטו במניות (6 מיליארדים)</w:t>
      </w:r>
      <w:r w:rsidR="0016755A">
        <w:rPr>
          <w:rFonts w:ascii="Arial" w:hAnsi="Arial" w:cs="David" w:hint="cs"/>
          <w:rtl/>
        </w:rPr>
        <w:t>, בעיקר</w:t>
      </w:r>
      <w:r>
        <w:rPr>
          <w:rFonts w:ascii="Arial" w:hAnsi="Arial" w:cs="David" w:hint="cs"/>
          <w:rtl/>
        </w:rPr>
        <w:t xml:space="preserve"> כתוצאה מרכישה של </w:t>
      </w:r>
      <w:r w:rsidR="0082053D">
        <w:rPr>
          <w:rFonts w:ascii="Arial" w:hAnsi="Arial" w:cs="David" w:hint="cs"/>
          <w:rtl/>
        </w:rPr>
        <w:t>חברה ישראלי</w:t>
      </w:r>
      <w:r w:rsidRPr="00883DB4">
        <w:rPr>
          <w:rFonts w:ascii="Arial" w:hAnsi="Arial" w:cs="David" w:hint="cs"/>
          <w:rtl/>
        </w:rPr>
        <w:t xml:space="preserve">ת מענף </w:t>
      </w:r>
      <w:r w:rsidR="00733FA9" w:rsidRPr="00883DB4">
        <w:rPr>
          <w:rFonts w:ascii="Arial" w:hAnsi="Arial" w:cs="David"/>
          <w:rtl/>
        </w:rPr>
        <w:t xml:space="preserve">תעשיית </w:t>
      </w:r>
      <w:r w:rsidR="00052F13" w:rsidRPr="00883DB4">
        <w:rPr>
          <w:rFonts w:ascii="Arial" w:hAnsi="Arial" w:cs="David" w:hint="cs"/>
          <w:rtl/>
        </w:rPr>
        <w:t>המוליכים למחצה (סמיקונדוקטורי</w:t>
      </w:r>
      <w:r w:rsidR="00052F13" w:rsidRPr="00883DB4">
        <w:rPr>
          <w:rFonts w:ascii="Arial" w:hAnsi="Arial" w:cs="David" w:hint="eastAsia"/>
          <w:rtl/>
        </w:rPr>
        <w:t>ם</w:t>
      </w:r>
      <w:r w:rsidR="00052F13" w:rsidRPr="00883DB4">
        <w:rPr>
          <w:rFonts w:ascii="Arial" w:hAnsi="Arial" w:cs="David" w:hint="cs"/>
          <w:rtl/>
        </w:rPr>
        <w:t xml:space="preserve">) </w:t>
      </w:r>
      <w:r w:rsidRPr="00883DB4">
        <w:rPr>
          <w:rFonts w:ascii="Arial" w:hAnsi="Arial" w:cs="David" w:hint="cs"/>
          <w:rtl/>
        </w:rPr>
        <w:t>על ידי תושבי חוץ</w:t>
      </w:r>
      <w:r w:rsidR="00AE1926" w:rsidRPr="00883DB4">
        <w:rPr>
          <w:rFonts w:ascii="Arial" w:hAnsi="Arial" w:cs="David" w:hint="cs"/>
          <w:rtl/>
        </w:rPr>
        <w:t>.</w:t>
      </w:r>
      <w:r w:rsidR="00FA5AFC" w:rsidRPr="00883DB4">
        <w:rPr>
          <w:rFonts w:ascii="Arial" w:hAnsi="Arial" w:cs="David" w:hint="cs"/>
          <w:rtl/>
        </w:rPr>
        <w:t xml:space="preserve"> </w:t>
      </w:r>
    </w:p>
    <w:p w:rsidR="005866AE" w:rsidRPr="00883DB4" w:rsidRDefault="005866AE" w:rsidP="00331865">
      <w:pPr>
        <w:pStyle w:val="af7"/>
        <w:numPr>
          <w:ilvl w:val="0"/>
          <w:numId w:val="17"/>
        </w:numPr>
        <w:spacing w:line="360" w:lineRule="auto"/>
        <w:jc w:val="both"/>
        <w:rPr>
          <w:rFonts w:ascii="Arial" w:hAnsi="Arial" w:cs="David"/>
          <w:rtl/>
        </w:rPr>
      </w:pPr>
      <w:r w:rsidRPr="00883DB4">
        <w:rPr>
          <w:rStyle w:val="20"/>
          <w:rFonts w:hint="cs"/>
          <w:b/>
          <w:bCs/>
          <w:rtl/>
        </w:rPr>
        <w:t>שווי ההשקעות הישירות במשק</w:t>
      </w:r>
      <w:r w:rsidRPr="00883DB4">
        <w:rPr>
          <w:rFonts w:ascii="Arial" w:hAnsi="Arial" w:cs="David" w:hint="cs"/>
          <w:b/>
          <w:bCs/>
          <w:rtl/>
        </w:rPr>
        <w:t xml:space="preserve"> </w:t>
      </w:r>
      <w:r w:rsidRPr="00883DB4">
        <w:rPr>
          <w:rFonts w:ascii="Arial" w:hAnsi="Arial" w:cs="David" w:hint="cs"/>
          <w:rtl/>
        </w:rPr>
        <w:t>עלה במהלך הרביע השני ב-10.4 מיליארדי דולרים (6.3%). העלייה נבעה מזרם השקעות ישירות בהון מניות ישראליות בהיקף של 10.</w:t>
      </w:r>
      <w:r w:rsidR="003F3E23" w:rsidRPr="00883DB4">
        <w:rPr>
          <w:rFonts w:ascii="Arial" w:hAnsi="Arial" w:cs="David" w:hint="cs"/>
          <w:rtl/>
        </w:rPr>
        <w:t>7</w:t>
      </w:r>
      <w:r w:rsidRPr="00883DB4">
        <w:rPr>
          <w:rFonts w:ascii="Arial" w:hAnsi="Arial" w:cs="David" w:hint="cs"/>
          <w:rtl/>
        </w:rPr>
        <w:t xml:space="preserve"> מיליארדים שרובו כתוצאה מעסקת </w:t>
      </w:r>
      <w:r w:rsidRPr="00883DB4">
        <w:rPr>
          <w:rFonts w:ascii="Arial" w:hAnsi="Arial" w:cs="David" w:hint="cs"/>
          <w:rtl/>
        </w:rPr>
        <w:lastRenderedPageBreak/>
        <w:t xml:space="preserve">הרכישה של </w:t>
      </w:r>
      <w:r w:rsidR="00926C33" w:rsidRPr="00883DB4">
        <w:rPr>
          <w:rFonts w:ascii="Arial" w:hAnsi="Arial" w:cs="David" w:hint="cs"/>
          <w:rtl/>
        </w:rPr>
        <w:t>ה</w:t>
      </w:r>
      <w:r w:rsidRPr="00883DB4">
        <w:rPr>
          <w:rFonts w:ascii="Arial" w:hAnsi="Arial" w:cs="David" w:hint="cs"/>
          <w:rtl/>
        </w:rPr>
        <w:t xml:space="preserve">חברה </w:t>
      </w:r>
      <w:r w:rsidR="00926C33" w:rsidRPr="00883DB4">
        <w:rPr>
          <w:rFonts w:ascii="Arial" w:hAnsi="Arial" w:cs="David" w:hint="cs"/>
          <w:rtl/>
        </w:rPr>
        <w:t>ה</w:t>
      </w:r>
      <w:r w:rsidRPr="00883DB4">
        <w:rPr>
          <w:rFonts w:ascii="Arial" w:hAnsi="Arial" w:cs="David" w:hint="cs"/>
          <w:rtl/>
        </w:rPr>
        <w:t xml:space="preserve">ישראלית מענף </w:t>
      </w:r>
      <w:r w:rsidR="001E298A" w:rsidRPr="00883DB4">
        <w:rPr>
          <w:rFonts w:ascii="Arial" w:hAnsi="Arial" w:cs="David"/>
          <w:rtl/>
        </w:rPr>
        <w:t xml:space="preserve">תעשיית </w:t>
      </w:r>
      <w:r w:rsidR="00883DB4" w:rsidRPr="00883DB4">
        <w:rPr>
          <w:rFonts w:ascii="Arial" w:hAnsi="Arial" w:cs="David" w:hint="cs"/>
          <w:rtl/>
        </w:rPr>
        <w:t>ה</w:t>
      </w:r>
      <w:r w:rsidR="0021084C" w:rsidRPr="00883DB4">
        <w:rPr>
          <w:rFonts w:ascii="Arial" w:hAnsi="Arial" w:cs="David" w:hint="cs"/>
          <w:rtl/>
        </w:rPr>
        <w:t xml:space="preserve">מוליכים למחצה. </w:t>
      </w:r>
      <w:r w:rsidR="00D738AB">
        <w:rPr>
          <w:rFonts w:ascii="Arial" w:hAnsi="Arial" w:cs="David" w:hint="cs"/>
          <w:rtl/>
        </w:rPr>
        <w:t>יצוין</w:t>
      </w:r>
      <w:r w:rsidR="000762E1">
        <w:rPr>
          <w:rFonts w:ascii="Arial" w:hAnsi="Arial" w:cs="David" w:hint="cs"/>
          <w:rtl/>
        </w:rPr>
        <w:t xml:space="preserve"> כי מאחר שבמרבית מניות החברה השקיעו משקיעים פיננסיים זרים, יבוא ההון בגין השקעה זו קוזז </w:t>
      </w:r>
      <w:r w:rsidR="00331865">
        <w:rPr>
          <w:rFonts w:ascii="Arial" w:hAnsi="Arial" w:cs="David" w:hint="cs"/>
          <w:rtl/>
        </w:rPr>
        <w:t>ברובו</w:t>
      </w:r>
      <w:r w:rsidR="000762E1">
        <w:rPr>
          <w:rFonts w:ascii="Arial" w:hAnsi="Arial" w:cs="David" w:hint="cs"/>
          <w:rtl/>
        </w:rPr>
        <w:t xml:space="preserve"> במימוש השקעות פיננסיות של תושבי חוץ במניות ולא השפיע על השוק המקומי. </w:t>
      </w:r>
    </w:p>
    <w:p w:rsidR="002216F2" w:rsidRDefault="002216F2" w:rsidP="00C679C0">
      <w:pPr>
        <w:pStyle w:val="af7"/>
        <w:numPr>
          <w:ilvl w:val="0"/>
          <w:numId w:val="17"/>
        </w:numPr>
        <w:spacing w:before="240" w:line="360" w:lineRule="auto"/>
        <w:jc w:val="both"/>
        <w:rPr>
          <w:rFonts w:ascii="Arial" w:hAnsi="Arial" w:cs="David"/>
        </w:rPr>
      </w:pPr>
      <w:r w:rsidRPr="00883DB4">
        <w:rPr>
          <w:rStyle w:val="20"/>
          <w:rFonts w:hint="cs"/>
          <w:b/>
          <w:bCs/>
          <w:rtl/>
        </w:rPr>
        <w:t>שווי התיק של תושבי חוץ בבורסה לני"ע בתל-אביב</w:t>
      </w:r>
      <w:r w:rsidRPr="00883DB4">
        <w:rPr>
          <w:rFonts w:ascii="Arial" w:hAnsi="Arial" w:cs="David" w:hint="cs"/>
          <w:b/>
          <w:bCs/>
          <w:rtl/>
        </w:rPr>
        <w:t xml:space="preserve">, </w:t>
      </w:r>
      <w:r w:rsidRPr="00883DB4">
        <w:rPr>
          <w:rFonts w:ascii="Arial" w:hAnsi="Arial" w:cs="David" w:hint="cs"/>
          <w:rtl/>
        </w:rPr>
        <w:t>המהווה חלק מיתרת ההשקעות של תושבי חוץ</w:t>
      </w:r>
      <w:r w:rsidRPr="00883DB4">
        <w:rPr>
          <w:rFonts w:ascii="Arial" w:hAnsi="Arial" w:cs="David" w:hint="cs"/>
          <w:b/>
          <w:bCs/>
          <w:rtl/>
        </w:rPr>
        <w:t xml:space="preserve"> </w:t>
      </w:r>
      <w:r w:rsidRPr="00883DB4">
        <w:rPr>
          <w:rFonts w:ascii="Arial" w:hAnsi="Arial" w:cs="David" w:hint="cs"/>
          <w:rtl/>
        </w:rPr>
        <w:t xml:space="preserve">במשק, </w:t>
      </w:r>
      <w:r w:rsidR="003E1B5A" w:rsidRPr="00883DB4">
        <w:rPr>
          <w:rFonts w:ascii="Arial" w:hAnsi="Arial" w:cs="David" w:hint="cs"/>
          <w:rtl/>
        </w:rPr>
        <w:t>עלה</w:t>
      </w:r>
      <w:r w:rsidR="000761AC" w:rsidRPr="00883DB4">
        <w:rPr>
          <w:rFonts w:ascii="Arial" w:hAnsi="Arial" w:cs="David" w:hint="cs"/>
          <w:rtl/>
        </w:rPr>
        <w:t xml:space="preserve"> </w:t>
      </w:r>
      <w:r w:rsidRPr="00883DB4">
        <w:rPr>
          <w:rFonts w:ascii="Arial" w:hAnsi="Arial" w:cs="David" w:hint="cs"/>
          <w:rtl/>
        </w:rPr>
        <w:t>ברביע</w:t>
      </w:r>
      <w:r w:rsidRPr="008C765A">
        <w:rPr>
          <w:rFonts w:ascii="Arial" w:hAnsi="Arial" w:cs="David" w:hint="cs"/>
          <w:rtl/>
        </w:rPr>
        <w:t xml:space="preserve"> ה</w:t>
      </w:r>
      <w:r w:rsidR="003E1B5A">
        <w:rPr>
          <w:rFonts w:ascii="Arial" w:hAnsi="Arial" w:cs="David" w:hint="cs"/>
          <w:rtl/>
        </w:rPr>
        <w:t>שני</w:t>
      </w:r>
      <w:r w:rsidRPr="008C765A">
        <w:rPr>
          <w:rFonts w:ascii="Arial" w:hAnsi="Arial" w:cs="David" w:hint="cs"/>
          <w:rtl/>
        </w:rPr>
        <w:t xml:space="preserve"> בכ-</w:t>
      </w:r>
      <w:r w:rsidR="003E1B5A">
        <w:rPr>
          <w:rFonts w:ascii="David" w:hAnsi="David" w:cs="David" w:hint="cs"/>
          <w:rtl/>
        </w:rPr>
        <w:t>2.9</w:t>
      </w:r>
      <w:r w:rsidRPr="008C765A">
        <w:rPr>
          <w:rFonts w:ascii="Arial" w:hAnsi="Arial" w:cs="David" w:hint="cs"/>
          <w:rtl/>
        </w:rPr>
        <w:t xml:space="preserve"> מיליארדי דולרים ועמד בסוף </w:t>
      </w:r>
      <w:r w:rsidR="003E1B5A">
        <w:rPr>
          <w:rFonts w:ascii="Arial" w:hAnsi="Arial" w:cs="David" w:hint="cs"/>
          <w:rtl/>
        </w:rPr>
        <w:t>יוני</w:t>
      </w:r>
      <w:r w:rsidRPr="008C765A">
        <w:rPr>
          <w:rFonts w:ascii="Arial" w:hAnsi="Arial" w:cs="David" w:hint="cs"/>
          <w:rtl/>
        </w:rPr>
        <w:t xml:space="preserve"> על </w:t>
      </w:r>
      <w:r w:rsidR="003E1B5A">
        <w:rPr>
          <w:rFonts w:ascii="Arial" w:hAnsi="Arial" w:cs="David" w:hint="cs"/>
          <w:rtl/>
        </w:rPr>
        <w:t>45.3</w:t>
      </w:r>
      <w:r w:rsidR="00141843" w:rsidRPr="008C765A">
        <w:rPr>
          <w:rFonts w:ascii="Arial" w:hAnsi="Arial" w:cs="David" w:hint="cs"/>
          <w:rtl/>
        </w:rPr>
        <w:t xml:space="preserve"> מיליארדים. </w:t>
      </w:r>
      <w:r w:rsidR="00291259" w:rsidRPr="008C765A">
        <w:rPr>
          <w:rFonts w:ascii="Arial" w:hAnsi="Arial" w:cs="David" w:hint="cs"/>
          <w:rtl/>
        </w:rPr>
        <w:t>השינוי</w:t>
      </w:r>
      <w:r w:rsidRPr="008C765A">
        <w:rPr>
          <w:rFonts w:ascii="Arial" w:hAnsi="Arial" w:cs="David" w:hint="cs"/>
          <w:rtl/>
        </w:rPr>
        <w:t xml:space="preserve"> בשווי התיק </w:t>
      </w:r>
      <w:r w:rsidR="00141843" w:rsidRPr="008C765A">
        <w:rPr>
          <w:rFonts w:ascii="Arial" w:hAnsi="Arial" w:cs="David" w:hint="cs"/>
          <w:rtl/>
        </w:rPr>
        <w:t xml:space="preserve">התרחש </w:t>
      </w:r>
      <w:r w:rsidR="003E1B5A">
        <w:rPr>
          <w:rFonts w:ascii="Arial" w:hAnsi="Arial" w:cs="David" w:hint="cs"/>
          <w:rtl/>
        </w:rPr>
        <w:t xml:space="preserve">בעיקר </w:t>
      </w:r>
      <w:r w:rsidRPr="008C765A">
        <w:rPr>
          <w:rFonts w:ascii="Arial" w:hAnsi="Arial" w:cs="David" w:hint="cs"/>
          <w:rtl/>
        </w:rPr>
        <w:t xml:space="preserve">כתוצאה </w:t>
      </w:r>
      <w:r w:rsidR="00862102" w:rsidRPr="008C765A">
        <w:rPr>
          <w:rFonts w:ascii="Arial" w:hAnsi="Arial" w:cs="David" w:hint="cs"/>
          <w:rtl/>
        </w:rPr>
        <w:t>מ</w:t>
      </w:r>
      <w:r w:rsidR="003E1B5A">
        <w:rPr>
          <w:rFonts w:ascii="Arial" w:hAnsi="Arial" w:cs="David" w:hint="cs"/>
          <w:rtl/>
        </w:rPr>
        <w:t>זרם השקעות נטו</w:t>
      </w:r>
      <w:r w:rsidR="0021084C">
        <w:rPr>
          <w:rFonts w:ascii="Arial" w:hAnsi="Arial" w:cs="David" w:hint="cs"/>
          <w:rtl/>
        </w:rPr>
        <w:t>,</w:t>
      </w:r>
      <w:r w:rsidR="003E1B5A">
        <w:rPr>
          <w:rFonts w:ascii="Arial" w:hAnsi="Arial" w:cs="David" w:hint="cs"/>
          <w:rtl/>
        </w:rPr>
        <w:t xml:space="preserve"> בעיקר באג"ח ישראליו</w:t>
      </w:r>
      <w:r w:rsidR="00C679C0">
        <w:rPr>
          <w:rFonts w:ascii="Arial" w:hAnsi="Arial" w:cs="David" w:hint="cs"/>
          <w:rtl/>
        </w:rPr>
        <w:t>ת.</w:t>
      </w:r>
      <w:r w:rsidRPr="003E1B5A">
        <w:rPr>
          <w:rFonts w:ascii="Arial" w:hAnsi="Arial" w:cs="David" w:hint="cs"/>
          <w:color w:val="FF0000"/>
          <w:rtl/>
        </w:rPr>
        <w:t xml:space="preserve"> </w:t>
      </w:r>
      <w:r w:rsidRPr="008C765A">
        <w:rPr>
          <w:rFonts w:ascii="Arial" w:hAnsi="Arial" w:cs="David" w:hint="cs"/>
          <w:rtl/>
        </w:rPr>
        <w:t xml:space="preserve">(תרשים 2 ותרשים 3) </w:t>
      </w:r>
    </w:p>
    <w:p w:rsidR="002D7D8A" w:rsidRPr="008C765A" w:rsidRDefault="002D7D8A" w:rsidP="006A005A">
      <w:pPr>
        <w:pStyle w:val="af7"/>
        <w:spacing w:before="240" w:line="360" w:lineRule="auto"/>
        <w:jc w:val="center"/>
        <w:rPr>
          <w:rFonts w:ascii="Arial" w:hAnsi="Arial" w:cs="David"/>
          <w:rtl/>
        </w:rPr>
      </w:pPr>
    </w:p>
    <w:tbl>
      <w:tblPr>
        <w:tblStyle w:val="af1"/>
        <w:bidiVisual/>
        <w:tblW w:w="16224" w:type="dxa"/>
        <w:tblInd w:w="-5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10968"/>
      </w:tblGrid>
      <w:tr w:rsidR="00AE1217" w:rsidRPr="00A53CC2" w:rsidTr="00AE1217">
        <w:trPr>
          <w:trHeight w:val="1176"/>
        </w:trPr>
        <w:tc>
          <w:tcPr>
            <w:tcW w:w="5256" w:type="dxa"/>
          </w:tcPr>
          <w:p w:rsidR="002216F2" w:rsidRPr="00A53CC2" w:rsidRDefault="00AE1217" w:rsidP="00AE1217">
            <w:pPr>
              <w:spacing w:line="360" w:lineRule="auto"/>
              <w:jc w:val="right"/>
              <w:rPr>
                <w:highlight w:val="yellow"/>
                <w:rtl/>
              </w:rPr>
            </w:pPr>
            <w:r w:rsidRPr="00A53CC2">
              <w:rPr>
                <w:noProof/>
                <w:highlight w:val="yellow"/>
                <w:lang w:eastAsia="en-US"/>
              </w:rPr>
              <w:drawing>
                <wp:inline distT="0" distB="0" distL="0" distR="0" wp14:anchorId="65FF7E01" wp14:editId="1591D318">
                  <wp:extent cx="3200400" cy="2291662"/>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3008" cy="2322172"/>
                          </a:xfrm>
                          <a:prstGeom prst="rect">
                            <a:avLst/>
                          </a:prstGeom>
                          <a:noFill/>
                        </pic:spPr>
                      </pic:pic>
                    </a:graphicData>
                  </a:graphic>
                </wp:inline>
              </w:drawing>
            </w:r>
          </w:p>
        </w:tc>
        <w:tc>
          <w:tcPr>
            <w:tcW w:w="10968" w:type="dxa"/>
          </w:tcPr>
          <w:p w:rsidR="0052669F" w:rsidRDefault="006A005A" w:rsidP="006A005A">
            <w:pPr>
              <w:pStyle w:val="2"/>
              <w:tabs>
                <w:tab w:val="left" w:pos="6348"/>
              </w:tabs>
              <w:ind w:left="720" w:right="0"/>
              <w:jc w:val="center"/>
              <w:rPr>
                <w:noProof/>
                <w:rtl/>
                <w:lang w:eastAsia="en-US"/>
              </w:rPr>
            </w:pPr>
            <w:r w:rsidRPr="006A005A">
              <w:rPr>
                <w:rFonts w:hint="cs"/>
                <w:noProof/>
                <w:rtl/>
                <w:lang w:eastAsia="en-US"/>
              </w:rPr>
              <w:t xml:space="preserve">                  </w:t>
            </w:r>
          </w:p>
          <w:p w:rsidR="002216F2" w:rsidRPr="006A005A" w:rsidRDefault="000F58A3" w:rsidP="0052669F">
            <w:pPr>
              <w:pStyle w:val="2"/>
              <w:tabs>
                <w:tab w:val="left" w:pos="6348"/>
              </w:tabs>
              <w:ind w:left="720" w:right="0"/>
              <w:jc w:val="center"/>
              <w:rPr>
                <w:rtl/>
              </w:rPr>
            </w:pPr>
            <w:r>
              <w:rPr>
                <w:noProof/>
                <w:lang w:eastAsia="en-US"/>
              </w:rPr>
              <w:drawing>
                <wp:inline distT="0" distB="0" distL="0" distR="0" wp14:anchorId="6A0DB0F1">
                  <wp:extent cx="4137189" cy="2521612"/>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2151" cy="2542922"/>
                          </a:xfrm>
                          <a:prstGeom prst="rect">
                            <a:avLst/>
                          </a:prstGeom>
                          <a:noFill/>
                        </pic:spPr>
                      </pic:pic>
                    </a:graphicData>
                  </a:graphic>
                </wp:inline>
              </w:drawing>
            </w:r>
            <w:r w:rsidR="005666C3">
              <w:rPr>
                <w:noProof/>
                <w:lang w:eastAsia="en-US"/>
              </w:rPr>
              <w:drawing>
                <wp:inline distT="0" distB="0" distL="0" distR="0" wp14:anchorId="12A087B7">
                  <wp:extent cx="4151092" cy="2713217"/>
                  <wp:effectExtent l="0" t="0" r="190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79212" cy="2731596"/>
                          </a:xfrm>
                          <a:prstGeom prst="rect">
                            <a:avLst/>
                          </a:prstGeom>
                          <a:noFill/>
                        </pic:spPr>
                      </pic:pic>
                    </a:graphicData>
                  </a:graphic>
                </wp:inline>
              </w:drawing>
            </w:r>
          </w:p>
          <w:p w:rsidR="008B5A32" w:rsidRPr="00221960" w:rsidRDefault="008B5A32" w:rsidP="002525F2">
            <w:pPr>
              <w:pStyle w:val="af7"/>
              <w:numPr>
                <w:ilvl w:val="0"/>
                <w:numId w:val="17"/>
              </w:numPr>
              <w:spacing w:before="240" w:line="360" w:lineRule="auto"/>
              <w:jc w:val="both"/>
              <w:rPr>
                <w:rStyle w:val="20"/>
                <w:rFonts w:ascii="Arial" w:hAnsi="Arial"/>
              </w:rPr>
            </w:pPr>
            <w:r w:rsidRPr="00221960">
              <w:rPr>
                <w:rStyle w:val="20"/>
                <w:rFonts w:hint="cs"/>
                <w:b/>
                <w:bCs/>
                <w:rtl/>
              </w:rPr>
              <w:t>שווי ההשקעות האחרות במשק</w:t>
            </w:r>
            <w:r w:rsidRPr="00221960">
              <w:rPr>
                <w:rFonts w:ascii="Arial" w:hAnsi="Arial" w:cs="David" w:hint="cs"/>
                <w:b/>
                <w:bCs/>
                <w:rtl/>
              </w:rPr>
              <w:t xml:space="preserve"> </w:t>
            </w:r>
            <w:r w:rsidR="001D059C">
              <w:rPr>
                <w:rFonts w:ascii="Arial" w:hAnsi="Arial" w:cs="David" w:hint="cs"/>
                <w:rtl/>
              </w:rPr>
              <w:t>ירד</w:t>
            </w:r>
            <w:r w:rsidRPr="00221960">
              <w:rPr>
                <w:rFonts w:ascii="Arial" w:hAnsi="Arial" w:cs="David" w:hint="cs"/>
                <w:rtl/>
              </w:rPr>
              <w:t xml:space="preserve"> במהלך הרביע ה</w:t>
            </w:r>
            <w:r w:rsidR="002525F2">
              <w:rPr>
                <w:rFonts w:ascii="Arial" w:hAnsi="Arial" w:cs="David" w:hint="cs"/>
                <w:rtl/>
              </w:rPr>
              <w:t xml:space="preserve">שני </w:t>
            </w:r>
            <w:r w:rsidR="007074EA">
              <w:rPr>
                <w:rFonts w:ascii="Arial" w:hAnsi="Arial" w:cs="David" w:hint="cs"/>
                <w:rtl/>
              </w:rPr>
              <w:t>בכ-</w:t>
            </w:r>
            <w:r w:rsidR="001D059C">
              <w:rPr>
                <w:rFonts w:ascii="Arial" w:hAnsi="Arial" w:cs="David" w:hint="cs"/>
                <w:rtl/>
              </w:rPr>
              <w:t>1.</w:t>
            </w:r>
            <w:r w:rsidR="002525F2">
              <w:rPr>
                <w:rFonts w:ascii="Arial" w:hAnsi="Arial" w:cs="David" w:hint="cs"/>
                <w:rtl/>
              </w:rPr>
              <w:t>9</w:t>
            </w:r>
            <w:r w:rsidR="001D059C">
              <w:rPr>
                <w:rFonts w:ascii="Arial" w:hAnsi="Arial" w:cs="David" w:hint="cs"/>
                <w:rtl/>
              </w:rPr>
              <w:t xml:space="preserve"> </w:t>
            </w:r>
            <w:r w:rsidR="00067A97">
              <w:rPr>
                <w:rFonts w:ascii="Arial" w:hAnsi="Arial" w:cs="David" w:hint="cs"/>
                <w:rtl/>
              </w:rPr>
              <w:t>מיליארד</w:t>
            </w:r>
            <w:r w:rsidRPr="00221960">
              <w:rPr>
                <w:rFonts w:ascii="Arial" w:hAnsi="Arial" w:cs="David" w:hint="cs"/>
                <w:rtl/>
              </w:rPr>
              <w:t xml:space="preserve"> דולר (</w:t>
            </w:r>
            <w:r w:rsidR="002525F2">
              <w:rPr>
                <w:rFonts w:ascii="Arial" w:hAnsi="Arial" w:cs="David" w:hint="cs"/>
                <w:rtl/>
              </w:rPr>
              <w:t>3</w:t>
            </w:r>
            <w:r w:rsidRPr="00221960">
              <w:rPr>
                <w:rFonts w:ascii="Arial" w:hAnsi="Arial" w:cs="David" w:hint="cs"/>
                <w:rtl/>
              </w:rPr>
              <w:t>.</w:t>
            </w:r>
            <w:r w:rsidR="002525F2">
              <w:rPr>
                <w:rFonts w:ascii="Arial" w:hAnsi="Arial" w:cs="David" w:hint="cs"/>
                <w:rtl/>
              </w:rPr>
              <w:t>8</w:t>
            </w:r>
            <w:r w:rsidRPr="00221960">
              <w:rPr>
                <w:rFonts w:ascii="Arial" w:hAnsi="Arial" w:cs="David" w:hint="cs"/>
                <w:rtl/>
              </w:rPr>
              <w:t>%</w:t>
            </w:r>
            <w:r w:rsidR="00B6470A">
              <w:rPr>
                <w:rFonts w:ascii="Arial" w:hAnsi="Arial" w:cs="David" w:hint="cs"/>
                <w:rtl/>
              </w:rPr>
              <w:t>-</w:t>
            </w:r>
            <w:r>
              <w:rPr>
                <w:rFonts w:ascii="Arial" w:hAnsi="Arial" w:cs="David" w:hint="cs"/>
                <w:rtl/>
              </w:rPr>
              <w:t>),</w:t>
            </w:r>
            <w:r w:rsidRPr="00221960">
              <w:rPr>
                <w:rFonts w:ascii="Arial" w:hAnsi="Arial" w:cs="David" w:hint="cs"/>
                <w:rtl/>
              </w:rPr>
              <w:t xml:space="preserve"> בעיקר כתוצאה </w:t>
            </w:r>
            <w:r w:rsidR="00B6470A">
              <w:rPr>
                <w:rFonts w:ascii="Arial" w:hAnsi="Arial" w:cs="David" w:hint="cs"/>
                <w:rtl/>
              </w:rPr>
              <w:t xml:space="preserve">מפירעונות נטו </w:t>
            </w:r>
            <w:r w:rsidR="007074EA">
              <w:rPr>
                <w:rFonts w:ascii="Arial" w:hAnsi="Arial" w:cs="David" w:hint="cs"/>
                <w:rtl/>
              </w:rPr>
              <w:t>ב</w:t>
            </w:r>
            <w:r>
              <w:rPr>
                <w:rFonts w:ascii="Arial" w:hAnsi="Arial" w:cs="David" w:hint="cs"/>
                <w:rtl/>
              </w:rPr>
              <w:t xml:space="preserve">אשראי </w:t>
            </w:r>
            <w:r w:rsidR="00B6470A">
              <w:rPr>
                <w:rFonts w:ascii="Arial" w:hAnsi="Arial" w:cs="David" w:hint="cs"/>
                <w:rtl/>
              </w:rPr>
              <w:t>ה</w:t>
            </w:r>
            <w:r>
              <w:rPr>
                <w:rFonts w:ascii="Arial" w:hAnsi="Arial" w:cs="David" w:hint="cs"/>
                <w:rtl/>
              </w:rPr>
              <w:t xml:space="preserve">ספקים </w:t>
            </w:r>
            <w:r w:rsidR="00D42BF8">
              <w:rPr>
                <w:rFonts w:ascii="Arial" w:hAnsi="Arial" w:cs="David" w:hint="cs"/>
                <w:rtl/>
              </w:rPr>
              <w:t>ב</w:t>
            </w:r>
            <w:r>
              <w:rPr>
                <w:rFonts w:ascii="Arial" w:hAnsi="Arial" w:cs="David" w:hint="cs"/>
                <w:rtl/>
              </w:rPr>
              <w:t>היקף של כ-</w:t>
            </w:r>
            <w:r w:rsidR="002525F2">
              <w:rPr>
                <w:rFonts w:ascii="Arial" w:hAnsi="Arial" w:cs="David" w:hint="cs"/>
                <w:rtl/>
              </w:rPr>
              <w:t>2 מ</w:t>
            </w:r>
            <w:r w:rsidR="007074EA">
              <w:rPr>
                <w:rFonts w:ascii="Arial" w:hAnsi="Arial" w:cs="David" w:hint="cs"/>
                <w:rtl/>
              </w:rPr>
              <w:t>יליארדי דולר</w:t>
            </w:r>
            <w:r w:rsidR="00B6470A">
              <w:rPr>
                <w:rFonts w:ascii="Arial" w:hAnsi="Arial" w:cs="David" w:hint="cs"/>
                <w:rtl/>
              </w:rPr>
              <w:t>ים</w:t>
            </w:r>
            <w:r w:rsidR="00067A97">
              <w:rPr>
                <w:rStyle w:val="20"/>
                <w:rFonts w:ascii="Arial" w:hAnsi="Arial" w:hint="cs"/>
                <w:rtl/>
              </w:rPr>
              <w:t>.</w:t>
            </w:r>
          </w:p>
          <w:p w:rsidR="002D7D8A" w:rsidRPr="00A53CC2" w:rsidRDefault="002D7D8A" w:rsidP="002D7D8A">
            <w:pPr>
              <w:pStyle w:val="2"/>
              <w:tabs>
                <w:tab w:val="left" w:pos="6348"/>
              </w:tabs>
              <w:ind w:left="720" w:right="0"/>
              <w:jc w:val="left"/>
              <w:rPr>
                <w:b/>
                <w:bCs/>
                <w:highlight w:val="yellow"/>
                <w:rtl/>
              </w:rPr>
            </w:pPr>
          </w:p>
        </w:tc>
      </w:tr>
    </w:tbl>
    <w:p w:rsidR="00695D66" w:rsidRPr="00F16211" w:rsidRDefault="00695D66" w:rsidP="002A0EDF">
      <w:pPr>
        <w:spacing w:line="360" w:lineRule="auto"/>
        <w:jc w:val="both"/>
        <w:rPr>
          <w:rFonts w:ascii="Arial" w:hAnsi="Arial" w:cs="David"/>
          <w:rtl/>
        </w:rPr>
      </w:pPr>
      <w:r w:rsidRPr="00F16211">
        <w:rPr>
          <w:rFonts w:ascii="Arial" w:hAnsi="Arial" w:cs="David" w:hint="cs"/>
          <w:b/>
          <w:bCs/>
          <w:rtl/>
        </w:rPr>
        <w:t>יתרת ההתחייבויות במכשירי חוב בלבד</w:t>
      </w:r>
      <w:r w:rsidRPr="00F16211">
        <w:rPr>
          <w:rFonts w:ascii="Arial" w:hAnsi="Arial" w:cs="David" w:hint="cs"/>
          <w:rtl/>
        </w:rPr>
        <w:t xml:space="preserve"> המהווה את </w:t>
      </w:r>
      <w:r w:rsidRPr="00F16211">
        <w:rPr>
          <w:rFonts w:ascii="Arial" w:hAnsi="Arial" w:cs="David" w:hint="cs"/>
          <w:b/>
          <w:bCs/>
          <w:rtl/>
        </w:rPr>
        <w:t>החוב החיצוני ברוטו של המשק</w:t>
      </w:r>
      <w:r w:rsidRPr="00F16211">
        <w:rPr>
          <w:rFonts w:ascii="Arial" w:hAnsi="Arial" w:cs="David" w:hint="cs"/>
          <w:rtl/>
        </w:rPr>
        <w:t xml:space="preserve"> </w:t>
      </w:r>
      <w:r w:rsidR="00870AB1" w:rsidRPr="00F16211">
        <w:rPr>
          <w:rFonts w:ascii="Arial" w:hAnsi="Arial" w:cs="David" w:hint="cs"/>
          <w:rtl/>
        </w:rPr>
        <w:t>עלתה</w:t>
      </w:r>
      <w:r w:rsidRPr="00F16211">
        <w:rPr>
          <w:rFonts w:ascii="Arial" w:hAnsi="Arial" w:cs="David" w:hint="cs"/>
          <w:rtl/>
        </w:rPr>
        <w:t xml:space="preserve"> במהלך הרביע </w:t>
      </w:r>
      <w:r w:rsidR="00DD2561" w:rsidRPr="00F16211">
        <w:rPr>
          <w:rFonts w:ascii="Arial" w:hAnsi="Arial" w:cs="David" w:hint="cs"/>
          <w:rtl/>
        </w:rPr>
        <w:t>ה</w:t>
      </w:r>
      <w:r w:rsidR="002A0EDF">
        <w:rPr>
          <w:rFonts w:ascii="Arial" w:hAnsi="Arial" w:cs="David" w:hint="cs"/>
          <w:rtl/>
        </w:rPr>
        <w:t>שני</w:t>
      </w:r>
      <w:r w:rsidRPr="00F16211">
        <w:rPr>
          <w:rFonts w:ascii="Arial" w:hAnsi="Arial" w:cs="David" w:hint="cs"/>
          <w:b/>
          <w:bCs/>
          <w:rtl/>
        </w:rPr>
        <w:t xml:space="preserve"> </w:t>
      </w:r>
      <w:r w:rsidRPr="00F16211">
        <w:rPr>
          <w:rFonts w:ascii="Arial" w:hAnsi="Arial" w:cs="David" w:hint="cs"/>
          <w:rtl/>
        </w:rPr>
        <w:t>בכ-</w:t>
      </w:r>
      <w:r w:rsidR="002A0EDF">
        <w:rPr>
          <w:rFonts w:ascii="Arial" w:hAnsi="Arial" w:cs="David" w:hint="cs"/>
          <w:rtl/>
        </w:rPr>
        <w:t>1</w:t>
      </w:r>
      <w:r w:rsidR="00041CF6" w:rsidRPr="00F16211">
        <w:rPr>
          <w:rFonts w:ascii="Arial" w:hAnsi="Arial" w:cs="David" w:hint="cs"/>
          <w:rtl/>
        </w:rPr>
        <w:t>0.6</w:t>
      </w:r>
      <w:r w:rsidRPr="00F16211">
        <w:rPr>
          <w:rFonts w:ascii="Arial" w:hAnsi="Arial" w:cs="David" w:hint="cs"/>
          <w:rtl/>
        </w:rPr>
        <w:t xml:space="preserve"> מיליארדי דולרים</w:t>
      </w:r>
      <w:r w:rsidRPr="00F16211">
        <w:rPr>
          <w:rFonts w:ascii="Arial" w:hAnsi="Arial" w:cs="David" w:hint="cs"/>
          <w:b/>
          <w:bCs/>
          <w:rtl/>
        </w:rPr>
        <w:t xml:space="preserve"> </w:t>
      </w:r>
      <w:r w:rsidRPr="00F16211">
        <w:rPr>
          <w:rFonts w:ascii="Arial" w:hAnsi="Arial" w:cs="David" w:hint="cs"/>
          <w:rtl/>
        </w:rPr>
        <w:t>(</w:t>
      </w:r>
      <w:r w:rsidR="002A0EDF">
        <w:rPr>
          <w:rFonts w:ascii="Arial" w:hAnsi="Arial" w:cs="David" w:hint="cs"/>
          <w:rtl/>
        </w:rPr>
        <w:t>10.1</w:t>
      </w:r>
      <w:r w:rsidRPr="00F16211">
        <w:rPr>
          <w:rFonts w:ascii="Arial" w:hAnsi="Arial" w:cs="David" w:hint="cs"/>
          <w:rtl/>
        </w:rPr>
        <w:t>%)</w:t>
      </w:r>
      <w:r w:rsidR="00870AB1" w:rsidRPr="00F16211">
        <w:rPr>
          <w:rFonts w:ascii="Arial" w:hAnsi="Arial" w:cs="David" w:hint="cs"/>
          <w:rtl/>
        </w:rPr>
        <w:t xml:space="preserve"> </w:t>
      </w:r>
      <w:r w:rsidRPr="00F16211">
        <w:rPr>
          <w:rFonts w:ascii="Arial" w:hAnsi="Arial" w:cs="David" w:hint="cs"/>
          <w:rtl/>
        </w:rPr>
        <w:t xml:space="preserve">לרמה של </w:t>
      </w:r>
      <w:r w:rsidR="002A0EDF">
        <w:rPr>
          <w:rFonts w:ascii="Arial" w:hAnsi="Arial" w:cs="David" w:hint="cs"/>
          <w:rtl/>
        </w:rPr>
        <w:t>115.9</w:t>
      </w:r>
      <w:r w:rsidRPr="00F16211">
        <w:rPr>
          <w:rFonts w:ascii="Arial" w:hAnsi="Arial" w:cs="David" w:hint="cs"/>
          <w:rtl/>
        </w:rPr>
        <w:t xml:space="preserve"> מיליארדים, בעיקר </w:t>
      </w:r>
      <w:r w:rsidR="00BE4078" w:rsidRPr="00F16211">
        <w:rPr>
          <w:rFonts w:ascii="Arial" w:hAnsi="Arial" w:cs="David" w:hint="cs"/>
          <w:rtl/>
        </w:rPr>
        <w:t xml:space="preserve">כתוצאה </w:t>
      </w:r>
      <w:r w:rsidR="00D346F0">
        <w:rPr>
          <w:rFonts w:ascii="Arial" w:hAnsi="Arial" w:cs="David" w:hint="cs"/>
          <w:rtl/>
        </w:rPr>
        <w:t>מ</w:t>
      </w:r>
      <w:r w:rsidR="00983BAB">
        <w:rPr>
          <w:rFonts w:ascii="Arial" w:hAnsi="Arial" w:cs="David" w:hint="cs"/>
          <w:rtl/>
        </w:rPr>
        <w:t xml:space="preserve">זרם </w:t>
      </w:r>
      <w:r w:rsidR="00041CF6" w:rsidRPr="00F16211">
        <w:rPr>
          <w:rFonts w:ascii="Arial" w:hAnsi="Arial" w:cs="David" w:hint="cs"/>
          <w:rtl/>
        </w:rPr>
        <w:t>השקעה באג</w:t>
      </w:r>
      <w:r w:rsidR="006F0654">
        <w:rPr>
          <w:rFonts w:ascii="Arial" w:hAnsi="Arial" w:cs="David" w:hint="cs"/>
          <w:rtl/>
        </w:rPr>
        <w:t>"</w:t>
      </w:r>
      <w:r w:rsidR="00041CF6" w:rsidRPr="00F16211">
        <w:rPr>
          <w:rFonts w:ascii="Arial" w:hAnsi="Arial" w:cs="David" w:hint="cs"/>
          <w:rtl/>
        </w:rPr>
        <w:t>ח ישראלי</w:t>
      </w:r>
      <w:r w:rsidR="00D346F0">
        <w:rPr>
          <w:rFonts w:ascii="Arial" w:hAnsi="Arial" w:cs="David" w:hint="cs"/>
          <w:rtl/>
        </w:rPr>
        <w:t>ות</w:t>
      </w:r>
      <w:r w:rsidR="00870AB1" w:rsidRPr="00F16211">
        <w:rPr>
          <w:rFonts w:ascii="Arial" w:hAnsi="Arial" w:cs="David" w:hint="cs"/>
          <w:rtl/>
        </w:rPr>
        <w:t>.</w:t>
      </w:r>
    </w:p>
    <w:p w:rsidR="00202209" w:rsidRPr="00D22C5A" w:rsidRDefault="00202209" w:rsidP="00202209">
      <w:pPr>
        <w:spacing w:line="360" w:lineRule="auto"/>
        <w:jc w:val="both"/>
        <w:rPr>
          <w:rFonts w:ascii="Arial" w:hAnsi="Arial" w:cs="David"/>
          <w:rtl/>
        </w:rPr>
      </w:pPr>
    </w:p>
    <w:p w:rsidR="00695D66" w:rsidRDefault="00695D66" w:rsidP="00EF7344">
      <w:pPr>
        <w:spacing w:line="360" w:lineRule="auto"/>
        <w:jc w:val="both"/>
        <w:rPr>
          <w:rtl/>
        </w:rPr>
      </w:pPr>
      <w:r w:rsidRPr="00D22C5A">
        <w:rPr>
          <w:rFonts w:ascii="Arial" w:hAnsi="Arial" w:cs="David" w:hint="cs"/>
          <w:b/>
          <w:bCs/>
          <w:rtl/>
        </w:rPr>
        <w:lastRenderedPageBreak/>
        <w:t xml:space="preserve">היחס שבין החוב החיצוני </w:t>
      </w:r>
      <w:r w:rsidR="00BE4078" w:rsidRPr="00D22C5A">
        <w:rPr>
          <w:rFonts w:ascii="Arial" w:hAnsi="Arial" w:cs="David" w:hint="cs"/>
          <w:b/>
          <w:bCs/>
          <w:rtl/>
        </w:rPr>
        <w:t xml:space="preserve">ברוטו </w:t>
      </w:r>
      <w:r w:rsidRPr="00D22C5A">
        <w:rPr>
          <w:rFonts w:ascii="Arial" w:hAnsi="Arial" w:cs="David" w:hint="cs"/>
          <w:b/>
          <w:bCs/>
          <w:rtl/>
        </w:rPr>
        <w:t>לתמ"ג</w:t>
      </w:r>
      <w:r w:rsidRPr="00D22C5A">
        <w:rPr>
          <w:rFonts w:ascii="Arial" w:hAnsi="Arial" w:cs="David" w:hint="cs"/>
          <w:rtl/>
        </w:rPr>
        <w:t xml:space="preserve"> </w:t>
      </w:r>
      <w:r w:rsidR="00F517F4">
        <w:rPr>
          <w:rFonts w:ascii="Arial" w:hAnsi="Arial" w:cs="David" w:hint="cs"/>
          <w:rtl/>
        </w:rPr>
        <w:t>עלה</w:t>
      </w:r>
      <w:r w:rsidR="00806A80" w:rsidRPr="00D22C5A">
        <w:rPr>
          <w:rFonts w:ascii="Arial" w:hAnsi="Arial" w:cs="David" w:hint="cs"/>
          <w:rtl/>
        </w:rPr>
        <w:t xml:space="preserve"> </w:t>
      </w:r>
      <w:r w:rsidRPr="00D22C5A">
        <w:rPr>
          <w:rFonts w:ascii="Arial" w:hAnsi="Arial" w:cs="David" w:hint="cs"/>
          <w:rtl/>
        </w:rPr>
        <w:t xml:space="preserve">במהלך הרביע </w:t>
      </w:r>
      <w:r w:rsidR="00DD2561" w:rsidRPr="00D22C5A">
        <w:rPr>
          <w:rFonts w:ascii="Arial" w:hAnsi="Arial" w:cs="David" w:hint="cs"/>
          <w:rtl/>
        </w:rPr>
        <w:t>ה</w:t>
      </w:r>
      <w:r w:rsidR="00F517F4">
        <w:rPr>
          <w:rFonts w:ascii="Arial" w:hAnsi="Arial" w:cs="David" w:hint="cs"/>
          <w:rtl/>
        </w:rPr>
        <w:t>שני</w:t>
      </w:r>
      <w:r w:rsidRPr="00D22C5A">
        <w:rPr>
          <w:rFonts w:ascii="Arial" w:hAnsi="Arial" w:cs="David" w:hint="cs"/>
          <w:rtl/>
        </w:rPr>
        <w:t xml:space="preserve"> </w:t>
      </w:r>
      <w:r w:rsidR="00F26A11" w:rsidRPr="00D22C5A">
        <w:rPr>
          <w:rFonts w:ascii="Arial" w:hAnsi="Arial" w:cs="David" w:hint="cs"/>
          <w:rtl/>
        </w:rPr>
        <w:t>ב-</w:t>
      </w:r>
      <w:r w:rsidR="00F517F4">
        <w:rPr>
          <w:rFonts w:ascii="Arial" w:hAnsi="Arial" w:cs="David" w:hint="cs"/>
          <w:rtl/>
        </w:rPr>
        <w:t>2.8</w:t>
      </w:r>
      <w:r w:rsidR="00806A80" w:rsidRPr="00D22C5A">
        <w:rPr>
          <w:rFonts w:ascii="Arial" w:hAnsi="Arial" w:cs="David" w:hint="cs"/>
          <w:rtl/>
        </w:rPr>
        <w:t xml:space="preserve"> </w:t>
      </w:r>
      <w:r w:rsidR="00F26A11" w:rsidRPr="00D22C5A">
        <w:rPr>
          <w:rFonts w:ascii="Arial" w:hAnsi="Arial" w:cs="David" w:hint="cs"/>
          <w:rtl/>
        </w:rPr>
        <w:t xml:space="preserve">נקודות האחוז </w:t>
      </w:r>
      <w:r w:rsidRPr="00D22C5A">
        <w:rPr>
          <w:rFonts w:ascii="Arial" w:hAnsi="Arial" w:cs="David" w:hint="cs"/>
          <w:rtl/>
        </w:rPr>
        <w:t xml:space="preserve">ועמד בסוף </w:t>
      </w:r>
      <w:r w:rsidR="00F517F4">
        <w:rPr>
          <w:rFonts w:ascii="Arial" w:hAnsi="Arial" w:cs="David" w:hint="cs"/>
          <w:rtl/>
        </w:rPr>
        <w:t>יוני</w:t>
      </w:r>
      <w:r w:rsidR="00AE5180" w:rsidRPr="00D22C5A">
        <w:rPr>
          <w:rFonts w:ascii="Arial" w:hAnsi="Arial" w:cs="David" w:hint="cs"/>
          <w:rtl/>
        </w:rPr>
        <w:t xml:space="preserve"> על </w:t>
      </w:r>
      <w:r w:rsidR="0010435E">
        <w:rPr>
          <w:rFonts w:ascii="Arial" w:hAnsi="Arial" w:cs="David" w:hint="cs"/>
          <w:rtl/>
        </w:rPr>
        <w:t>2</w:t>
      </w:r>
      <w:r w:rsidR="00F517F4">
        <w:rPr>
          <w:rFonts w:ascii="Arial" w:hAnsi="Arial" w:cs="David" w:hint="cs"/>
          <w:rtl/>
        </w:rPr>
        <w:t>9</w:t>
      </w:r>
      <w:r w:rsidR="0010435E">
        <w:rPr>
          <w:rFonts w:ascii="Arial" w:hAnsi="Arial" w:cs="David" w:hint="cs"/>
          <w:rtl/>
        </w:rPr>
        <w:t>.</w:t>
      </w:r>
      <w:r w:rsidR="00806A80">
        <w:rPr>
          <w:rFonts w:ascii="Arial" w:hAnsi="Arial" w:cs="David" w:hint="cs"/>
          <w:rtl/>
        </w:rPr>
        <w:t>1</w:t>
      </w:r>
      <w:r w:rsidRPr="00D22C5A">
        <w:rPr>
          <w:rFonts w:ascii="Arial" w:hAnsi="Arial" w:cs="David" w:hint="cs"/>
          <w:rtl/>
        </w:rPr>
        <w:t>%</w:t>
      </w:r>
      <w:r w:rsidR="00F92B7D" w:rsidRPr="00D22C5A">
        <w:rPr>
          <w:rFonts w:ascii="Arial" w:hAnsi="Arial" w:cs="David" w:hint="cs"/>
          <w:rtl/>
        </w:rPr>
        <w:t>.</w:t>
      </w:r>
      <w:r w:rsidRPr="00D22C5A">
        <w:rPr>
          <w:rFonts w:ascii="Arial" w:hAnsi="Arial" w:cs="David" w:hint="cs"/>
          <w:rtl/>
        </w:rPr>
        <w:t xml:space="preserve"> </w:t>
      </w:r>
      <w:r w:rsidR="00806A80">
        <w:rPr>
          <w:rFonts w:ascii="Arial" w:hAnsi="Arial" w:cs="David" w:hint="cs"/>
          <w:rtl/>
        </w:rPr>
        <w:t>ה</w:t>
      </w:r>
      <w:r w:rsidR="00F517F4">
        <w:rPr>
          <w:rFonts w:ascii="Arial" w:hAnsi="Arial" w:cs="David" w:hint="cs"/>
          <w:rtl/>
        </w:rPr>
        <w:t>עלייה</w:t>
      </w:r>
      <w:r w:rsidR="00806A80" w:rsidRPr="00D3041A">
        <w:rPr>
          <w:rFonts w:ascii="Arial" w:hAnsi="Arial" w:cs="David"/>
          <w:rtl/>
        </w:rPr>
        <w:t xml:space="preserve"> </w:t>
      </w:r>
      <w:r w:rsidR="00D3041A" w:rsidRPr="00D3041A">
        <w:rPr>
          <w:rFonts w:ascii="Arial" w:hAnsi="Arial" w:cs="David"/>
          <w:rtl/>
        </w:rPr>
        <w:t xml:space="preserve">ביחס החוב לתוצר </w:t>
      </w:r>
      <w:r w:rsidR="00F517F4">
        <w:rPr>
          <w:rFonts w:ascii="Arial" w:hAnsi="Arial" w:cs="David" w:hint="cs"/>
          <w:rtl/>
        </w:rPr>
        <w:t xml:space="preserve">ברביע השני </w:t>
      </w:r>
      <w:r w:rsidR="00EF7344">
        <w:rPr>
          <w:rFonts w:ascii="Arial" w:hAnsi="Arial" w:cs="David"/>
          <w:rtl/>
        </w:rPr>
        <w:t>שיקפה</w:t>
      </w:r>
      <w:r w:rsidR="00F517F4">
        <w:rPr>
          <w:rFonts w:ascii="Arial" w:hAnsi="Arial" w:cs="David" w:hint="cs"/>
          <w:rtl/>
        </w:rPr>
        <w:t xml:space="preserve"> גידול</w:t>
      </w:r>
      <w:r w:rsidR="00331865">
        <w:rPr>
          <w:rFonts w:ascii="Arial" w:hAnsi="Arial" w:cs="David" w:hint="cs"/>
          <w:rtl/>
        </w:rPr>
        <w:t xml:space="preserve"> של </w:t>
      </w:r>
      <w:r w:rsidR="00EF7344">
        <w:rPr>
          <w:rFonts w:ascii="Arial" w:hAnsi="Arial" w:cs="David" w:hint="cs"/>
          <w:rtl/>
        </w:rPr>
        <w:t>10.1% ב</w:t>
      </w:r>
      <w:r w:rsidR="00F517F4">
        <w:rPr>
          <w:rFonts w:ascii="Arial" w:hAnsi="Arial" w:cs="David" w:hint="cs"/>
          <w:rtl/>
        </w:rPr>
        <w:t xml:space="preserve">יתרת </w:t>
      </w:r>
      <w:r w:rsidR="00EF7344">
        <w:rPr>
          <w:rFonts w:ascii="Arial" w:hAnsi="Arial" w:cs="David" w:hint="cs"/>
          <w:rtl/>
        </w:rPr>
        <w:t xml:space="preserve">החוב החיצוני לעומת </w:t>
      </w:r>
      <w:r w:rsidR="00F517F4">
        <w:rPr>
          <w:rFonts w:ascii="Arial" w:hAnsi="Arial" w:cs="David" w:hint="cs"/>
          <w:rtl/>
        </w:rPr>
        <w:t xml:space="preserve">התכווצות </w:t>
      </w:r>
      <w:r w:rsidR="00EF7344">
        <w:rPr>
          <w:rFonts w:ascii="Arial" w:hAnsi="Arial" w:cs="David" w:hint="cs"/>
          <w:rtl/>
        </w:rPr>
        <w:t xml:space="preserve">של 0.7% </w:t>
      </w:r>
      <w:r w:rsidR="00806A80">
        <w:rPr>
          <w:rFonts w:ascii="Arial" w:hAnsi="Arial" w:cs="David"/>
          <w:rtl/>
        </w:rPr>
        <w:t>בתוצר</w:t>
      </w:r>
      <w:r w:rsidR="00EF7344">
        <w:rPr>
          <w:rFonts w:ascii="Arial" w:hAnsi="Arial" w:cs="David" w:hint="cs"/>
          <w:rtl/>
        </w:rPr>
        <w:t xml:space="preserve"> בארבעת הרביעים האחרונים</w:t>
      </w:r>
      <w:r w:rsidR="00331865">
        <w:rPr>
          <w:rFonts w:ascii="Arial" w:hAnsi="Arial" w:cs="David" w:hint="cs"/>
          <w:rtl/>
        </w:rPr>
        <w:t xml:space="preserve"> </w:t>
      </w:r>
      <w:r w:rsidR="00806A80">
        <w:rPr>
          <w:rFonts w:ascii="Arial" w:hAnsi="Arial" w:cs="David" w:hint="cs"/>
          <w:rtl/>
        </w:rPr>
        <w:t>(במונחים דולריים)</w:t>
      </w:r>
      <w:r w:rsidR="000B1132" w:rsidRPr="00D22C5A">
        <w:rPr>
          <w:rFonts w:ascii="Arial" w:hAnsi="Arial" w:cs="David" w:hint="cs"/>
          <w:rtl/>
        </w:rPr>
        <w:t>.</w:t>
      </w:r>
      <w:r w:rsidRPr="00D22C5A">
        <w:rPr>
          <w:rFonts w:ascii="Arial" w:hAnsi="Arial" w:cs="David" w:hint="cs"/>
          <w:rtl/>
        </w:rPr>
        <w:t xml:space="preserve"> (תרשים </w:t>
      </w:r>
      <w:r w:rsidR="00F16B2F" w:rsidRPr="00D22C5A">
        <w:rPr>
          <w:rFonts w:ascii="Arial" w:hAnsi="Arial" w:cs="David" w:hint="cs"/>
          <w:rtl/>
        </w:rPr>
        <w:t>4</w:t>
      </w:r>
      <w:r w:rsidR="00F65B61">
        <w:rPr>
          <w:rFonts w:ascii="Arial" w:hAnsi="Arial" w:cs="David" w:hint="cs"/>
          <w:rtl/>
        </w:rPr>
        <w:t>)</w:t>
      </w:r>
      <w:r w:rsidRPr="00D22C5A">
        <w:rPr>
          <w:rFonts w:ascii="Arial" w:hAnsi="Arial" w:cs="David" w:hint="cs"/>
          <w:rtl/>
        </w:rPr>
        <w:t xml:space="preserve">  </w:t>
      </w:r>
    </w:p>
    <w:p w:rsidR="0052669F" w:rsidRDefault="0052669F" w:rsidP="00806A80">
      <w:pPr>
        <w:spacing w:line="360" w:lineRule="auto"/>
        <w:jc w:val="both"/>
        <w:rPr>
          <w:rtl/>
        </w:rPr>
      </w:pPr>
    </w:p>
    <w:p w:rsidR="008436CB" w:rsidRPr="00D22C5A" w:rsidRDefault="002A0EDF" w:rsidP="006646CA">
      <w:pPr>
        <w:spacing w:line="360" w:lineRule="auto"/>
        <w:jc w:val="center"/>
        <w:rPr>
          <w:rtl/>
        </w:rPr>
      </w:pPr>
      <w:r>
        <w:rPr>
          <w:noProof/>
          <w:lang w:eastAsia="en-US"/>
        </w:rPr>
        <w:drawing>
          <wp:inline distT="0" distB="0" distL="0" distR="0" wp14:anchorId="7107065D">
            <wp:extent cx="3760967" cy="2292305"/>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7719" cy="2302516"/>
                    </a:xfrm>
                    <a:prstGeom prst="rect">
                      <a:avLst/>
                    </a:prstGeom>
                    <a:noFill/>
                  </pic:spPr>
                </pic:pic>
              </a:graphicData>
            </a:graphic>
          </wp:inline>
        </w:drawing>
      </w:r>
    </w:p>
    <w:p w:rsidR="00B70056" w:rsidRDefault="00B70056" w:rsidP="00B70056">
      <w:pPr>
        <w:pStyle w:val="1"/>
        <w:numPr>
          <w:ilvl w:val="0"/>
          <w:numId w:val="0"/>
        </w:numPr>
        <w:ind w:left="643"/>
      </w:pPr>
    </w:p>
    <w:p w:rsidR="000F55DA" w:rsidRDefault="006F7093" w:rsidP="00B70056">
      <w:pPr>
        <w:pStyle w:val="1"/>
      </w:pPr>
      <w:r w:rsidRPr="00D22C5A">
        <w:rPr>
          <w:rFonts w:hint="cs"/>
          <w:rtl/>
        </w:rPr>
        <w:t xml:space="preserve">עודף </w:t>
      </w:r>
      <w:r w:rsidRPr="0083098B">
        <w:rPr>
          <w:rFonts w:hint="cs"/>
          <w:rtl/>
        </w:rPr>
        <w:t>הנכסים על ההתחייבויות</w:t>
      </w:r>
      <w:r w:rsidR="00CC3A41" w:rsidRPr="0083098B">
        <w:rPr>
          <w:rFonts w:hint="cs"/>
          <w:rtl/>
        </w:rPr>
        <w:t xml:space="preserve"> של המשק מול חו"ל</w:t>
      </w:r>
    </w:p>
    <w:p w:rsidR="00B70056" w:rsidRPr="00D22C5A" w:rsidRDefault="00B70056" w:rsidP="00B70056">
      <w:pPr>
        <w:pStyle w:val="1"/>
        <w:numPr>
          <w:ilvl w:val="0"/>
          <w:numId w:val="0"/>
        </w:numPr>
        <w:ind w:left="643"/>
      </w:pPr>
    </w:p>
    <w:p w:rsidR="00A16F73" w:rsidRDefault="00791CDA" w:rsidP="00C13007">
      <w:pPr>
        <w:spacing w:line="360" w:lineRule="auto"/>
        <w:ind w:right="426"/>
        <w:jc w:val="both"/>
        <w:rPr>
          <w:rFonts w:ascii="Arial" w:hAnsi="Arial" w:cs="David"/>
          <w:rtl/>
        </w:rPr>
      </w:pPr>
      <w:r>
        <w:rPr>
          <w:rFonts w:ascii="Arial" w:hAnsi="Arial" w:cs="David" w:hint="cs"/>
          <w:rtl/>
        </w:rPr>
        <w:t>ה</w:t>
      </w:r>
      <w:r w:rsidR="00C13007">
        <w:rPr>
          <w:rFonts w:ascii="Arial" w:hAnsi="Arial" w:cs="David" w:hint="cs"/>
          <w:rtl/>
        </w:rPr>
        <w:t>עלייה</w:t>
      </w:r>
      <w:r w:rsidRPr="00832460">
        <w:rPr>
          <w:rFonts w:ascii="Arial" w:hAnsi="Arial" w:cs="David" w:hint="cs"/>
          <w:rtl/>
        </w:rPr>
        <w:t xml:space="preserve"> ביתרת </w:t>
      </w:r>
      <w:r w:rsidR="0013029B">
        <w:rPr>
          <w:rFonts w:ascii="Arial" w:hAnsi="Arial" w:cs="David" w:hint="cs"/>
          <w:rtl/>
        </w:rPr>
        <w:t>הנכסים</w:t>
      </w:r>
      <w:r w:rsidR="0013029B" w:rsidRPr="00832460">
        <w:rPr>
          <w:rFonts w:ascii="Arial" w:hAnsi="Arial" w:cs="David" w:hint="cs"/>
          <w:rtl/>
        </w:rPr>
        <w:t xml:space="preserve"> </w:t>
      </w:r>
      <w:r>
        <w:rPr>
          <w:rFonts w:ascii="Arial" w:hAnsi="Arial" w:cs="David" w:hint="cs"/>
          <w:rtl/>
        </w:rPr>
        <w:t>בהיקף</w:t>
      </w:r>
      <w:r w:rsidRPr="00832460">
        <w:rPr>
          <w:rFonts w:ascii="Arial" w:hAnsi="Arial" w:cs="David" w:hint="cs"/>
          <w:rtl/>
        </w:rPr>
        <w:t xml:space="preserve"> </w:t>
      </w:r>
      <w:r>
        <w:rPr>
          <w:rFonts w:ascii="Arial" w:hAnsi="Arial" w:cs="David" w:hint="cs"/>
          <w:rtl/>
        </w:rPr>
        <w:t>גדול</w:t>
      </w:r>
      <w:r w:rsidRPr="00832460">
        <w:rPr>
          <w:rFonts w:ascii="Arial" w:hAnsi="Arial" w:cs="David" w:hint="cs"/>
          <w:rtl/>
        </w:rPr>
        <w:t xml:space="preserve"> </w:t>
      </w:r>
      <w:r>
        <w:rPr>
          <w:rFonts w:ascii="Arial" w:hAnsi="Arial" w:cs="David" w:hint="cs"/>
          <w:rtl/>
        </w:rPr>
        <w:t>יותר מ</w:t>
      </w:r>
      <w:r w:rsidR="00C13007">
        <w:rPr>
          <w:rFonts w:ascii="Arial" w:hAnsi="Arial" w:cs="David" w:hint="cs"/>
          <w:rtl/>
        </w:rPr>
        <w:t>עלייה</w:t>
      </w:r>
      <w:r>
        <w:rPr>
          <w:rFonts w:ascii="Arial" w:hAnsi="Arial" w:cs="David" w:hint="cs"/>
          <w:rtl/>
        </w:rPr>
        <w:t xml:space="preserve"> </w:t>
      </w:r>
      <w:r w:rsidRPr="00832460">
        <w:rPr>
          <w:rFonts w:ascii="Arial" w:hAnsi="Arial" w:cs="David" w:hint="cs"/>
          <w:rtl/>
        </w:rPr>
        <w:t xml:space="preserve">ביתרת </w:t>
      </w:r>
      <w:r w:rsidR="0013029B">
        <w:rPr>
          <w:rFonts w:ascii="Arial" w:hAnsi="Arial" w:cs="David" w:hint="cs"/>
          <w:rtl/>
        </w:rPr>
        <w:t xml:space="preserve">ההתחייבויות </w:t>
      </w:r>
      <w:r>
        <w:rPr>
          <w:rFonts w:ascii="Arial" w:hAnsi="Arial" w:cs="David" w:hint="cs"/>
          <w:rtl/>
        </w:rPr>
        <w:t>הביאה ל</w:t>
      </w:r>
      <w:r w:rsidR="00C13007">
        <w:rPr>
          <w:rFonts w:ascii="Arial" w:hAnsi="Arial" w:cs="David" w:hint="cs"/>
          <w:rtl/>
        </w:rPr>
        <w:t>עלייה</w:t>
      </w:r>
      <w:r>
        <w:rPr>
          <w:rFonts w:ascii="Arial" w:hAnsi="Arial" w:cs="David" w:hint="cs"/>
          <w:rtl/>
        </w:rPr>
        <w:t xml:space="preserve"> של </w:t>
      </w:r>
      <w:r w:rsidR="00C13007">
        <w:rPr>
          <w:rFonts w:ascii="Arial" w:hAnsi="Arial" w:cs="David" w:hint="cs"/>
          <w:rtl/>
        </w:rPr>
        <w:t>14.5</w:t>
      </w:r>
      <w:r w:rsidRPr="00D22C5A">
        <w:rPr>
          <w:rFonts w:ascii="Arial" w:hAnsi="Arial" w:cs="David" w:hint="cs"/>
          <w:rtl/>
        </w:rPr>
        <w:t xml:space="preserve"> מיליארדי דולרים (</w:t>
      </w:r>
      <w:r w:rsidR="00C13007">
        <w:rPr>
          <w:rFonts w:ascii="Arial" w:hAnsi="Arial" w:cs="David" w:hint="cs"/>
          <w:rtl/>
        </w:rPr>
        <w:t>9.6</w:t>
      </w:r>
      <w:r w:rsidRPr="00D22C5A">
        <w:rPr>
          <w:rFonts w:ascii="Arial" w:hAnsi="Arial" w:cs="David" w:hint="cs"/>
          <w:rtl/>
        </w:rPr>
        <w:t xml:space="preserve">%) </w:t>
      </w:r>
      <w:r>
        <w:rPr>
          <w:rFonts w:ascii="Arial" w:hAnsi="Arial" w:cs="David" w:hint="cs"/>
          <w:rtl/>
        </w:rPr>
        <w:t>ב</w:t>
      </w:r>
      <w:r w:rsidR="000F55DA" w:rsidRPr="00D22C5A">
        <w:rPr>
          <w:rFonts w:ascii="Arial" w:hAnsi="Arial" w:cs="David" w:hint="cs"/>
          <w:rtl/>
        </w:rPr>
        <w:t>עודף הנכסים על ההתחייבויות של המשק מול חו"ל</w:t>
      </w:r>
      <w:r w:rsidR="00094308">
        <w:rPr>
          <w:rFonts w:ascii="Arial" w:hAnsi="Arial" w:cs="David" w:hint="cs"/>
          <w:rtl/>
        </w:rPr>
        <w:t>, ש</w:t>
      </w:r>
      <w:r w:rsidR="00094308" w:rsidRPr="00D22C5A">
        <w:rPr>
          <w:rFonts w:ascii="Arial" w:hAnsi="Arial" w:cs="David" w:hint="cs"/>
          <w:rtl/>
        </w:rPr>
        <w:t xml:space="preserve">עמד </w:t>
      </w:r>
      <w:r w:rsidR="00B46419" w:rsidRPr="00D22C5A">
        <w:rPr>
          <w:rFonts w:ascii="Arial" w:hAnsi="Arial" w:cs="David" w:hint="cs"/>
          <w:rtl/>
        </w:rPr>
        <w:t>ב</w:t>
      </w:r>
      <w:r w:rsidR="000E2DCA" w:rsidRPr="00D22C5A">
        <w:rPr>
          <w:rFonts w:ascii="Arial" w:hAnsi="Arial" w:cs="David" w:hint="cs"/>
          <w:rtl/>
        </w:rPr>
        <w:t xml:space="preserve">סוף </w:t>
      </w:r>
      <w:r w:rsidR="00C13007">
        <w:rPr>
          <w:rFonts w:ascii="Arial" w:hAnsi="Arial" w:cs="David" w:hint="cs"/>
          <w:rtl/>
        </w:rPr>
        <w:t>יוני</w:t>
      </w:r>
      <w:r w:rsidR="004C7474" w:rsidRPr="00D22C5A">
        <w:rPr>
          <w:rFonts w:ascii="Arial" w:hAnsi="Arial" w:cs="David" w:hint="cs"/>
          <w:rtl/>
        </w:rPr>
        <w:t xml:space="preserve"> </w:t>
      </w:r>
      <w:r w:rsidR="007057B4" w:rsidRPr="00D22C5A">
        <w:rPr>
          <w:rFonts w:ascii="Arial" w:hAnsi="Arial" w:cs="David" w:hint="cs"/>
          <w:rtl/>
        </w:rPr>
        <w:t>על</w:t>
      </w:r>
      <w:r w:rsidR="00D258EC" w:rsidRPr="00D22C5A">
        <w:rPr>
          <w:rFonts w:ascii="Arial" w:hAnsi="Arial" w:cs="David" w:hint="cs"/>
          <w:rtl/>
        </w:rPr>
        <w:t xml:space="preserve"> </w:t>
      </w:r>
      <w:r w:rsidR="00C13007">
        <w:rPr>
          <w:rFonts w:ascii="Arial" w:hAnsi="Arial" w:cs="David" w:hint="cs"/>
          <w:rtl/>
        </w:rPr>
        <w:t>165</w:t>
      </w:r>
      <w:r w:rsidR="000F3BD1">
        <w:rPr>
          <w:rFonts w:ascii="Arial" w:hAnsi="Arial" w:cs="David" w:hint="cs"/>
          <w:rtl/>
        </w:rPr>
        <w:t xml:space="preserve"> </w:t>
      </w:r>
      <w:r w:rsidR="007057B4" w:rsidRPr="00D22C5A">
        <w:rPr>
          <w:rFonts w:ascii="Arial" w:hAnsi="Arial" w:cs="David" w:hint="cs"/>
          <w:rtl/>
        </w:rPr>
        <w:t>מיליארדי</w:t>
      </w:r>
      <w:r w:rsidR="008708DF" w:rsidRPr="00D22C5A">
        <w:rPr>
          <w:rFonts w:ascii="Arial" w:hAnsi="Arial" w:cs="David" w:hint="cs"/>
          <w:rtl/>
        </w:rPr>
        <w:t>ם</w:t>
      </w:r>
      <w:r w:rsidR="00036848" w:rsidRPr="00D22C5A">
        <w:rPr>
          <w:rFonts w:ascii="Arial" w:hAnsi="Arial" w:cs="David" w:hint="cs"/>
          <w:rtl/>
        </w:rPr>
        <w:t xml:space="preserve"> (תרשים 5)</w:t>
      </w:r>
      <w:r w:rsidR="007057B4" w:rsidRPr="00D22C5A">
        <w:rPr>
          <w:rFonts w:ascii="Arial" w:hAnsi="Arial" w:cs="David" w:hint="cs"/>
          <w:rtl/>
        </w:rPr>
        <w:t xml:space="preserve">. </w:t>
      </w:r>
    </w:p>
    <w:p w:rsidR="00A23889" w:rsidRPr="00832460" w:rsidRDefault="00A23889" w:rsidP="00791CDA">
      <w:pPr>
        <w:spacing w:line="360" w:lineRule="auto"/>
        <w:ind w:right="426"/>
        <w:jc w:val="both"/>
        <w:rPr>
          <w:rFonts w:ascii="Arial" w:hAnsi="Arial" w:cs="David"/>
          <w:rtl/>
        </w:rPr>
      </w:pPr>
    </w:p>
    <w:p w:rsidR="008964DB" w:rsidRPr="00A53CC2" w:rsidRDefault="008964DB" w:rsidP="008964DB">
      <w:pPr>
        <w:spacing w:line="360" w:lineRule="auto"/>
        <w:ind w:right="426"/>
        <w:jc w:val="both"/>
        <w:rPr>
          <w:rFonts w:ascii="Arial" w:hAnsi="Arial" w:cs="David"/>
          <w:highlight w:val="yellow"/>
          <w:rtl/>
        </w:rPr>
      </w:pPr>
    </w:p>
    <w:p w:rsidR="008964DB" w:rsidRDefault="0083098B" w:rsidP="0034171E">
      <w:pPr>
        <w:spacing w:line="360" w:lineRule="auto"/>
        <w:ind w:right="426"/>
        <w:jc w:val="center"/>
        <w:rPr>
          <w:rFonts w:ascii="Arial" w:hAnsi="Arial" w:cs="David"/>
          <w:highlight w:val="yellow"/>
          <w:rtl/>
        </w:rPr>
      </w:pPr>
      <w:r w:rsidRPr="0083098B">
        <w:rPr>
          <w:rFonts w:ascii="Arial" w:hAnsi="Arial" w:cs="David"/>
          <w:noProof/>
          <w:lang w:eastAsia="en-US"/>
        </w:rPr>
        <w:drawing>
          <wp:inline distT="0" distB="0" distL="0" distR="0" wp14:anchorId="04085B5A">
            <wp:extent cx="4874149" cy="2974684"/>
            <wp:effectExtent l="0" t="0" r="3175"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4149" cy="2974684"/>
                    </a:xfrm>
                    <a:prstGeom prst="rect">
                      <a:avLst/>
                    </a:prstGeom>
                    <a:noFill/>
                  </pic:spPr>
                </pic:pic>
              </a:graphicData>
            </a:graphic>
          </wp:inline>
        </w:drawing>
      </w:r>
    </w:p>
    <w:p w:rsidR="001C20BD" w:rsidRDefault="001C20BD" w:rsidP="008964DB">
      <w:pPr>
        <w:pStyle w:val="1"/>
      </w:pPr>
      <w:r w:rsidRPr="00D45CA2">
        <w:rPr>
          <w:rFonts w:hint="cs"/>
          <w:rtl/>
        </w:rPr>
        <w:lastRenderedPageBreak/>
        <w:t xml:space="preserve">עודף הנכסים על ההתחייבויות של המשק מול חו"ל במכשירי חוב בלבד </w:t>
      </w:r>
    </w:p>
    <w:p w:rsidR="007E0804" w:rsidRPr="00D45CA2" w:rsidRDefault="007E0804" w:rsidP="007E0804">
      <w:pPr>
        <w:pStyle w:val="1"/>
        <w:numPr>
          <w:ilvl w:val="0"/>
          <w:numId w:val="0"/>
        </w:numPr>
        <w:ind w:left="643"/>
      </w:pPr>
    </w:p>
    <w:p w:rsidR="001F545C" w:rsidRPr="00D45CA2" w:rsidRDefault="001C20BD" w:rsidP="00D375AA">
      <w:pPr>
        <w:spacing w:line="360" w:lineRule="auto"/>
        <w:jc w:val="both"/>
        <w:rPr>
          <w:rFonts w:ascii="Arial" w:hAnsi="Arial" w:cs="David"/>
          <w:rtl/>
        </w:rPr>
      </w:pPr>
      <w:r w:rsidRPr="00D45CA2">
        <w:rPr>
          <w:rFonts w:ascii="Arial" w:hAnsi="Arial" w:cs="David" w:hint="cs"/>
          <w:rtl/>
        </w:rPr>
        <w:t>עודף הנכסים על ההתחייבויות במכשירי חוב בלבד (ה</w:t>
      </w:r>
      <w:r w:rsidR="00785F18" w:rsidRPr="00D45CA2">
        <w:rPr>
          <w:rFonts w:ascii="Arial" w:hAnsi="Arial" w:cs="David" w:hint="cs"/>
          <w:rtl/>
        </w:rPr>
        <w:t xml:space="preserve">חוב חיצוני </w:t>
      </w:r>
      <w:r w:rsidRPr="00D45CA2">
        <w:rPr>
          <w:rFonts w:ascii="Arial" w:hAnsi="Arial" w:cs="David" w:hint="cs"/>
          <w:rtl/>
        </w:rPr>
        <w:t>ה</w:t>
      </w:r>
      <w:r w:rsidR="00785F18" w:rsidRPr="00D45CA2">
        <w:rPr>
          <w:rFonts w:ascii="Arial" w:hAnsi="Arial" w:cs="David" w:hint="cs"/>
          <w:rtl/>
        </w:rPr>
        <w:t>שלילי</w:t>
      </w:r>
      <w:r w:rsidRPr="00D45CA2">
        <w:rPr>
          <w:rFonts w:ascii="Arial" w:hAnsi="Arial" w:cs="David" w:hint="cs"/>
          <w:rtl/>
        </w:rPr>
        <w:t xml:space="preserve"> נטו)</w:t>
      </w:r>
      <w:r w:rsidR="001F545C" w:rsidRPr="00D45CA2">
        <w:rPr>
          <w:rFonts w:ascii="Arial" w:hAnsi="Arial" w:cs="David" w:hint="cs"/>
          <w:rtl/>
        </w:rPr>
        <w:t xml:space="preserve">, </w:t>
      </w:r>
      <w:r w:rsidR="00651959">
        <w:rPr>
          <w:rFonts w:ascii="Arial" w:hAnsi="Arial" w:cs="David" w:hint="cs"/>
          <w:rtl/>
        </w:rPr>
        <w:t>עלה</w:t>
      </w:r>
      <w:r w:rsidR="0087100C" w:rsidRPr="00D45CA2">
        <w:rPr>
          <w:rFonts w:ascii="Arial" w:hAnsi="Arial" w:cs="David" w:hint="cs"/>
          <w:rtl/>
        </w:rPr>
        <w:t xml:space="preserve"> </w:t>
      </w:r>
      <w:r w:rsidR="00AA4817" w:rsidRPr="00D45CA2">
        <w:rPr>
          <w:rFonts w:ascii="Arial" w:hAnsi="Arial" w:cs="David" w:hint="cs"/>
          <w:rtl/>
        </w:rPr>
        <w:t>במהלך</w:t>
      </w:r>
      <w:r w:rsidR="00785F18" w:rsidRPr="00D45CA2">
        <w:rPr>
          <w:rFonts w:ascii="Arial" w:hAnsi="Arial" w:cs="David" w:hint="cs"/>
          <w:rtl/>
        </w:rPr>
        <w:t xml:space="preserve"> </w:t>
      </w:r>
      <w:r w:rsidR="00AA4817" w:rsidRPr="00D45CA2">
        <w:rPr>
          <w:rFonts w:ascii="Arial" w:hAnsi="Arial" w:cs="David" w:hint="cs"/>
          <w:rtl/>
        </w:rPr>
        <w:t>ה</w:t>
      </w:r>
      <w:r w:rsidR="00EA0CA3" w:rsidRPr="00D45CA2">
        <w:rPr>
          <w:rFonts w:ascii="Arial" w:hAnsi="Arial" w:cs="David" w:hint="cs"/>
          <w:rtl/>
        </w:rPr>
        <w:t xml:space="preserve">רביע </w:t>
      </w:r>
      <w:r w:rsidR="00AD1765" w:rsidRPr="00D45CA2">
        <w:rPr>
          <w:rFonts w:ascii="Arial" w:hAnsi="Arial" w:cs="David" w:hint="cs"/>
          <w:rtl/>
        </w:rPr>
        <w:t>ה</w:t>
      </w:r>
      <w:r w:rsidR="00651959">
        <w:rPr>
          <w:rFonts w:ascii="Arial" w:hAnsi="Arial" w:cs="David" w:hint="cs"/>
          <w:rtl/>
        </w:rPr>
        <w:t xml:space="preserve">שני </w:t>
      </w:r>
      <w:r w:rsidR="003F2CC2" w:rsidRPr="00D45CA2">
        <w:rPr>
          <w:rFonts w:ascii="Arial" w:hAnsi="Arial" w:cs="David" w:hint="cs"/>
          <w:rtl/>
        </w:rPr>
        <w:t>ב-</w:t>
      </w:r>
      <w:r w:rsidR="00651959">
        <w:rPr>
          <w:rFonts w:ascii="Arial" w:hAnsi="Arial" w:cs="David" w:hint="cs"/>
          <w:rtl/>
        </w:rPr>
        <w:t>1</w:t>
      </w:r>
      <w:r w:rsidR="00BD1C5F">
        <w:rPr>
          <w:rFonts w:ascii="Arial" w:hAnsi="Arial" w:cs="David" w:hint="cs"/>
          <w:rtl/>
        </w:rPr>
        <w:t>2</w:t>
      </w:r>
      <w:r w:rsidR="00B14645">
        <w:rPr>
          <w:rFonts w:ascii="Arial" w:hAnsi="Arial" w:cs="David" w:hint="cs"/>
          <w:rtl/>
        </w:rPr>
        <w:t xml:space="preserve"> </w:t>
      </w:r>
      <w:r w:rsidR="003F2CC2" w:rsidRPr="00D45CA2">
        <w:rPr>
          <w:rFonts w:ascii="Arial" w:hAnsi="Arial" w:cs="David" w:hint="cs"/>
          <w:rtl/>
        </w:rPr>
        <w:t>מיליארד</w:t>
      </w:r>
      <w:r w:rsidR="00A16522" w:rsidRPr="00D45CA2">
        <w:rPr>
          <w:rFonts w:ascii="Arial" w:hAnsi="Arial" w:cs="David" w:hint="cs"/>
          <w:rtl/>
        </w:rPr>
        <w:t>י</w:t>
      </w:r>
      <w:r w:rsidR="003F2CC2" w:rsidRPr="00D45CA2">
        <w:rPr>
          <w:rFonts w:ascii="Arial" w:hAnsi="Arial" w:cs="David" w:hint="cs"/>
          <w:rtl/>
        </w:rPr>
        <w:t xml:space="preserve"> דולר</w:t>
      </w:r>
      <w:r w:rsidR="00A16522" w:rsidRPr="00D45CA2">
        <w:rPr>
          <w:rFonts w:ascii="Arial" w:hAnsi="Arial" w:cs="David" w:hint="cs"/>
          <w:rtl/>
        </w:rPr>
        <w:t>ים (</w:t>
      </w:r>
      <w:r w:rsidR="00651959">
        <w:rPr>
          <w:rFonts w:ascii="Arial" w:hAnsi="Arial" w:cs="David" w:hint="cs"/>
          <w:rtl/>
        </w:rPr>
        <w:t>7.1</w:t>
      </w:r>
      <w:r w:rsidR="00CC2507">
        <w:rPr>
          <w:rFonts w:ascii="Arial" w:hAnsi="Arial" w:cs="David" w:hint="cs"/>
          <w:rtl/>
        </w:rPr>
        <w:t>%</w:t>
      </w:r>
      <w:r w:rsidR="00A16522" w:rsidRPr="00D45CA2">
        <w:rPr>
          <w:rFonts w:ascii="Arial" w:hAnsi="Arial" w:cs="David" w:hint="cs"/>
          <w:rtl/>
        </w:rPr>
        <w:t>)</w:t>
      </w:r>
      <w:r w:rsidR="003F2CC2" w:rsidRPr="00D45CA2">
        <w:rPr>
          <w:rFonts w:ascii="Arial" w:hAnsi="Arial" w:cs="David" w:hint="cs"/>
          <w:rtl/>
        </w:rPr>
        <w:t xml:space="preserve"> </w:t>
      </w:r>
      <w:r w:rsidR="0087100C" w:rsidRPr="00D45CA2">
        <w:rPr>
          <w:rFonts w:ascii="Arial" w:hAnsi="Arial" w:cs="David" w:hint="cs"/>
          <w:rtl/>
        </w:rPr>
        <w:t>ו</w:t>
      </w:r>
      <w:r w:rsidR="00A16522" w:rsidRPr="00D45CA2">
        <w:rPr>
          <w:rFonts w:ascii="Arial" w:hAnsi="Arial" w:cs="David" w:hint="cs"/>
          <w:rtl/>
        </w:rPr>
        <w:t xml:space="preserve">הגיע </w:t>
      </w:r>
      <w:r w:rsidR="00922388" w:rsidRPr="00D45CA2">
        <w:rPr>
          <w:rFonts w:ascii="Arial" w:hAnsi="Arial" w:cs="David" w:hint="cs"/>
          <w:rtl/>
        </w:rPr>
        <w:t xml:space="preserve">בסוף </w:t>
      </w:r>
      <w:r w:rsidR="00651959">
        <w:rPr>
          <w:rFonts w:ascii="Arial" w:hAnsi="Arial" w:cs="David" w:hint="cs"/>
          <w:rtl/>
        </w:rPr>
        <w:t>יוני</w:t>
      </w:r>
      <w:r w:rsidR="00922388" w:rsidRPr="00D45CA2">
        <w:rPr>
          <w:rFonts w:ascii="Arial" w:hAnsi="Arial" w:cs="David" w:hint="cs"/>
          <w:rtl/>
        </w:rPr>
        <w:t xml:space="preserve"> </w:t>
      </w:r>
      <w:r w:rsidR="003F2CC2" w:rsidRPr="00D45CA2">
        <w:rPr>
          <w:rFonts w:ascii="Arial" w:hAnsi="Arial" w:cs="David" w:hint="cs"/>
          <w:rtl/>
        </w:rPr>
        <w:t>ל</w:t>
      </w:r>
      <w:r w:rsidR="0087100C" w:rsidRPr="00D45CA2">
        <w:rPr>
          <w:rFonts w:ascii="Arial" w:hAnsi="Arial" w:cs="David" w:hint="cs"/>
          <w:rtl/>
        </w:rPr>
        <w:t>רמה של</w:t>
      </w:r>
      <w:r w:rsidR="00EA0CA3" w:rsidRPr="00D45CA2">
        <w:rPr>
          <w:rFonts w:ascii="Arial" w:hAnsi="Arial" w:cs="David" w:hint="cs"/>
          <w:rtl/>
        </w:rPr>
        <w:t xml:space="preserve"> </w:t>
      </w:r>
      <w:r w:rsidR="00651959">
        <w:rPr>
          <w:rFonts w:ascii="Arial" w:hAnsi="Arial" w:cs="David" w:hint="cs"/>
          <w:rtl/>
        </w:rPr>
        <w:t>180</w:t>
      </w:r>
      <w:r w:rsidR="00845723">
        <w:rPr>
          <w:rFonts w:ascii="Arial" w:hAnsi="Arial" w:cs="David" w:hint="cs"/>
          <w:rtl/>
        </w:rPr>
        <w:t>.</w:t>
      </w:r>
      <w:r w:rsidR="00BD1C5F">
        <w:rPr>
          <w:rFonts w:ascii="Arial" w:hAnsi="Arial" w:cs="David" w:hint="cs"/>
          <w:rtl/>
        </w:rPr>
        <w:t>2</w:t>
      </w:r>
      <w:r w:rsidR="00F9624C" w:rsidRPr="00D45CA2">
        <w:rPr>
          <w:rFonts w:ascii="Arial" w:hAnsi="Arial" w:cs="David" w:hint="cs"/>
          <w:rtl/>
        </w:rPr>
        <w:t xml:space="preserve"> </w:t>
      </w:r>
      <w:r w:rsidR="00EA0CA3" w:rsidRPr="00D45CA2">
        <w:rPr>
          <w:rFonts w:ascii="Arial" w:hAnsi="Arial" w:cs="David" w:hint="cs"/>
          <w:rtl/>
        </w:rPr>
        <w:t>מיליארד</w:t>
      </w:r>
      <w:r w:rsidR="00F9624C" w:rsidRPr="00D45CA2">
        <w:rPr>
          <w:rFonts w:ascii="Arial" w:hAnsi="Arial" w:cs="David" w:hint="cs"/>
          <w:rtl/>
        </w:rPr>
        <w:t>ים</w:t>
      </w:r>
      <w:r w:rsidR="00EA0CA3" w:rsidRPr="00D45CA2">
        <w:rPr>
          <w:rFonts w:ascii="Arial" w:hAnsi="Arial" w:cs="David" w:hint="cs"/>
          <w:rtl/>
        </w:rPr>
        <w:t xml:space="preserve"> </w:t>
      </w:r>
      <w:r w:rsidR="00172E92" w:rsidRPr="00D45CA2">
        <w:rPr>
          <w:rFonts w:ascii="Arial" w:hAnsi="Arial" w:cs="David" w:hint="cs"/>
          <w:rtl/>
        </w:rPr>
        <w:t xml:space="preserve">(תרשים </w:t>
      </w:r>
      <w:r w:rsidR="00212D62" w:rsidRPr="00D45CA2">
        <w:rPr>
          <w:rFonts w:ascii="Arial" w:hAnsi="Arial" w:cs="David" w:hint="cs"/>
          <w:rtl/>
        </w:rPr>
        <w:t>6</w:t>
      </w:r>
      <w:r w:rsidR="00172E92" w:rsidRPr="00D45CA2">
        <w:rPr>
          <w:rFonts w:ascii="Arial" w:hAnsi="Arial" w:cs="David" w:hint="cs"/>
          <w:rtl/>
        </w:rPr>
        <w:t>)</w:t>
      </w:r>
      <w:r w:rsidR="001F545C" w:rsidRPr="00D45CA2">
        <w:rPr>
          <w:rFonts w:ascii="Arial" w:hAnsi="Arial" w:cs="David" w:hint="cs"/>
          <w:rtl/>
        </w:rPr>
        <w:t>.</w:t>
      </w:r>
      <w:r w:rsidR="00785F18" w:rsidRPr="00D45CA2">
        <w:rPr>
          <w:rFonts w:ascii="Arial" w:hAnsi="Arial" w:cs="David" w:hint="cs"/>
          <w:rtl/>
        </w:rPr>
        <w:t xml:space="preserve"> </w:t>
      </w:r>
    </w:p>
    <w:p w:rsidR="009522BF" w:rsidRDefault="009522BF" w:rsidP="00331865">
      <w:pPr>
        <w:spacing w:line="360" w:lineRule="auto"/>
        <w:jc w:val="both"/>
        <w:rPr>
          <w:rFonts w:ascii="Arial" w:hAnsi="Arial" w:cs="David"/>
          <w:rtl/>
        </w:rPr>
      </w:pPr>
      <w:r w:rsidRPr="00D45CA2">
        <w:rPr>
          <w:rFonts w:ascii="Arial" w:hAnsi="Arial" w:cs="David" w:hint="cs"/>
          <w:b/>
          <w:bCs/>
          <w:rtl/>
        </w:rPr>
        <w:t>יתרת הנכסים במכשירי חוב לזמן קצר</w:t>
      </w:r>
      <w:r w:rsidR="002A768F" w:rsidRPr="00D45CA2">
        <w:rPr>
          <w:rFonts w:ascii="Arial" w:hAnsi="Arial" w:cs="David" w:hint="cs"/>
          <w:rtl/>
        </w:rPr>
        <w:t xml:space="preserve"> (פירעון/מימוש תוך שנה) </w:t>
      </w:r>
      <w:r w:rsidR="00183594">
        <w:rPr>
          <w:rFonts w:ascii="Arial" w:hAnsi="Arial" w:cs="David" w:hint="cs"/>
          <w:rtl/>
        </w:rPr>
        <w:t>עלתה ברביע ה</w:t>
      </w:r>
      <w:r w:rsidR="008E5999">
        <w:rPr>
          <w:rFonts w:ascii="Arial" w:hAnsi="Arial" w:cs="David" w:hint="cs"/>
          <w:rtl/>
        </w:rPr>
        <w:t>שני</w:t>
      </w:r>
      <w:r w:rsidR="00183594">
        <w:rPr>
          <w:rFonts w:ascii="Arial" w:hAnsi="Arial" w:cs="David" w:hint="cs"/>
          <w:rtl/>
        </w:rPr>
        <w:t xml:space="preserve"> ב</w:t>
      </w:r>
      <w:r w:rsidR="005B7FF7">
        <w:rPr>
          <w:rFonts w:ascii="Arial" w:hAnsi="Arial" w:cs="David" w:hint="cs"/>
          <w:rtl/>
        </w:rPr>
        <w:t>-</w:t>
      </w:r>
      <w:r w:rsidR="008E5999">
        <w:rPr>
          <w:rFonts w:ascii="Arial" w:hAnsi="Arial" w:cs="David" w:hint="cs"/>
          <w:rtl/>
        </w:rPr>
        <w:t>13.5</w:t>
      </w:r>
      <w:r w:rsidR="006F0654">
        <w:rPr>
          <w:rFonts w:ascii="Arial" w:hAnsi="Arial" w:cs="David" w:hint="cs"/>
          <w:rtl/>
        </w:rPr>
        <w:t xml:space="preserve"> </w:t>
      </w:r>
      <w:r w:rsidR="00183594">
        <w:rPr>
          <w:rFonts w:ascii="Arial" w:hAnsi="Arial" w:cs="David" w:hint="cs"/>
          <w:rtl/>
        </w:rPr>
        <w:t>מיליארדי דולרים</w:t>
      </w:r>
      <w:r w:rsidR="008731B6" w:rsidRPr="00D45CA2">
        <w:rPr>
          <w:rFonts w:ascii="Arial" w:hAnsi="Arial" w:cs="David" w:hint="cs"/>
          <w:rtl/>
        </w:rPr>
        <w:t xml:space="preserve"> </w:t>
      </w:r>
      <w:r w:rsidR="00A16522" w:rsidRPr="00D45CA2">
        <w:rPr>
          <w:rFonts w:ascii="Arial" w:hAnsi="Arial" w:cs="David" w:hint="cs"/>
          <w:rtl/>
        </w:rPr>
        <w:t>ו</w:t>
      </w:r>
      <w:r w:rsidRPr="00D45CA2">
        <w:rPr>
          <w:rFonts w:ascii="Arial" w:hAnsi="Arial" w:cs="David" w:hint="cs"/>
          <w:rtl/>
        </w:rPr>
        <w:t xml:space="preserve">עמדה </w:t>
      </w:r>
      <w:r w:rsidR="008E5999">
        <w:rPr>
          <w:rFonts w:ascii="Arial" w:hAnsi="Arial" w:cs="David"/>
          <w:rtl/>
        </w:rPr>
        <w:t>בסו</w:t>
      </w:r>
      <w:r w:rsidR="008E5999">
        <w:rPr>
          <w:rFonts w:ascii="Arial" w:hAnsi="Arial" w:cs="David" w:hint="cs"/>
          <w:rtl/>
        </w:rPr>
        <w:t xml:space="preserve">פו </w:t>
      </w:r>
      <w:r w:rsidRPr="00D45CA2">
        <w:rPr>
          <w:rFonts w:ascii="Arial" w:hAnsi="Arial" w:cs="David" w:hint="cs"/>
          <w:rtl/>
        </w:rPr>
        <w:t xml:space="preserve">על </w:t>
      </w:r>
      <w:r w:rsidR="008E5999">
        <w:rPr>
          <w:rFonts w:ascii="Arial" w:hAnsi="Arial" w:cs="David" w:hint="cs"/>
          <w:rtl/>
        </w:rPr>
        <w:t>194.6</w:t>
      </w:r>
      <w:r w:rsidR="00183594">
        <w:rPr>
          <w:rFonts w:ascii="Arial" w:hAnsi="Arial" w:cs="David"/>
          <w:rtl/>
        </w:rPr>
        <w:t xml:space="preserve"> מיליארד</w:t>
      </w:r>
      <w:r w:rsidRPr="00D45CA2">
        <w:rPr>
          <w:rFonts w:ascii="Arial" w:hAnsi="Arial" w:cs="David" w:hint="cs"/>
          <w:rtl/>
        </w:rPr>
        <w:t>ים</w:t>
      </w:r>
      <w:r w:rsidR="002A768F" w:rsidRPr="00D45CA2">
        <w:rPr>
          <w:rFonts w:ascii="Arial" w:hAnsi="Arial" w:cs="David" w:hint="cs"/>
          <w:rtl/>
        </w:rPr>
        <w:t>,</w:t>
      </w:r>
      <w:r w:rsidR="00A16522" w:rsidRPr="00D45CA2">
        <w:rPr>
          <w:rFonts w:ascii="Arial" w:hAnsi="Arial" w:cs="David" w:hint="cs"/>
          <w:rtl/>
        </w:rPr>
        <w:t xml:space="preserve"> </w:t>
      </w:r>
      <w:r w:rsidR="00183594">
        <w:rPr>
          <w:rFonts w:ascii="Arial" w:hAnsi="Arial" w:cs="David" w:hint="cs"/>
          <w:rtl/>
        </w:rPr>
        <w:t>מתוכם</w:t>
      </w:r>
      <w:r w:rsidR="002A768F" w:rsidRPr="00D45CA2">
        <w:rPr>
          <w:rFonts w:ascii="Arial" w:hAnsi="Arial" w:cs="David" w:hint="cs"/>
          <w:rtl/>
        </w:rPr>
        <w:t xml:space="preserve"> </w:t>
      </w:r>
      <w:r w:rsidR="008B5A32">
        <w:rPr>
          <w:rFonts w:ascii="Arial" w:hAnsi="Arial" w:cs="David" w:hint="cs"/>
          <w:rtl/>
        </w:rPr>
        <w:t>כ-</w:t>
      </w:r>
      <w:r w:rsidR="00B528D4">
        <w:rPr>
          <w:rFonts w:ascii="Arial" w:hAnsi="Arial" w:cs="David" w:hint="cs"/>
          <w:rtl/>
        </w:rPr>
        <w:t>147.3</w:t>
      </w:r>
      <w:r w:rsidR="008B5A32">
        <w:rPr>
          <w:rFonts w:ascii="Arial" w:hAnsi="Arial" w:cs="David" w:hint="cs"/>
          <w:rtl/>
        </w:rPr>
        <w:t xml:space="preserve"> </w:t>
      </w:r>
      <w:r w:rsidR="002A768F" w:rsidRPr="00D45CA2">
        <w:rPr>
          <w:rFonts w:ascii="Arial" w:hAnsi="Arial" w:cs="David" w:hint="cs"/>
          <w:rtl/>
        </w:rPr>
        <w:t>מיליארד</w:t>
      </w:r>
      <w:r w:rsidR="00183594">
        <w:rPr>
          <w:rFonts w:ascii="Arial" w:hAnsi="Arial" w:cs="David" w:hint="cs"/>
          <w:rtl/>
        </w:rPr>
        <w:t>ים</w:t>
      </w:r>
      <w:r w:rsidR="002A768F" w:rsidRPr="00D45CA2">
        <w:rPr>
          <w:rFonts w:ascii="Arial" w:hAnsi="Arial" w:cs="David" w:hint="cs"/>
          <w:rtl/>
        </w:rPr>
        <w:t xml:space="preserve"> </w:t>
      </w:r>
      <w:r w:rsidR="00183594">
        <w:rPr>
          <w:rFonts w:ascii="Arial" w:hAnsi="Arial" w:cs="David" w:hint="cs"/>
          <w:rtl/>
        </w:rPr>
        <w:t xml:space="preserve">הן </w:t>
      </w:r>
      <w:r w:rsidR="00A16522" w:rsidRPr="00D45CA2">
        <w:rPr>
          <w:rFonts w:ascii="Arial" w:hAnsi="Arial" w:cs="David" w:hint="cs"/>
          <w:rtl/>
        </w:rPr>
        <w:t xml:space="preserve">רזרבות </w:t>
      </w:r>
      <w:r w:rsidR="005B7FF7">
        <w:rPr>
          <w:rFonts w:ascii="Arial" w:hAnsi="Arial" w:cs="David" w:hint="cs"/>
          <w:rtl/>
        </w:rPr>
        <w:t>ה</w:t>
      </w:r>
      <w:r w:rsidR="00A16522" w:rsidRPr="00D45CA2">
        <w:rPr>
          <w:rFonts w:ascii="Arial" w:hAnsi="Arial" w:cs="David" w:hint="cs"/>
          <w:rtl/>
        </w:rPr>
        <w:t>מט"ח בבנק ישראל</w:t>
      </w:r>
      <w:r w:rsidR="002A768F" w:rsidRPr="00D45CA2">
        <w:rPr>
          <w:rFonts w:ascii="Arial" w:hAnsi="Arial" w:cs="David" w:hint="cs"/>
          <w:rtl/>
        </w:rPr>
        <w:t>. יתרה זו</w:t>
      </w:r>
      <w:r w:rsidR="00A16522" w:rsidRPr="00D45CA2">
        <w:rPr>
          <w:rFonts w:ascii="Arial" w:hAnsi="Arial" w:cs="David" w:hint="cs"/>
          <w:rtl/>
        </w:rPr>
        <w:t xml:space="preserve"> משקפת יחס כיסוי של פי </w:t>
      </w:r>
      <w:r w:rsidR="00331865">
        <w:rPr>
          <w:rFonts w:ascii="Arial" w:hAnsi="Arial" w:cs="David" w:hint="cs"/>
          <w:rtl/>
        </w:rPr>
        <w:t>4.7</w:t>
      </w:r>
      <w:r w:rsidR="00A16522" w:rsidRPr="00D45CA2">
        <w:rPr>
          <w:rFonts w:ascii="Arial" w:hAnsi="Arial" w:cs="David" w:hint="cs"/>
          <w:rtl/>
        </w:rPr>
        <w:t xml:space="preserve"> מהחוב לזמן קצר.</w:t>
      </w:r>
      <w:r w:rsidR="001E6906" w:rsidRPr="00D45CA2">
        <w:rPr>
          <w:rFonts w:ascii="Arial" w:hAnsi="Arial" w:cs="David" w:hint="cs"/>
          <w:rtl/>
        </w:rPr>
        <w:t xml:space="preserve"> </w:t>
      </w:r>
    </w:p>
    <w:p w:rsidR="00741161" w:rsidRDefault="00741161" w:rsidP="00D45CA2">
      <w:pPr>
        <w:spacing w:line="360" w:lineRule="auto"/>
        <w:jc w:val="both"/>
        <w:rPr>
          <w:rFonts w:ascii="Arial" w:hAnsi="Arial" w:cs="David"/>
          <w:rtl/>
        </w:rPr>
      </w:pPr>
    </w:p>
    <w:p w:rsidR="00741161" w:rsidRDefault="00C80329" w:rsidP="008B1CA7">
      <w:pPr>
        <w:spacing w:line="360" w:lineRule="auto"/>
        <w:jc w:val="center"/>
        <w:rPr>
          <w:rFonts w:ascii="Arial" w:hAnsi="Arial" w:cs="David"/>
          <w:rtl/>
        </w:rPr>
      </w:pPr>
      <w:r>
        <w:rPr>
          <w:rFonts w:ascii="Arial" w:hAnsi="Arial" w:cs="David"/>
          <w:noProof/>
          <w:lang w:eastAsia="en-US"/>
        </w:rPr>
        <w:drawing>
          <wp:inline distT="0" distB="0" distL="0" distR="0" wp14:anchorId="58454255">
            <wp:extent cx="4861371" cy="2966886"/>
            <wp:effectExtent l="0" t="0" r="0" b="508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2023" cy="2979490"/>
                    </a:xfrm>
                    <a:prstGeom prst="rect">
                      <a:avLst/>
                    </a:prstGeom>
                    <a:noFill/>
                  </pic:spPr>
                </pic:pic>
              </a:graphicData>
            </a:graphic>
          </wp:inline>
        </w:drawing>
      </w:r>
    </w:p>
    <w:p w:rsidR="007312C9" w:rsidRDefault="007312C9" w:rsidP="00D45CA2">
      <w:pPr>
        <w:spacing w:line="360" w:lineRule="auto"/>
        <w:jc w:val="both"/>
        <w:rPr>
          <w:rFonts w:ascii="Arial" w:hAnsi="Arial" w:cs="David"/>
          <w:rtl/>
        </w:rPr>
      </w:pPr>
    </w:p>
    <w:p w:rsidR="00741161" w:rsidRDefault="00741161" w:rsidP="00D45CA2">
      <w:pPr>
        <w:spacing w:line="360" w:lineRule="auto"/>
        <w:jc w:val="both"/>
        <w:rPr>
          <w:rFonts w:ascii="Arial" w:hAnsi="Arial" w:cs="David"/>
          <w:rtl/>
        </w:rPr>
      </w:pPr>
    </w:p>
    <w:p w:rsidR="00741161" w:rsidRDefault="00741161" w:rsidP="00D45CA2">
      <w:pPr>
        <w:spacing w:line="360" w:lineRule="auto"/>
        <w:jc w:val="both"/>
        <w:rPr>
          <w:rFonts w:ascii="Arial" w:hAnsi="Arial" w:cs="David"/>
          <w:rtl/>
        </w:rPr>
      </w:pPr>
    </w:p>
    <w:p w:rsidR="007312C9" w:rsidRDefault="007312C9" w:rsidP="00D45CA2">
      <w:pPr>
        <w:spacing w:line="360" w:lineRule="auto"/>
        <w:jc w:val="both"/>
        <w:rPr>
          <w:rFonts w:ascii="Arial" w:hAnsi="Arial" w:cs="David"/>
          <w:rtl/>
        </w:rPr>
      </w:pPr>
    </w:p>
    <w:p w:rsidR="00741161" w:rsidRPr="00D45CA2" w:rsidRDefault="00741161" w:rsidP="00D45CA2">
      <w:pPr>
        <w:spacing w:line="360" w:lineRule="auto"/>
        <w:jc w:val="both"/>
        <w:rPr>
          <w:rFonts w:ascii="Arial" w:hAnsi="Arial" w:cs="David"/>
          <w:rtl/>
        </w:rPr>
      </w:pPr>
    </w:p>
    <w:p w:rsidR="00741161" w:rsidRDefault="00741161" w:rsidP="00FE10AB">
      <w:pPr>
        <w:autoSpaceDE w:val="0"/>
        <w:autoSpaceDN w:val="0"/>
        <w:adjustRightInd w:val="0"/>
        <w:spacing w:before="240" w:after="240" w:line="720" w:lineRule="auto"/>
        <w:rPr>
          <w:rFonts w:ascii="Arial" w:hAnsi="Arial" w:cs="David"/>
          <w:rtl/>
        </w:rPr>
      </w:pPr>
    </w:p>
    <w:p w:rsidR="00884A8B" w:rsidRPr="00B516A1" w:rsidRDefault="00747617" w:rsidP="00FE10AB">
      <w:pPr>
        <w:autoSpaceDE w:val="0"/>
        <w:autoSpaceDN w:val="0"/>
        <w:adjustRightInd w:val="0"/>
        <w:spacing w:before="240" w:after="240" w:line="720" w:lineRule="auto"/>
        <w:rPr>
          <w:rFonts w:ascii="Arial" w:hAnsi="Arial" w:cs="Arial"/>
          <w:sz w:val="18"/>
          <w:szCs w:val="18"/>
          <w:rtl/>
          <w:lang w:eastAsia="en-US"/>
        </w:rPr>
      </w:pPr>
      <w:hyperlink r:id="rId17" w:history="1">
        <w:r w:rsidR="00FE10AB" w:rsidRPr="00D22C5A">
          <w:rPr>
            <w:rStyle w:val="Hyperlink"/>
            <w:rFonts w:ascii="Arial" w:hAnsi="Arial" w:cs="David"/>
            <w:rtl/>
          </w:rPr>
          <w:t xml:space="preserve">מידע נוסף בנושא </w:t>
        </w:r>
        <w:r w:rsidR="00FE10AB" w:rsidRPr="00D22C5A">
          <w:rPr>
            <w:rStyle w:val="Hyperlink"/>
            <w:rFonts w:ascii="Arial" w:hAnsi="Arial" w:cs="David" w:hint="cs"/>
            <w:rtl/>
          </w:rPr>
          <w:t>הנכסים וההתחייבויות של המשק מול חו"ל</w:t>
        </w:r>
        <w:r w:rsidR="001E49F5" w:rsidRPr="00D22C5A">
          <w:rPr>
            <w:rStyle w:val="Hyperlink"/>
            <w:rFonts w:ascii="Arial" w:hAnsi="Arial" w:cs="David" w:hint="cs"/>
            <w:rtl/>
          </w:rPr>
          <w:t xml:space="preserve"> זמין בקישור זה</w:t>
        </w:r>
      </w:hyperlink>
      <w:r w:rsidR="000D4E41" w:rsidRPr="00D22C5A">
        <w:rPr>
          <w:rFonts w:ascii="Arial" w:hAnsi="Arial" w:cs="David" w:hint="cs"/>
          <w:rtl/>
        </w:rPr>
        <w:t>.</w:t>
      </w:r>
    </w:p>
    <w:sectPr w:rsidR="00884A8B" w:rsidRPr="00B516A1" w:rsidSect="00013D02">
      <w:headerReference w:type="default" r:id="rId18"/>
      <w:footerReference w:type="default" r:id="rId19"/>
      <w:pgSz w:w="11906" w:h="16838"/>
      <w:pgMar w:top="1078" w:right="1133" w:bottom="1616" w:left="993" w:header="720" w:footer="17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5C8" w:rsidRDefault="00A655C8">
      <w:r>
        <w:separator/>
      </w:r>
    </w:p>
  </w:endnote>
  <w:endnote w:type="continuationSeparator" w:id="0">
    <w:p w:rsidR="00A655C8" w:rsidRDefault="00A6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6B" w:rsidRPr="000150C4" w:rsidRDefault="00D45CC6" w:rsidP="00866088">
    <w:pPr>
      <w:spacing w:line="360" w:lineRule="auto"/>
      <w:rPr>
        <w:rtl/>
        <w:lang w:val="he-IL"/>
      </w:rPr>
    </w:pPr>
    <w:r w:rsidRPr="00A105AE">
      <w:rPr>
        <w:rFonts w:cs="David" w:hint="cs"/>
        <w:rtl/>
      </w:rPr>
      <w:t xml:space="preserve">בנק ישראל </w:t>
    </w:r>
    <w:r w:rsidRPr="00A105AE">
      <w:rPr>
        <w:rFonts w:cs="David"/>
        <w:rtl/>
      </w:rPr>
      <w:t>–</w:t>
    </w:r>
    <w:r w:rsidRPr="00A105AE">
      <w:rPr>
        <w:rFonts w:cs="David" w:hint="cs"/>
        <w:rtl/>
      </w:rPr>
      <w:t xml:space="preserve"> הנכסים וההתחייבויות של המשק מול חו"ל ברביע </w:t>
    </w:r>
    <w:r w:rsidR="00844D86">
      <w:rPr>
        <w:rFonts w:cs="David" w:hint="cs"/>
        <w:rtl/>
      </w:rPr>
      <w:t>ה</w:t>
    </w:r>
    <w:r w:rsidR="00866088">
      <w:rPr>
        <w:rFonts w:cs="David" w:hint="cs"/>
        <w:rtl/>
      </w:rPr>
      <w:t>שני</w:t>
    </w:r>
    <w:r w:rsidR="000C42BC">
      <w:rPr>
        <w:rFonts w:cs="David" w:hint="cs"/>
        <w:rtl/>
      </w:rPr>
      <w:t xml:space="preserve"> </w:t>
    </w:r>
    <w:r w:rsidRPr="00A105AE">
      <w:rPr>
        <w:rFonts w:cs="David" w:hint="cs"/>
        <w:rtl/>
      </w:rPr>
      <w:t xml:space="preserve">של </w:t>
    </w:r>
    <w:r w:rsidR="00FB7A17">
      <w:rPr>
        <w:rFonts w:cs="David" w:hint="cs"/>
        <w:rtl/>
      </w:rPr>
      <w:t>שנת 2020</w:t>
    </w:r>
    <w:r w:rsidR="000150C4">
      <w:rPr>
        <w:rFonts w:cs="David" w:hint="cs"/>
        <w:rtl/>
        <w:cs/>
        <w:lang w:val="he-IL"/>
      </w:rPr>
      <w:tab/>
      <w:t xml:space="preserve">           </w:t>
    </w:r>
    <w:r w:rsidRPr="00A105AE">
      <w:rPr>
        <w:rFonts w:cs="David"/>
        <w:rtl/>
        <w:cs/>
        <w:lang w:val="he-IL"/>
      </w:rPr>
      <w:t xml:space="preserve">עמוד </w:t>
    </w:r>
    <w:r w:rsidRPr="00A105AE">
      <w:rPr>
        <w:rFonts w:cs="David"/>
        <w:b/>
        <w:bCs/>
      </w:rPr>
      <w:fldChar w:fldCharType="begin"/>
    </w:r>
    <w:r w:rsidRPr="00A105AE">
      <w:rPr>
        <w:rFonts w:cs="David"/>
        <w:b/>
        <w:bCs/>
        <w:rtl/>
        <w:cs/>
      </w:rPr>
      <w:instrText>PAGE</w:instrText>
    </w:r>
    <w:r w:rsidRPr="00A105AE">
      <w:rPr>
        <w:rFonts w:cs="David"/>
        <w:b/>
        <w:bCs/>
      </w:rPr>
      <w:fldChar w:fldCharType="separate"/>
    </w:r>
    <w:r w:rsidR="00747617">
      <w:rPr>
        <w:rFonts w:cs="David"/>
        <w:b/>
        <w:bCs/>
        <w:noProof/>
        <w:rtl/>
      </w:rPr>
      <w:t>1</w:t>
    </w:r>
    <w:r w:rsidRPr="00A105AE">
      <w:rPr>
        <w:rFonts w:cs="David"/>
        <w:b/>
        <w:bCs/>
      </w:rPr>
      <w:fldChar w:fldCharType="end"/>
    </w:r>
    <w:r w:rsidRPr="00A105AE">
      <w:rPr>
        <w:rFonts w:cs="David"/>
        <w:rtl/>
        <w:cs/>
        <w:lang w:val="he-IL"/>
      </w:rPr>
      <w:t xml:space="preserve"> מתוך </w:t>
    </w:r>
    <w:r w:rsidRPr="00A105AE">
      <w:rPr>
        <w:rFonts w:cs="David"/>
        <w:b/>
        <w:bCs/>
      </w:rPr>
      <w:fldChar w:fldCharType="begin"/>
    </w:r>
    <w:r w:rsidRPr="00A105AE">
      <w:rPr>
        <w:rFonts w:cs="David"/>
        <w:b/>
        <w:bCs/>
        <w:rtl/>
        <w:cs/>
      </w:rPr>
      <w:instrText>NUMPAGES</w:instrText>
    </w:r>
    <w:r w:rsidRPr="00A105AE">
      <w:rPr>
        <w:rFonts w:cs="David"/>
        <w:b/>
        <w:bCs/>
      </w:rPr>
      <w:fldChar w:fldCharType="separate"/>
    </w:r>
    <w:r w:rsidR="00747617">
      <w:rPr>
        <w:rFonts w:cs="David"/>
        <w:b/>
        <w:bCs/>
        <w:noProof/>
        <w:rtl/>
      </w:rPr>
      <w:t>6</w:t>
    </w:r>
    <w:r w:rsidRPr="00A105AE">
      <w:rPr>
        <w:rFonts w:cs="Davi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5C8" w:rsidRDefault="00A655C8">
      <w:r>
        <w:separator/>
      </w:r>
    </w:p>
  </w:footnote>
  <w:footnote w:type="continuationSeparator" w:id="0">
    <w:p w:rsidR="00A655C8" w:rsidRDefault="00A6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6B" w:rsidRDefault="00BD0A6B">
    <w:pPr>
      <w:pStyle w:val="a3"/>
      <w:tabs>
        <w:tab w:val="clear" w:pos="4153"/>
      </w:tabs>
      <w:jc w:val="center"/>
      <w:rPr>
        <w:rFonts w:cs="David"/>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53F2"/>
    <w:multiLevelType w:val="hybridMultilevel"/>
    <w:tmpl w:val="FAD0A0D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918"/>
    <w:multiLevelType w:val="hybridMultilevel"/>
    <w:tmpl w:val="EFA0544C"/>
    <w:lvl w:ilvl="0" w:tplc="04090001">
      <w:start w:val="1"/>
      <w:numFmt w:val="bullet"/>
      <w:lvlText w:val=""/>
      <w:lvlJc w:val="left"/>
      <w:pPr>
        <w:ind w:left="720" w:hanging="360"/>
      </w:pPr>
      <w:rPr>
        <w:rFonts w:ascii="Symbol" w:hAnsi="Symbo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B4E4B"/>
    <w:multiLevelType w:val="hybridMultilevel"/>
    <w:tmpl w:val="BBB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B797A"/>
    <w:multiLevelType w:val="hybridMultilevel"/>
    <w:tmpl w:val="2680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C1E85"/>
    <w:multiLevelType w:val="hybridMultilevel"/>
    <w:tmpl w:val="249AA2C0"/>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start w:val="1"/>
      <w:numFmt w:val="bullet"/>
      <w:lvlText w:val="o"/>
      <w:lvlJc w:val="left"/>
      <w:pPr>
        <w:tabs>
          <w:tab w:val="num" w:pos="3600"/>
        </w:tabs>
        <w:ind w:left="3600" w:right="3600" w:hanging="360"/>
      </w:pPr>
      <w:rPr>
        <w:rFonts w:ascii="Courier New" w:hAnsi="Courier New" w:hint="default"/>
      </w:rPr>
    </w:lvl>
    <w:lvl w:ilvl="5" w:tplc="040D0005">
      <w:start w:val="1"/>
      <w:numFmt w:val="bullet"/>
      <w:lvlText w:val=""/>
      <w:lvlJc w:val="left"/>
      <w:pPr>
        <w:tabs>
          <w:tab w:val="num" w:pos="4320"/>
        </w:tabs>
        <w:ind w:left="4320" w:right="4320" w:hanging="360"/>
      </w:pPr>
      <w:rPr>
        <w:rFonts w:ascii="Wingdings" w:hAnsi="Wingdings" w:hint="default"/>
      </w:rPr>
    </w:lvl>
    <w:lvl w:ilvl="6" w:tplc="040D0001">
      <w:start w:val="1"/>
      <w:numFmt w:val="bullet"/>
      <w:lvlText w:val=""/>
      <w:lvlJc w:val="left"/>
      <w:pPr>
        <w:tabs>
          <w:tab w:val="num" w:pos="5040"/>
        </w:tabs>
        <w:ind w:left="5040" w:right="5040" w:hanging="360"/>
      </w:pPr>
      <w:rPr>
        <w:rFonts w:ascii="Symbol" w:hAnsi="Symbol" w:hint="default"/>
      </w:rPr>
    </w:lvl>
    <w:lvl w:ilvl="7" w:tplc="040D0003">
      <w:start w:val="1"/>
      <w:numFmt w:val="bullet"/>
      <w:lvlText w:val="o"/>
      <w:lvlJc w:val="left"/>
      <w:pPr>
        <w:tabs>
          <w:tab w:val="num" w:pos="5760"/>
        </w:tabs>
        <w:ind w:left="5760" w:right="5760" w:hanging="360"/>
      </w:pPr>
      <w:rPr>
        <w:rFonts w:ascii="Courier New" w:hAnsi="Courier New" w:hint="default"/>
      </w:rPr>
    </w:lvl>
    <w:lvl w:ilvl="8" w:tplc="040D0005">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3979260A"/>
    <w:multiLevelType w:val="hybridMultilevel"/>
    <w:tmpl w:val="180CD69E"/>
    <w:lvl w:ilvl="0" w:tplc="040D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425F7EFE"/>
    <w:multiLevelType w:val="hybridMultilevel"/>
    <w:tmpl w:val="3348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D3EE0"/>
    <w:multiLevelType w:val="hybridMultilevel"/>
    <w:tmpl w:val="254E6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97F79"/>
    <w:multiLevelType w:val="hybridMultilevel"/>
    <w:tmpl w:val="7F508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65E5468F"/>
    <w:multiLevelType w:val="hybridMultilevel"/>
    <w:tmpl w:val="529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15:restartNumberingAfterBreak="0">
    <w:nsid w:val="73392647"/>
    <w:multiLevelType w:val="hybridMultilevel"/>
    <w:tmpl w:val="D708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5F5679"/>
    <w:multiLevelType w:val="hybridMultilevel"/>
    <w:tmpl w:val="FFD42F8C"/>
    <w:lvl w:ilvl="0" w:tplc="81064B8E">
      <w:start w:val="1"/>
      <w:numFmt w:val="decimal"/>
      <w:lvlText w:val="%1."/>
      <w:lvlJc w:val="left"/>
      <w:pPr>
        <w:ind w:left="359" w:hanging="360"/>
      </w:pPr>
      <w:rPr>
        <w:rFonts w:hint="default"/>
        <w:b/>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4"/>
  </w:num>
  <w:num w:numId="2">
    <w:abstractNumId w:val="5"/>
  </w:num>
  <w:num w:numId="3">
    <w:abstractNumId w:val="13"/>
  </w:num>
  <w:num w:numId="4">
    <w:abstractNumId w:val="9"/>
  </w:num>
  <w:num w:numId="5">
    <w:abstractNumId w:val="1"/>
  </w:num>
  <w:num w:numId="6">
    <w:abstractNumId w:val="2"/>
  </w:num>
  <w:num w:numId="7">
    <w:abstractNumId w:val="7"/>
  </w:num>
  <w:num w:numId="8">
    <w:abstractNumId w:val="6"/>
  </w:num>
  <w:num w:numId="9">
    <w:abstractNumId w:val="12"/>
  </w:num>
  <w:num w:numId="10">
    <w:abstractNumId w:val="14"/>
  </w:num>
  <w:num w:numId="11">
    <w:abstractNumId w:val="11"/>
  </w:num>
  <w:num w:numId="12">
    <w:abstractNumId w:val="10"/>
  </w:num>
  <w:num w:numId="13">
    <w:abstractNumId w:val="10"/>
  </w:num>
  <w:num w:numId="14">
    <w:abstractNumId w:val="10"/>
    <w:lvlOverride w:ilvl="0">
      <w:startOverride w:val="1"/>
    </w:lvlOverride>
  </w:num>
  <w:num w:numId="15">
    <w:abstractNumId w:val="3"/>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59"/>
    <w:rsid w:val="00000EE1"/>
    <w:rsid w:val="00000FDF"/>
    <w:rsid w:val="00001611"/>
    <w:rsid w:val="00002FA6"/>
    <w:rsid w:val="00005A1C"/>
    <w:rsid w:val="00006488"/>
    <w:rsid w:val="00006508"/>
    <w:rsid w:val="00006EE8"/>
    <w:rsid w:val="0000797B"/>
    <w:rsid w:val="00010207"/>
    <w:rsid w:val="0001029C"/>
    <w:rsid w:val="00010F80"/>
    <w:rsid w:val="00011065"/>
    <w:rsid w:val="00011364"/>
    <w:rsid w:val="00011797"/>
    <w:rsid w:val="00011D2A"/>
    <w:rsid w:val="00011F11"/>
    <w:rsid w:val="000123AD"/>
    <w:rsid w:val="000124A8"/>
    <w:rsid w:val="000135D6"/>
    <w:rsid w:val="00013B67"/>
    <w:rsid w:val="00013C4F"/>
    <w:rsid w:val="00013D02"/>
    <w:rsid w:val="000142F3"/>
    <w:rsid w:val="000145A6"/>
    <w:rsid w:val="000148B8"/>
    <w:rsid w:val="000150C4"/>
    <w:rsid w:val="00015BCB"/>
    <w:rsid w:val="00016195"/>
    <w:rsid w:val="00016D54"/>
    <w:rsid w:val="00016D59"/>
    <w:rsid w:val="00016D85"/>
    <w:rsid w:val="00017A9A"/>
    <w:rsid w:val="000201BF"/>
    <w:rsid w:val="00020465"/>
    <w:rsid w:val="00020B1B"/>
    <w:rsid w:val="00020B99"/>
    <w:rsid w:val="000216F1"/>
    <w:rsid w:val="000218D0"/>
    <w:rsid w:val="0002204C"/>
    <w:rsid w:val="000222AF"/>
    <w:rsid w:val="00023172"/>
    <w:rsid w:val="00023411"/>
    <w:rsid w:val="000246DB"/>
    <w:rsid w:val="000256BD"/>
    <w:rsid w:val="00026FD5"/>
    <w:rsid w:val="00027293"/>
    <w:rsid w:val="00027E93"/>
    <w:rsid w:val="00030EB4"/>
    <w:rsid w:val="00030F1F"/>
    <w:rsid w:val="000316A8"/>
    <w:rsid w:val="000317BE"/>
    <w:rsid w:val="000317FE"/>
    <w:rsid w:val="00031A2D"/>
    <w:rsid w:val="00031AF7"/>
    <w:rsid w:val="00031C54"/>
    <w:rsid w:val="00032AC7"/>
    <w:rsid w:val="00032D66"/>
    <w:rsid w:val="000334C4"/>
    <w:rsid w:val="0003372C"/>
    <w:rsid w:val="00034921"/>
    <w:rsid w:val="00034A2D"/>
    <w:rsid w:val="00035219"/>
    <w:rsid w:val="00035372"/>
    <w:rsid w:val="000354ED"/>
    <w:rsid w:val="0003575D"/>
    <w:rsid w:val="00035A52"/>
    <w:rsid w:val="00036848"/>
    <w:rsid w:val="00036D42"/>
    <w:rsid w:val="00037761"/>
    <w:rsid w:val="00037BAD"/>
    <w:rsid w:val="00040058"/>
    <w:rsid w:val="000402A6"/>
    <w:rsid w:val="0004033F"/>
    <w:rsid w:val="00040399"/>
    <w:rsid w:val="00041CF6"/>
    <w:rsid w:val="00041FB7"/>
    <w:rsid w:val="00042106"/>
    <w:rsid w:val="00042BC1"/>
    <w:rsid w:val="000435BB"/>
    <w:rsid w:val="0004432B"/>
    <w:rsid w:val="00044505"/>
    <w:rsid w:val="000447A6"/>
    <w:rsid w:val="0004499D"/>
    <w:rsid w:val="00044D1A"/>
    <w:rsid w:val="00044DBE"/>
    <w:rsid w:val="00045B6F"/>
    <w:rsid w:val="00046109"/>
    <w:rsid w:val="000506CB"/>
    <w:rsid w:val="00050D10"/>
    <w:rsid w:val="00051A1A"/>
    <w:rsid w:val="00051A3B"/>
    <w:rsid w:val="00052CED"/>
    <w:rsid w:val="00052D1B"/>
    <w:rsid w:val="00052F13"/>
    <w:rsid w:val="0005310B"/>
    <w:rsid w:val="000539D4"/>
    <w:rsid w:val="00054C7F"/>
    <w:rsid w:val="00054C99"/>
    <w:rsid w:val="00055A27"/>
    <w:rsid w:val="00056237"/>
    <w:rsid w:val="00056751"/>
    <w:rsid w:val="00056958"/>
    <w:rsid w:val="00056E3A"/>
    <w:rsid w:val="00057E88"/>
    <w:rsid w:val="0006108C"/>
    <w:rsid w:val="000621A9"/>
    <w:rsid w:val="000627DD"/>
    <w:rsid w:val="00062AB0"/>
    <w:rsid w:val="00062B50"/>
    <w:rsid w:val="00063C22"/>
    <w:rsid w:val="000640C9"/>
    <w:rsid w:val="00064381"/>
    <w:rsid w:val="00064757"/>
    <w:rsid w:val="00065963"/>
    <w:rsid w:val="00065EE0"/>
    <w:rsid w:val="00066661"/>
    <w:rsid w:val="00066DD0"/>
    <w:rsid w:val="00067A97"/>
    <w:rsid w:val="00071201"/>
    <w:rsid w:val="0007222C"/>
    <w:rsid w:val="000725B9"/>
    <w:rsid w:val="00072DE4"/>
    <w:rsid w:val="0007333F"/>
    <w:rsid w:val="00073889"/>
    <w:rsid w:val="000740A1"/>
    <w:rsid w:val="00074892"/>
    <w:rsid w:val="00075A78"/>
    <w:rsid w:val="00075CF6"/>
    <w:rsid w:val="00075F08"/>
    <w:rsid w:val="000761AC"/>
    <w:rsid w:val="000762E1"/>
    <w:rsid w:val="0007648A"/>
    <w:rsid w:val="00076C7A"/>
    <w:rsid w:val="000817D1"/>
    <w:rsid w:val="00082ABB"/>
    <w:rsid w:val="000830F4"/>
    <w:rsid w:val="000837AC"/>
    <w:rsid w:val="000839E6"/>
    <w:rsid w:val="00083E59"/>
    <w:rsid w:val="000852B0"/>
    <w:rsid w:val="000859EB"/>
    <w:rsid w:val="00085CA1"/>
    <w:rsid w:val="00086119"/>
    <w:rsid w:val="000867D6"/>
    <w:rsid w:val="00086D0B"/>
    <w:rsid w:val="00086E18"/>
    <w:rsid w:val="00087CCD"/>
    <w:rsid w:val="00087F54"/>
    <w:rsid w:val="00090189"/>
    <w:rsid w:val="00090458"/>
    <w:rsid w:val="00090682"/>
    <w:rsid w:val="00090A4D"/>
    <w:rsid w:val="00090E39"/>
    <w:rsid w:val="000915F3"/>
    <w:rsid w:val="00091631"/>
    <w:rsid w:val="00092131"/>
    <w:rsid w:val="000921CF"/>
    <w:rsid w:val="00093AB6"/>
    <w:rsid w:val="000940CF"/>
    <w:rsid w:val="00094308"/>
    <w:rsid w:val="000949E8"/>
    <w:rsid w:val="00094A8F"/>
    <w:rsid w:val="00094D10"/>
    <w:rsid w:val="00095024"/>
    <w:rsid w:val="0009532A"/>
    <w:rsid w:val="00095D4E"/>
    <w:rsid w:val="0009677B"/>
    <w:rsid w:val="00096BD1"/>
    <w:rsid w:val="000A0832"/>
    <w:rsid w:val="000A1B54"/>
    <w:rsid w:val="000A1F79"/>
    <w:rsid w:val="000A22D3"/>
    <w:rsid w:val="000A2761"/>
    <w:rsid w:val="000A347E"/>
    <w:rsid w:val="000A3734"/>
    <w:rsid w:val="000A38BE"/>
    <w:rsid w:val="000A3A08"/>
    <w:rsid w:val="000A3A38"/>
    <w:rsid w:val="000A406E"/>
    <w:rsid w:val="000A4372"/>
    <w:rsid w:val="000A4EC6"/>
    <w:rsid w:val="000A6793"/>
    <w:rsid w:val="000B016F"/>
    <w:rsid w:val="000B1132"/>
    <w:rsid w:val="000B16E1"/>
    <w:rsid w:val="000B17CA"/>
    <w:rsid w:val="000B2076"/>
    <w:rsid w:val="000B2136"/>
    <w:rsid w:val="000B3E41"/>
    <w:rsid w:val="000B486E"/>
    <w:rsid w:val="000B5CC3"/>
    <w:rsid w:val="000B5CE7"/>
    <w:rsid w:val="000B636E"/>
    <w:rsid w:val="000B643A"/>
    <w:rsid w:val="000B69D8"/>
    <w:rsid w:val="000B6FCA"/>
    <w:rsid w:val="000B74D0"/>
    <w:rsid w:val="000C0A77"/>
    <w:rsid w:val="000C1F4D"/>
    <w:rsid w:val="000C2538"/>
    <w:rsid w:val="000C2541"/>
    <w:rsid w:val="000C3098"/>
    <w:rsid w:val="000C34DE"/>
    <w:rsid w:val="000C4143"/>
    <w:rsid w:val="000C4221"/>
    <w:rsid w:val="000C42BC"/>
    <w:rsid w:val="000C4648"/>
    <w:rsid w:val="000C4BED"/>
    <w:rsid w:val="000C59D9"/>
    <w:rsid w:val="000C5BCF"/>
    <w:rsid w:val="000C72D8"/>
    <w:rsid w:val="000D0678"/>
    <w:rsid w:val="000D1252"/>
    <w:rsid w:val="000D1C5F"/>
    <w:rsid w:val="000D23D5"/>
    <w:rsid w:val="000D2C44"/>
    <w:rsid w:val="000D362D"/>
    <w:rsid w:val="000D38A1"/>
    <w:rsid w:val="000D482A"/>
    <w:rsid w:val="000D4952"/>
    <w:rsid w:val="000D4989"/>
    <w:rsid w:val="000D4E41"/>
    <w:rsid w:val="000D5045"/>
    <w:rsid w:val="000D7BE3"/>
    <w:rsid w:val="000D7D13"/>
    <w:rsid w:val="000E0BB9"/>
    <w:rsid w:val="000E1CA2"/>
    <w:rsid w:val="000E248C"/>
    <w:rsid w:val="000E26DC"/>
    <w:rsid w:val="000E2CA5"/>
    <w:rsid w:val="000E2DCA"/>
    <w:rsid w:val="000E31AB"/>
    <w:rsid w:val="000E31D7"/>
    <w:rsid w:val="000E36FF"/>
    <w:rsid w:val="000E388A"/>
    <w:rsid w:val="000E3918"/>
    <w:rsid w:val="000E3FD1"/>
    <w:rsid w:val="000E4FE7"/>
    <w:rsid w:val="000E5558"/>
    <w:rsid w:val="000E5B0A"/>
    <w:rsid w:val="000E5EC7"/>
    <w:rsid w:val="000E6CAE"/>
    <w:rsid w:val="000E6E2D"/>
    <w:rsid w:val="000E6E84"/>
    <w:rsid w:val="000E79DA"/>
    <w:rsid w:val="000E79EF"/>
    <w:rsid w:val="000E7C59"/>
    <w:rsid w:val="000E7D7C"/>
    <w:rsid w:val="000F166E"/>
    <w:rsid w:val="000F2128"/>
    <w:rsid w:val="000F2457"/>
    <w:rsid w:val="000F3382"/>
    <w:rsid w:val="000F3BD1"/>
    <w:rsid w:val="000F3ED7"/>
    <w:rsid w:val="000F55DA"/>
    <w:rsid w:val="000F58A3"/>
    <w:rsid w:val="000F5EE0"/>
    <w:rsid w:val="000F7359"/>
    <w:rsid w:val="000F75CE"/>
    <w:rsid w:val="000F79BC"/>
    <w:rsid w:val="00101237"/>
    <w:rsid w:val="001015E7"/>
    <w:rsid w:val="0010348C"/>
    <w:rsid w:val="00103A66"/>
    <w:rsid w:val="0010401C"/>
    <w:rsid w:val="0010435E"/>
    <w:rsid w:val="00104BD1"/>
    <w:rsid w:val="00105668"/>
    <w:rsid w:val="001061FC"/>
    <w:rsid w:val="001064D5"/>
    <w:rsid w:val="00106751"/>
    <w:rsid w:val="001077B9"/>
    <w:rsid w:val="001118F5"/>
    <w:rsid w:val="00113AC7"/>
    <w:rsid w:val="0011464A"/>
    <w:rsid w:val="00114EAF"/>
    <w:rsid w:val="001154F4"/>
    <w:rsid w:val="00115694"/>
    <w:rsid w:val="0011610D"/>
    <w:rsid w:val="00116C26"/>
    <w:rsid w:val="00116DB1"/>
    <w:rsid w:val="001179B3"/>
    <w:rsid w:val="001207F2"/>
    <w:rsid w:val="00120D57"/>
    <w:rsid w:val="0012136B"/>
    <w:rsid w:val="00121420"/>
    <w:rsid w:val="00121B1D"/>
    <w:rsid w:val="00121D75"/>
    <w:rsid w:val="00122341"/>
    <w:rsid w:val="001229A4"/>
    <w:rsid w:val="00123438"/>
    <w:rsid w:val="00123471"/>
    <w:rsid w:val="00126BE4"/>
    <w:rsid w:val="00126D80"/>
    <w:rsid w:val="00127C6D"/>
    <w:rsid w:val="0013007F"/>
    <w:rsid w:val="00130254"/>
    <w:rsid w:val="0013029B"/>
    <w:rsid w:val="00131154"/>
    <w:rsid w:val="00132688"/>
    <w:rsid w:val="001326F0"/>
    <w:rsid w:val="0013397D"/>
    <w:rsid w:val="00133991"/>
    <w:rsid w:val="00133F75"/>
    <w:rsid w:val="001353A4"/>
    <w:rsid w:val="00136576"/>
    <w:rsid w:val="00136F12"/>
    <w:rsid w:val="00140454"/>
    <w:rsid w:val="001409A7"/>
    <w:rsid w:val="00140AED"/>
    <w:rsid w:val="00141843"/>
    <w:rsid w:val="00142DDB"/>
    <w:rsid w:val="00142E46"/>
    <w:rsid w:val="00143EAD"/>
    <w:rsid w:val="001441DE"/>
    <w:rsid w:val="001449B8"/>
    <w:rsid w:val="00144D3B"/>
    <w:rsid w:val="0014562D"/>
    <w:rsid w:val="00146728"/>
    <w:rsid w:val="0014740B"/>
    <w:rsid w:val="00150BC9"/>
    <w:rsid w:val="00150CE4"/>
    <w:rsid w:val="00152295"/>
    <w:rsid w:val="00152B7D"/>
    <w:rsid w:val="00153356"/>
    <w:rsid w:val="001536FE"/>
    <w:rsid w:val="001541FB"/>
    <w:rsid w:val="001546C3"/>
    <w:rsid w:val="0015591B"/>
    <w:rsid w:val="00156AB5"/>
    <w:rsid w:val="001572CC"/>
    <w:rsid w:val="00157564"/>
    <w:rsid w:val="00157C8B"/>
    <w:rsid w:val="00160D78"/>
    <w:rsid w:val="0016180C"/>
    <w:rsid w:val="0016203C"/>
    <w:rsid w:val="00162243"/>
    <w:rsid w:val="00163CE2"/>
    <w:rsid w:val="00163D11"/>
    <w:rsid w:val="0016430C"/>
    <w:rsid w:val="00164330"/>
    <w:rsid w:val="00164408"/>
    <w:rsid w:val="00164CA6"/>
    <w:rsid w:val="00164F26"/>
    <w:rsid w:val="001654D9"/>
    <w:rsid w:val="00165B71"/>
    <w:rsid w:val="00166928"/>
    <w:rsid w:val="00166E18"/>
    <w:rsid w:val="0016755A"/>
    <w:rsid w:val="00167601"/>
    <w:rsid w:val="00167951"/>
    <w:rsid w:val="00170069"/>
    <w:rsid w:val="001703D7"/>
    <w:rsid w:val="00170587"/>
    <w:rsid w:val="00170A23"/>
    <w:rsid w:val="00171A03"/>
    <w:rsid w:val="00171E9E"/>
    <w:rsid w:val="0017204C"/>
    <w:rsid w:val="00172330"/>
    <w:rsid w:val="00172B79"/>
    <w:rsid w:val="00172E92"/>
    <w:rsid w:val="00173878"/>
    <w:rsid w:val="001743CB"/>
    <w:rsid w:val="0017454D"/>
    <w:rsid w:val="001746DB"/>
    <w:rsid w:val="00175AB4"/>
    <w:rsid w:val="00176BC8"/>
    <w:rsid w:val="00176DC9"/>
    <w:rsid w:val="00177A2B"/>
    <w:rsid w:val="00177F01"/>
    <w:rsid w:val="001809B3"/>
    <w:rsid w:val="0018164E"/>
    <w:rsid w:val="00182258"/>
    <w:rsid w:val="0018252A"/>
    <w:rsid w:val="00182F32"/>
    <w:rsid w:val="00183221"/>
    <w:rsid w:val="00183507"/>
    <w:rsid w:val="00183594"/>
    <w:rsid w:val="00183BF7"/>
    <w:rsid w:val="00184398"/>
    <w:rsid w:val="00184936"/>
    <w:rsid w:val="00184F2F"/>
    <w:rsid w:val="001854A0"/>
    <w:rsid w:val="00186B7B"/>
    <w:rsid w:val="00187403"/>
    <w:rsid w:val="0018795A"/>
    <w:rsid w:val="00187B5A"/>
    <w:rsid w:val="00187CD1"/>
    <w:rsid w:val="00190466"/>
    <w:rsid w:val="00190C5E"/>
    <w:rsid w:val="0019132F"/>
    <w:rsid w:val="00191FE2"/>
    <w:rsid w:val="00192594"/>
    <w:rsid w:val="00192C3B"/>
    <w:rsid w:val="00193DAB"/>
    <w:rsid w:val="00195984"/>
    <w:rsid w:val="00195C6E"/>
    <w:rsid w:val="00195CAF"/>
    <w:rsid w:val="00195E40"/>
    <w:rsid w:val="00196C3C"/>
    <w:rsid w:val="001975D6"/>
    <w:rsid w:val="00197CDA"/>
    <w:rsid w:val="001A01D9"/>
    <w:rsid w:val="001A0945"/>
    <w:rsid w:val="001A1D2A"/>
    <w:rsid w:val="001A306D"/>
    <w:rsid w:val="001A33E3"/>
    <w:rsid w:val="001A56AF"/>
    <w:rsid w:val="001A5CDE"/>
    <w:rsid w:val="001A5F2D"/>
    <w:rsid w:val="001A64BB"/>
    <w:rsid w:val="001A6DCA"/>
    <w:rsid w:val="001A7B4A"/>
    <w:rsid w:val="001B1C19"/>
    <w:rsid w:val="001B3C77"/>
    <w:rsid w:val="001B41AC"/>
    <w:rsid w:val="001B5E81"/>
    <w:rsid w:val="001B60EB"/>
    <w:rsid w:val="001B65AD"/>
    <w:rsid w:val="001B65E4"/>
    <w:rsid w:val="001B6796"/>
    <w:rsid w:val="001B6CCF"/>
    <w:rsid w:val="001B6E49"/>
    <w:rsid w:val="001B763A"/>
    <w:rsid w:val="001C1494"/>
    <w:rsid w:val="001C1516"/>
    <w:rsid w:val="001C18D8"/>
    <w:rsid w:val="001C20BD"/>
    <w:rsid w:val="001C282E"/>
    <w:rsid w:val="001C2DA6"/>
    <w:rsid w:val="001C3F70"/>
    <w:rsid w:val="001C4F8A"/>
    <w:rsid w:val="001C5B25"/>
    <w:rsid w:val="001C731D"/>
    <w:rsid w:val="001C7A6F"/>
    <w:rsid w:val="001D059C"/>
    <w:rsid w:val="001D10A3"/>
    <w:rsid w:val="001D1732"/>
    <w:rsid w:val="001D191B"/>
    <w:rsid w:val="001D1CA7"/>
    <w:rsid w:val="001D20EB"/>
    <w:rsid w:val="001D2280"/>
    <w:rsid w:val="001D3F3E"/>
    <w:rsid w:val="001D3FFB"/>
    <w:rsid w:val="001D438B"/>
    <w:rsid w:val="001D6750"/>
    <w:rsid w:val="001D7375"/>
    <w:rsid w:val="001D7B80"/>
    <w:rsid w:val="001E0513"/>
    <w:rsid w:val="001E0F32"/>
    <w:rsid w:val="001E1648"/>
    <w:rsid w:val="001E18A1"/>
    <w:rsid w:val="001E298A"/>
    <w:rsid w:val="001E3E7B"/>
    <w:rsid w:val="001E49F5"/>
    <w:rsid w:val="001E4A23"/>
    <w:rsid w:val="001E5581"/>
    <w:rsid w:val="001E5E5C"/>
    <w:rsid w:val="001E6723"/>
    <w:rsid w:val="001E6906"/>
    <w:rsid w:val="001E6C92"/>
    <w:rsid w:val="001E76D3"/>
    <w:rsid w:val="001F0C06"/>
    <w:rsid w:val="001F143F"/>
    <w:rsid w:val="001F164A"/>
    <w:rsid w:val="001F23F0"/>
    <w:rsid w:val="001F24CE"/>
    <w:rsid w:val="001F252B"/>
    <w:rsid w:val="001F2A49"/>
    <w:rsid w:val="001F3D44"/>
    <w:rsid w:val="001F41C5"/>
    <w:rsid w:val="001F462A"/>
    <w:rsid w:val="001F516F"/>
    <w:rsid w:val="001F534F"/>
    <w:rsid w:val="001F545C"/>
    <w:rsid w:val="001F5521"/>
    <w:rsid w:val="001F585A"/>
    <w:rsid w:val="001F5C34"/>
    <w:rsid w:val="001F5E46"/>
    <w:rsid w:val="001F6055"/>
    <w:rsid w:val="001F7AC3"/>
    <w:rsid w:val="00201D80"/>
    <w:rsid w:val="00201E08"/>
    <w:rsid w:val="00201F48"/>
    <w:rsid w:val="00202209"/>
    <w:rsid w:val="0020285F"/>
    <w:rsid w:val="00202D83"/>
    <w:rsid w:val="00203A0D"/>
    <w:rsid w:val="00204BC8"/>
    <w:rsid w:val="00205AEF"/>
    <w:rsid w:val="00205E8F"/>
    <w:rsid w:val="00206209"/>
    <w:rsid w:val="00206679"/>
    <w:rsid w:val="00206778"/>
    <w:rsid w:val="00207E94"/>
    <w:rsid w:val="0021084C"/>
    <w:rsid w:val="00210C93"/>
    <w:rsid w:val="00212D41"/>
    <w:rsid w:val="00212D62"/>
    <w:rsid w:val="0021387A"/>
    <w:rsid w:val="00213C9B"/>
    <w:rsid w:val="00214626"/>
    <w:rsid w:val="002148E3"/>
    <w:rsid w:val="00214AB0"/>
    <w:rsid w:val="002150D3"/>
    <w:rsid w:val="0021626E"/>
    <w:rsid w:val="002169EA"/>
    <w:rsid w:val="00216A49"/>
    <w:rsid w:val="0021746F"/>
    <w:rsid w:val="00217D61"/>
    <w:rsid w:val="002207F2"/>
    <w:rsid w:val="002216F2"/>
    <w:rsid w:val="00221960"/>
    <w:rsid w:val="00222132"/>
    <w:rsid w:val="0022341E"/>
    <w:rsid w:val="00223441"/>
    <w:rsid w:val="00224451"/>
    <w:rsid w:val="002247AE"/>
    <w:rsid w:val="002247F3"/>
    <w:rsid w:val="00224CBF"/>
    <w:rsid w:val="00225510"/>
    <w:rsid w:val="00226793"/>
    <w:rsid w:val="00226DD0"/>
    <w:rsid w:val="00227233"/>
    <w:rsid w:val="00227E47"/>
    <w:rsid w:val="002302A5"/>
    <w:rsid w:val="0023163B"/>
    <w:rsid w:val="002317BB"/>
    <w:rsid w:val="00231904"/>
    <w:rsid w:val="00232776"/>
    <w:rsid w:val="002339E4"/>
    <w:rsid w:val="00233AB2"/>
    <w:rsid w:val="00234091"/>
    <w:rsid w:val="002343BF"/>
    <w:rsid w:val="00234BA6"/>
    <w:rsid w:val="00234D80"/>
    <w:rsid w:val="0023630C"/>
    <w:rsid w:val="00236672"/>
    <w:rsid w:val="002367FB"/>
    <w:rsid w:val="00237D95"/>
    <w:rsid w:val="00240AFA"/>
    <w:rsid w:val="0024119F"/>
    <w:rsid w:val="00241683"/>
    <w:rsid w:val="00241D9B"/>
    <w:rsid w:val="0024226F"/>
    <w:rsid w:val="00242C40"/>
    <w:rsid w:val="002434C9"/>
    <w:rsid w:val="00243F20"/>
    <w:rsid w:val="00244E4A"/>
    <w:rsid w:val="00245854"/>
    <w:rsid w:val="00245A6E"/>
    <w:rsid w:val="00245CF6"/>
    <w:rsid w:val="0024642F"/>
    <w:rsid w:val="00247155"/>
    <w:rsid w:val="0024715E"/>
    <w:rsid w:val="0025000A"/>
    <w:rsid w:val="00250751"/>
    <w:rsid w:val="00250838"/>
    <w:rsid w:val="0025126B"/>
    <w:rsid w:val="00251C39"/>
    <w:rsid w:val="00251DFE"/>
    <w:rsid w:val="002525F2"/>
    <w:rsid w:val="00252645"/>
    <w:rsid w:val="00255131"/>
    <w:rsid w:val="002554A9"/>
    <w:rsid w:val="002556BB"/>
    <w:rsid w:val="00255C95"/>
    <w:rsid w:val="00256169"/>
    <w:rsid w:val="002564AA"/>
    <w:rsid w:val="002577CA"/>
    <w:rsid w:val="00257BA4"/>
    <w:rsid w:val="00257DDB"/>
    <w:rsid w:val="00260C28"/>
    <w:rsid w:val="00261432"/>
    <w:rsid w:val="002626EC"/>
    <w:rsid w:val="0026436A"/>
    <w:rsid w:val="002644F5"/>
    <w:rsid w:val="0026458C"/>
    <w:rsid w:val="00264D4D"/>
    <w:rsid w:val="002652A9"/>
    <w:rsid w:val="002658CA"/>
    <w:rsid w:val="00265E2D"/>
    <w:rsid w:val="00266B7F"/>
    <w:rsid w:val="00266BD5"/>
    <w:rsid w:val="00267503"/>
    <w:rsid w:val="00267BE9"/>
    <w:rsid w:val="00270261"/>
    <w:rsid w:val="00270D22"/>
    <w:rsid w:val="00271C51"/>
    <w:rsid w:val="002728BC"/>
    <w:rsid w:val="00272EFF"/>
    <w:rsid w:val="002734CA"/>
    <w:rsid w:val="00274066"/>
    <w:rsid w:val="002762E5"/>
    <w:rsid w:val="002768FD"/>
    <w:rsid w:val="00276CA7"/>
    <w:rsid w:val="002770C3"/>
    <w:rsid w:val="002778EA"/>
    <w:rsid w:val="002810EB"/>
    <w:rsid w:val="00282AB9"/>
    <w:rsid w:val="00283409"/>
    <w:rsid w:val="002838F0"/>
    <w:rsid w:val="00283C39"/>
    <w:rsid w:val="00283DDC"/>
    <w:rsid w:val="0028420A"/>
    <w:rsid w:val="00284A73"/>
    <w:rsid w:val="00285CFD"/>
    <w:rsid w:val="00285E6E"/>
    <w:rsid w:val="00286792"/>
    <w:rsid w:val="00286ABF"/>
    <w:rsid w:val="00287759"/>
    <w:rsid w:val="00291108"/>
    <w:rsid w:val="00291259"/>
    <w:rsid w:val="0029184D"/>
    <w:rsid w:val="002926E9"/>
    <w:rsid w:val="002934B7"/>
    <w:rsid w:val="00293FCB"/>
    <w:rsid w:val="002941FF"/>
    <w:rsid w:val="002944B2"/>
    <w:rsid w:val="00294B6F"/>
    <w:rsid w:val="0029548E"/>
    <w:rsid w:val="00296AF2"/>
    <w:rsid w:val="00296C06"/>
    <w:rsid w:val="002970DD"/>
    <w:rsid w:val="00297CD1"/>
    <w:rsid w:val="002A0965"/>
    <w:rsid w:val="002A0EDF"/>
    <w:rsid w:val="002A1268"/>
    <w:rsid w:val="002A1609"/>
    <w:rsid w:val="002A1857"/>
    <w:rsid w:val="002A339D"/>
    <w:rsid w:val="002A439E"/>
    <w:rsid w:val="002A46D0"/>
    <w:rsid w:val="002A47BB"/>
    <w:rsid w:val="002A5097"/>
    <w:rsid w:val="002A50C9"/>
    <w:rsid w:val="002A57D1"/>
    <w:rsid w:val="002A5A4B"/>
    <w:rsid w:val="002A5A7C"/>
    <w:rsid w:val="002A5C7D"/>
    <w:rsid w:val="002A5E75"/>
    <w:rsid w:val="002A768F"/>
    <w:rsid w:val="002A7E65"/>
    <w:rsid w:val="002B0BC1"/>
    <w:rsid w:val="002B15C3"/>
    <w:rsid w:val="002B18C1"/>
    <w:rsid w:val="002B1FAE"/>
    <w:rsid w:val="002B27DA"/>
    <w:rsid w:val="002B35EE"/>
    <w:rsid w:val="002B36C3"/>
    <w:rsid w:val="002B3BEE"/>
    <w:rsid w:val="002B4663"/>
    <w:rsid w:val="002B485F"/>
    <w:rsid w:val="002B5065"/>
    <w:rsid w:val="002B510F"/>
    <w:rsid w:val="002B5805"/>
    <w:rsid w:val="002B58EE"/>
    <w:rsid w:val="002B635A"/>
    <w:rsid w:val="002B63D7"/>
    <w:rsid w:val="002B73BC"/>
    <w:rsid w:val="002B761E"/>
    <w:rsid w:val="002C0FA1"/>
    <w:rsid w:val="002C13BA"/>
    <w:rsid w:val="002C1D60"/>
    <w:rsid w:val="002C1D8F"/>
    <w:rsid w:val="002C2844"/>
    <w:rsid w:val="002C28D9"/>
    <w:rsid w:val="002C4094"/>
    <w:rsid w:val="002C414A"/>
    <w:rsid w:val="002C47D2"/>
    <w:rsid w:val="002C47DD"/>
    <w:rsid w:val="002C4E3F"/>
    <w:rsid w:val="002C515E"/>
    <w:rsid w:val="002C5397"/>
    <w:rsid w:val="002C56FA"/>
    <w:rsid w:val="002C5916"/>
    <w:rsid w:val="002C6C5A"/>
    <w:rsid w:val="002C738D"/>
    <w:rsid w:val="002C7F82"/>
    <w:rsid w:val="002D0368"/>
    <w:rsid w:val="002D1038"/>
    <w:rsid w:val="002D1622"/>
    <w:rsid w:val="002D2ED8"/>
    <w:rsid w:val="002D468D"/>
    <w:rsid w:val="002D4CFA"/>
    <w:rsid w:val="002D4FD1"/>
    <w:rsid w:val="002D52ED"/>
    <w:rsid w:val="002D5576"/>
    <w:rsid w:val="002D6205"/>
    <w:rsid w:val="002D63AF"/>
    <w:rsid w:val="002D72DF"/>
    <w:rsid w:val="002D748C"/>
    <w:rsid w:val="002D74DE"/>
    <w:rsid w:val="002D7C52"/>
    <w:rsid w:val="002D7D8A"/>
    <w:rsid w:val="002E0BD9"/>
    <w:rsid w:val="002E0DA5"/>
    <w:rsid w:val="002E1C54"/>
    <w:rsid w:val="002E3186"/>
    <w:rsid w:val="002E46BC"/>
    <w:rsid w:val="002E4902"/>
    <w:rsid w:val="002E49B0"/>
    <w:rsid w:val="002E5744"/>
    <w:rsid w:val="002E5C61"/>
    <w:rsid w:val="002E6764"/>
    <w:rsid w:val="002E6B0E"/>
    <w:rsid w:val="002E6B1D"/>
    <w:rsid w:val="002E7247"/>
    <w:rsid w:val="002E7E24"/>
    <w:rsid w:val="002F03E2"/>
    <w:rsid w:val="002F0878"/>
    <w:rsid w:val="002F0D9E"/>
    <w:rsid w:val="002F0E7A"/>
    <w:rsid w:val="002F35B7"/>
    <w:rsid w:val="002F482B"/>
    <w:rsid w:val="002F4D72"/>
    <w:rsid w:val="002F5D66"/>
    <w:rsid w:val="002F5DFE"/>
    <w:rsid w:val="002F7D67"/>
    <w:rsid w:val="002F7F4F"/>
    <w:rsid w:val="00301474"/>
    <w:rsid w:val="00302203"/>
    <w:rsid w:val="00302258"/>
    <w:rsid w:val="003024BC"/>
    <w:rsid w:val="003029EF"/>
    <w:rsid w:val="00302A25"/>
    <w:rsid w:val="00302A91"/>
    <w:rsid w:val="00302D36"/>
    <w:rsid w:val="0030435D"/>
    <w:rsid w:val="0030441C"/>
    <w:rsid w:val="0030472D"/>
    <w:rsid w:val="00304A66"/>
    <w:rsid w:val="00304B9A"/>
    <w:rsid w:val="003056C1"/>
    <w:rsid w:val="0030623E"/>
    <w:rsid w:val="00306A92"/>
    <w:rsid w:val="00306EB6"/>
    <w:rsid w:val="00307AA9"/>
    <w:rsid w:val="00307D2F"/>
    <w:rsid w:val="00310471"/>
    <w:rsid w:val="0031090A"/>
    <w:rsid w:val="00310EC3"/>
    <w:rsid w:val="00311CCE"/>
    <w:rsid w:val="0031211A"/>
    <w:rsid w:val="0031331F"/>
    <w:rsid w:val="003149AA"/>
    <w:rsid w:val="00315EBF"/>
    <w:rsid w:val="00315F18"/>
    <w:rsid w:val="00316734"/>
    <w:rsid w:val="00316E3B"/>
    <w:rsid w:val="00321BED"/>
    <w:rsid w:val="003225C6"/>
    <w:rsid w:val="0032383B"/>
    <w:rsid w:val="00324581"/>
    <w:rsid w:val="00324EA9"/>
    <w:rsid w:val="00324EDC"/>
    <w:rsid w:val="00325186"/>
    <w:rsid w:val="003253E0"/>
    <w:rsid w:val="0032558B"/>
    <w:rsid w:val="003262FB"/>
    <w:rsid w:val="003267D2"/>
    <w:rsid w:val="003309F8"/>
    <w:rsid w:val="00330DD8"/>
    <w:rsid w:val="00331816"/>
    <w:rsid w:val="00331865"/>
    <w:rsid w:val="003319E6"/>
    <w:rsid w:val="003319EE"/>
    <w:rsid w:val="003322D9"/>
    <w:rsid w:val="003331C0"/>
    <w:rsid w:val="0033342B"/>
    <w:rsid w:val="003335C6"/>
    <w:rsid w:val="003338A0"/>
    <w:rsid w:val="00333E3E"/>
    <w:rsid w:val="00334457"/>
    <w:rsid w:val="0033717C"/>
    <w:rsid w:val="00337599"/>
    <w:rsid w:val="0034126E"/>
    <w:rsid w:val="00341687"/>
    <w:rsid w:val="0034171E"/>
    <w:rsid w:val="00341F4D"/>
    <w:rsid w:val="00342682"/>
    <w:rsid w:val="00342B58"/>
    <w:rsid w:val="00343868"/>
    <w:rsid w:val="00344F4B"/>
    <w:rsid w:val="00345B70"/>
    <w:rsid w:val="00346DFF"/>
    <w:rsid w:val="0034718C"/>
    <w:rsid w:val="0034760B"/>
    <w:rsid w:val="00350C8F"/>
    <w:rsid w:val="00351A3B"/>
    <w:rsid w:val="003520E4"/>
    <w:rsid w:val="00352F18"/>
    <w:rsid w:val="00353187"/>
    <w:rsid w:val="00353452"/>
    <w:rsid w:val="00353609"/>
    <w:rsid w:val="003555AD"/>
    <w:rsid w:val="003558C7"/>
    <w:rsid w:val="00355F21"/>
    <w:rsid w:val="0035708B"/>
    <w:rsid w:val="00357411"/>
    <w:rsid w:val="003577C2"/>
    <w:rsid w:val="00357C4C"/>
    <w:rsid w:val="00357C89"/>
    <w:rsid w:val="003618AB"/>
    <w:rsid w:val="00362063"/>
    <w:rsid w:val="00362124"/>
    <w:rsid w:val="003621A0"/>
    <w:rsid w:val="003624A8"/>
    <w:rsid w:val="003627BB"/>
    <w:rsid w:val="0036341B"/>
    <w:rsid w:val="003655F7"/>
    <w:rsid w:val="00366E19"/>
    <w:rsid w:val="00367E39"/>
    <w:rsid w:val="003715C6"/>
    <w:rsid w:val="003717B3"/>
    <w:rsid w:val="003722ED"/>
    <w:rsid w:val="003726AE"/>
    <w:rsid w:val="003733E9"/>
    <w:rsid w:val="0037377D"/>
    <w:rsid w:val="00373BAA"/>
    <w:rsid w:val="003741FF"/>
    <w:rsid w:val="00374D9F"/>
    <w:rsid w:val="00374FC0"/>
    <w:rsid w:val="003753D7"/>
    <w:rsid w:val="003757B1"/>
    <w:rsid w:val="0037625C"/>
    <w:rsid w:val="003765A5"/>
    <w:rsid w:val="0037732A"/>
    <w:rsid w:val="003779AC"/>
    <w:rsid w:val="003779C3"/>
    <w:rsid w:val="00380462"/>
    <w:rsid w:val="003807E9"/>
    <w:rsid w:val="00380E1E"/>
    <w:rsid w:val="00380F7A"/>
    <w:rsid w:val="00382546"/>
    <w:rsid w:val="003827EF"/>
    <w:rsid w:val="00384667"/>
    <w:rsid w:val="00385233"/>
    <w:rsid w:val="00386897"/>
    <w:rsid w:val="00386B9C"/>
    <w:rsid w:val="00387D92"/>
    <w:rsid w:val="00390878"/>
    <w:rsid w:val="00390C6E"/>
    <w:rsid w:val="003912C6"/>
    <w:rsid w:val="0039132E"/>
    <w:rsid w:val="003918DB"/>
    <w:rsid w:val="00391D54"/>
    <w:rsid w:val="00391DB3"/>
    <w:rsid w:val="00391FBF"/>
    <w:rsid w:val="003922F8"/>
    <w:rsid w:val="00393005"/>
    <w:rsid w:val="00393B21"/>
    <w:rsid w:val="00395210"/>
    <w:rsid w:val="00395622"/>
    <w:rsid w:val="0039584A"/>
    <w:rsid w:val="00396466"/>
    <w:rsid w:val="00396D00"/>
    <w:rsid w:val="0039702C"/>
    <w:rsid w:val="003A0142"/>
    <w:rsid w:val="003A1A44"/>
    <w:rsid w:val="003A255C"/>
    <w:rsid w:val="003A3099"/>
    <w:rsid w:val="003A32C1"/>
    <w:rsid w:val="003A35B6"/>
    <w:rsid w:val="003A3A11"/>
    <w:rsid w:val="003A452F"/>
    <w:rsid w:val="003A4632"/>
    <w:rsid w:val="003A509B"/>
    <w:rsid w:val="003A681A"/>
    <w:rsid w:val="003A6852"/>
    <w:rsid w:val="003A783F"/>
    <w:rsid w:val="003A78E2"/>
    <w:rsid w:val="003A7A63"/>
    <w:rsid w:val="003A7C8B"/>
    <w:rsid w:val="003A7FE8"/>
    <w:rsid w:val="003B0AB1"/>
    <w:rsid w:val="003B0C44"/>
    <w:rsid w:val="003B1E63"/>
    <w:rsid w:val="003B2DE1"/>
    <w:rsid w:val="003B3652"/>
    <w:rsid w:val="003B36F4"/>
    <w:rsid w:val="003B45B0"/>
    <w:rsid w:val="003B6784"/>
    <w:rsid w:val="003B69C2"/>
    <w:rsid w:val="003B722A"/>
    <w:rsid w:val="003C00A0"/>
    <w:rsid w:val="003C0CDF"/>
    <w:rsid w:val="003C1113"/>
    <w:rsid w:val="003C18AB"/>
    <w:rsid w:val="003C1C07"/>
    <w:rsid w:val="003C20D0"/>
    <w:rsid w:val="003C2C27"/>
    <w:rsid w:val="003C3182"/>
    <w:rsid w:val="003C445C"/>
    <w:rsid w:val="003C4748"/>
    <w:rsid w:val="003C4BBD"/>
    <w:rsid w:val="003C5150"/>
    <w:rsid w:val="003C545A"/>
    <w:rsid w:val="003C592E"/>
    <w:rsid w:val="003C6C0B"/>
    <w:rsid w:val="003C7778"/>
    <w:rsid w:val="003C77E2"/>
    <w:rsid w:val="003C78C6"/>
    <w:rsid w:val="003D0F0B"/>
    <w:rsid w:val="003D1887"/>
    <w:rsid w:val="003D22F7"/>
    <w:rsid w:val="003D2ADE"/>
    <w:rsid w:val="003D3D47"/>
    <w:rsid w:val="003D42EC"/>
    <w:rsid w:val="003D4CAA"/>
    <w:rsid w:val="003D54FC"/>
    <w:rsid w:val="003D572E"/>
    <w:rsid w:val="003D5A08"/>
    <w:rsid w:val="003D6EDF"/>
    <w:rsid w:val="003D6EF5"/>
    <w:rsid w:val="003D7FAF"/>
    <w:rsid w:val="003E03C2"/>
    <w:rsid w:val="003E1B5A"/>
    <w:rsid w:val="003E28EA"/>
    <w:rsid w:val="003E2EBF"/>
    <w:rsid w:val="003E3867"/>
    <w:rsid w:val="003E498A"/>
    <w:rsid w:val="003E4F33"/>
    <w:rsid w:val="003E5C97"/>
    <w:rsid w:val="003E5DFB"/>
    <w:rsid w:val="003E629D"/>
    <w:rsid w:val="003E72E0"/>
    <w:rsid w:val="003E72E9"/>
    <w:rsid w:val="003F02B6"/>
    <w:rsid w:val="003F0589"/>
    <w:rsid w:val="003F09C7"/>
    <w:rsid w:val="003F0C7F"/>
    <w:rsid w:val="003F244D"/>
    <w:rsid w:val="003F2514"/>
    <w:rsid w:val="003F2C9E"/>
    <w:rsid w:val="003F2CC2"/>
    <w:rsid w:val="003F3174"/>
    <w:rsid w:val="003F3E23"/>
    <w:rsid w:val="003F3E4F"/>
    <w:rsid w:val="003F3E50"/>
    <w:rsid w:val="003F49A3"/>
    <w:rsid w:val="003F537A"/>
    <w:rsid w:val="003F6B45"/>
    <w:rsid w:val="003F7E58"/>
    <w:rsid w:val="003F7FB4"/>
    <w:rsid w:val="004003CC"/>
    <w:rsid w:val="004005CF"/>
    <w:rsid w:val="00400892"/>
    <w:rsid w:val="00400A28"/>
    <w:rsid w:val="0040100D"/>
    <w:rsid w:val="00401DE8"/>
    <w:rsid w:val="004020D7"/>
    <w:rsid w:val="00403380"/>
    <w:rsid w:val="004037EA"/>
    <w:rsid w:val="0040485D"/>
    <w:rsid w:val="00404A30"/>
    <w:rsid w:val="0040525E"/>
    <w:rsid w:val="004052DA"/>
    <w:rsid w:val="004075A9"/>
    <w:rsid w:val="004077D9"/>
    <w:rsid w:val="0041040F"/>
    <w:rsid w:val="004105AF"/>
    <w:rsid w:val="0041070C"/>
    <w:rsid w:val="004108C3"/>
    <w:rsid w:val="00411249"/>
    <w:rsid w:val="00412711"/>
    <w:rsid w:val="00412EDD"/>
    <w:rsid w:val="0041342D"/>
    <w:rsid w:val="00413CCA"/>
    <w:rsid w:val="00414437"/>
    <w:rsid w:val="00414470"/>
    <w:rsid w:val="00415150"/>
    <w:rsid w:val="00416153"/>
    <w:rsid w:val="0041770B"/>
    <w:rsid w:val="004224EC"/>
    <w:rsid w:val="004226DE"/>
    <w:rsid w:val="00423E17"/>
    <w:rsid w:val="00424146"/>
    <w:rsid w:val="0042547A"/>
    <w:rsid w:val="004257BF"/>
    <w:rsid w:val="00426BC1"/>
    <w:rsid w:val="004276A6"/>
    <w:rsid w:val="00431234"/>
    <w:rsid w:val="0043170D"/>
    <w:rsid w:val="00434254"/>
    <w:rsid w:val="0043450D"/>
    <w:rsid w:val="004346C1"/>
    <w:rsid w:val="00435491"/>
    <w:rsid w:val="00435D45"/>
    <w:rsid w:val="0044032A"/>
    <w:rsid w:val="00442634"/>
    <w:rsid w:val="00442C93"/>
    <w:rsid w:val="004431D9"/>
    <w:rsid w:val="00443DE4"/>
    <w:rsid w:val="00444A01"/>
    <w:rsid w:val="00444EFD"/>
    <w:rsid w:val="00446ACE"/>
    <w:rsid w:val="004477EF"/>
    <w:rsid w:val="00447840"/>
    <w:rsid w:val="00447F42"/>
    <w:rsid w:val="00450ED9"/>
    <w:rsid w:val="00450F55"/>
    <w:rsid w:val="004516AB"/>
    <w:rsid w:val="00451909"/>
    <w:rsid w:val="00451A7F"/>
    <w:rsid w:val="00452549"/>
    <w:rsid w:val="0045539C"/>
    <w:rsid w:val="00455CB3"/>
    <w:rsid w:val="00456760"/>
    <w:rsid w:val="00456CD8"/>
    <w:rsid w:val="00456ECE"/>
    <w:rsid w:val="00457CE8"/>
    <w:rsid w:val="00460B96"/>
    <w:rsid w:val="0046117A"/>
    <w:rsid w:val="00461383"/>
    <w:rsid w:val="0046284A"/>
    <w:rsid w:val="00462D19"/>
    <w:rsid w:val="004632C9"/>
    <w:rsid w:val="00463AF7"/>
    <w:rsid w:val="0046464F"/>
    <w:rsid w:val="0046466F"/>
    <w:rsid w:val="00464B84"/>
    <w:rsid w:val="00465696"/>
    <w:rsid w:val="00465CE7"/>
    <w:rsid w:val="004660CF"/>
    <w:rsid w:val="00466B10"/>
    <w:rsid w:val="00467A05"/>
    <w:rsid w:val="00467F09"/>
    <w:rsid w:val="004700B6"/>
    <w:rsid w:val="00471261"/>
    <w:rsid w:val="004723C1"/>
    <w:rsid w:val="00473385"/>
    <w:rsid w:val="00473BE6"/>
    <w:rsid w:val="00473F16"/>
    <w:rsid w:val="00475491"/>
    <w:rsid w:val="00475AD2"/>
    <w:rsid w:val="0047620C"/>
    <w:rsid w:val="00476EF2"/>
    <w:rsid w:val="00480430"/>
    <w:rsid w:val="00480C8B"/>
    <w:rsid w:val="0048142E"/>
    <w:rsid w:val="00482083"/>
    <w:rsid w:val="00482AFD"/>
    <w:rsid w:val="0048390C"/>
    <w:rsid w:val="00483BA4"/>
    <w:rsid w:val="00483CB4"/>
    <w:rsid w:val="00483EEC"/>
    <w:rsid w:val="004843D4"/>
    <w:rsid w:val="0048474B"/>
    <w:rsid w:val="00484FC4"/>
    <w:rsid w:val="00485C59"/>
    <w:rsid w:val="0048666F"/>
    <w:rsid w:val="00486B5A"/>
    <w:rsid w:val="00486E0B"/>
    <w:rsid w:val="00487281"/>
    <w:rsid w:val="004906CD"/>
    <w:rsid w:val="00491844"/>
    <w:rsid w:val="00491B09"/>
    <w:rsid w:val="00491CD9"/>
    <w:rsid w:val="00492221"/>
    <w:rsid w:val="00492477"/>
    <w:rsid w:val="00492776"/>
    <w:rsid w:val="00492A66"/>
    <w:rsid w:val="004932A3"/>
    <w:rsid w:val="004932AB"/>
    <w:rsid w:val="00493CD0"/>
    <w:rsid w:val="0049522F"/>
    <w:rsid w:val="0049588C"/>
    <w:rsid w:val="004958AE"/>
    <w:rsid w:val="0049591A"/>
    <w:rsid w:val="00496678"/>
    <w:rsid w:val="004970A7"/>
    <w:rsid w:val="0049718E"/>
    <w:rsid w:val="004A162A"/>
    <w:rsid w:val="004A17FE"/>
    <w:rsid w:val="004A26BD"/>
    <w:rsid w:val="004A2857"/>
    <w:rsid w:val="004A293D"/>
    <w:rsid w:val="004A3AAB"/>
    <w:rsid w:val="004A42D2"/>
    <w:rsid w:val="004A4738"/>
    <w:rsid w:val="004A473B"/>
    <w:rsid w:val="004A4922"/>
    <w:rsid w:val="004A6EBB"/>
    <w:rsid w:val="004A7B98"/>
    <w:rsid w:val="004A7CC6"/>
    <w:rsid w:val="004A7D21"/>
    <w:rsid w:val="004B0116"/>
    <w:rsid w:val="004B0B04"/>
    <w:rsid w:val="004B1624"/>
    <w:rsid w:val="004B16A8"/>
    <w:rsid w:val="004B1E96"/>
    <w:rsid w:val="004B23E1"/>
    <w:rsid w:val="004B3767"/>
    <w:rsid w:val="004B588B"/>
    <w:rsid w:val="004B5925"/>
    <w:rsid w:val="004B6824"/>
    <w:rsid w:val="004B733C"/>
    <w:rsid w:val="004C0706"/>
    <w:rsid w:val="004C0E4C"/>
    <w:rsid w:val="004C0FC6"/>
    <w:rsid w:val="004C1731"/>
    <w:rsid w:val="004C1A4E"/>
    <w:rsid w:val="004C2014"/>
    <w:rsid w:val="004C2157"/>
    <w:rsid w:val="004C2E2D"/>
    <w:rsid w:val="004C324B"/>
    <w:rsid w:val="004C33DF"/>
    <w:rsid w:val="004C4857"/>
    <w:rsid w:val="004C5894"/>
    <w:rsid w:val="004C646E"/>
    <w:rsid w:val="004C6C2B"/>
    <w:rsid w:val="004C6CA0"/>
    <w:rsid w:val="004C6E82"/>
    <w:rsid w:val="004C7474"/>
    <w:rsid w:val="004C79D5"/>
    <w:rsid w:val="004D208E"/>
    <w:rsid w:val="004D43C0"/>
    <w:rsid w:val="004D4EEE"/>
    <w:rsid w:val="004D5D6A"/>
    <w:rsid w:val="004D64FC"/>
    <w:rsid w:val="004D665C"/>
    <w:rsid w:val="004D6924"/>
    <w:rsid w:val="004D6F7C"/>
    <w:rsid w:val="004D71FD"/>
    <w:rsid w:val="004D73CC"/>
    <w:rsid w:val="004D7E3C"/>
    <w:rsid w:val="004E0A18"/>
    <w:rsid w:val="004E0BC2"/>
    <w:rsid w:val="004E1A65"/>
    <w:rsid w:val="004E1C27"/>
    <w:rsid w:val="004E1CDE"/>
    <w:rsid w:val="004E1D9D"/>
    <w:rsid w:val="004E2A38"/>
    <w:rsid w:val="004E2B8B"/>
    <w:rsid w:val="004E4889"/>
    <w:rsid w:val="004E49AE"/>
    <w:rsid w:val="004E4E2E"/>
    <w:rsid w:val="004E50A7"/>
    <w:rsid w:val="004E5176"/>
    <w:rsid w:val="004E5ADB"/>
    <w:rsid w:val="004E6554"/>
    <w:rsid w:val="004E73C3"/>
    <w:rsid w:val="004E7611"/>
    <w:rsid w:val="004E7783"/>
    <w:rsid w:val="004E78BD"/>
    <w:rsid w:val="004E79A1"/>
    <w:rsid w:val="004E7B04"/>
    <w:rsid w:val="004F00C6"/>
    <w:rsid w:val="004F0657"/>
    <w:rsid w:val="004F1E5F"/>
    <w:rsid w:val="004F25C0"/>
    <w:rsid w:val="004F28EA"/>
    <w:rsid w:val="004F37D0"/>
    <w:rsid w:val="004F3BFF"/>
    <w:rsid w:val="004F4E70"/>
    <w:rsid w:val="004F4FA1"/>
    <w:rsid w:val="004F4FB1"/>
    <w:rsid w:val="004F658E"/>
    <w:rsid w:val="0050045A"/>
    <w:rsid w:val="00500571"/>
    <w:rsid w:val="00500C2B"/>
    <w:rsid w:val="005014F7"/>
    <w:rsid w:val="00501A45"/>
    <w:rsid w:val="00501DEA"/>
    <w:rsid w:val="00502209"/>
    <w:rsid w:val="00503A63"/>
    <w:rsid w:val="005048B1"/>
    <w:rsid w:val="00504C0C"/>
    <w:rsid w:val="0050675C"/>
    <w:rsid w:val="00507C24"/>
    <w:rsid w:val="0051087E"/>
    <w:rsid w:val="00511669"/>
    <w:rsid w:val="00511A57"/>
    <w:rsid w:val="00511F43"/>
    <w:rsid w:val="005125E9"/>
    <w:rsid w:val="0051262C"/>
    <w:rsid w:val="0051301C"/>
    <w:rsid w:val="00514221"/>
    <w:rsid w:val="005147E8"/>
    <w:rsid w:val="00514C9D"/>
    <w:rsid w:val="00514ECA"/>
    <w:rsid w:val="005151C1"/>
    <w:rsid w:val="00516028"/>
    <w:rsid w:val="0051641C"/>
    <w:rsid w:val="005165CD"/>
    <w:rsid w:val="00516EB3"/>
    <w:rsid w:val="005176ED"/>
    <w:rsid w:val="00517C28"/>
    <w:rsid w:val="00520BC9"/>
    <w:rsid w:val="00520FF6"/>
    <w:rsid w:val="00521711"/>
    <w:rsid w:val="005217D1"/>
    <w:rsid w:val="005223F5"/>
    <w:rsid w:val="00522653"/>
    <w:rsid w:val="005227DF"/>
    <w:rsid w:val="005229E3"/>
    <w:rsid w:val="00522C59"/>
    <w:rsid w:val="0052485D"/>
    <w:rsid w:val="0052592F"/>
    <w:rsid w:val="005259F9"/>
    <w:rsid w:val="00525D55"/>
    <w:rsid w:val="00525F48"/>
    <w:rsid w:val="0052669F"/>
    <w:rsid w:val="00526AA9"/>
    <w:rsid w:val="00526C76"/>
    <w:rsid w:val="00530C49"/>
    <w:rsid w:val="0053166D"/>
    <w:rsid w:val="00531FBD"/>
    <w:rsid w:val="00532487"/>
    <w:rsid w:val="005324F5"/>
    <w:rsid w:val="00532594"/>
    <w:rsid w:val="00534599"/>
    <w:rsid w:val="0053463B"/>
    <w:rsid w:val="00535330"/>
    <w:rsid w:val="00535393"/>
    <w:rsid w:val="005353B3"/>
    <w:rsid w:val="00535467"/>
    <w:rsid w:val="00536949"/>
    <w:rsid w:val="00536DFD"/>
    <w:rsid w:val="00537605"/>
    <w:rsid w:val="0053772E"/>
    <w:rsid w:val="00540159"/>
    <w:rsid w:val="00540A3F"/>
    <w:rsid w:val="005413A0"/>
    <w:rsid w:val="00542A8B"/>
    <w:rsid w:val="00543858"/>
    <w:rsid w:val="00543ED3"/>
    <w:rsid w:val="005444AE"/>
    <w:rsid w:val="005449A3"/>
    <w:rsid w:val="00544A8A"/>
    <w:rsid w:val="005452C6"/>
    <w:rsid w:val="00545A11"/>
    <w:rsid w:val="005465BF"/>
    <w:rsid w:val="00546988"/>
    <w:rsid w:val="00546DD1"/>
    <w:rsid w:val="0055104F"/>
    <w:rsid w:val="005517E7"/>
    <w:rsid w:val="00551C09"/>
    <w:rsid w:val="00551E55"/>
    <w:rsid w:val="00551F46"/>
    <w:rsid w:val="0055223D"/>
    <w:rsid w:val="0055315D"/>
    <w:rsid w:val="005539E9"/>
    <w:rsid w:val="00553B67"/>
    <w:rsid w:val="00554574"/>
    <w:rsid w:val="0055468C"/>
    <w:rsid w:val="005551C0"/>
    <w:rsid w:val="005551D7"/>
    <w:rsid w:val="005559CB"/>
    <w:rsid w:val="00555F2D"/>
    <w:rsid w:val="005566D5"/>
    <w:rsid w:val="005573A1"/>
    <w:rsid w:val="00557BD4"/>
    <w:rsid w:val="00557D1A"/>
    <w:rsid w:val="00557DDE"/>
    <w:rsid w:val="00560045"/>
    <w:rsid w:val="005628EA"/>
    <w:rsid w:val="00562DE8"/>
    <w:rsid w:val="00562E06"/>
    <w:rsid w:val="00563811"/>
    <w:rsid w:val="00563D92"/>
    <w:rsid w:val="0056525D"/>
    <w:rsid w:val="0056536B"/>
    <w:rsid w:val="0056598D"/>
    <w:rsid w:val="00566529"/>
    <w:rsid w:val="005666C3"/>
    <w:rsid w:val="00566FD6"/>
    <w:rsid w:val="0057281B"/>
    <w:rsid w:val="00572E61"/>
    <w:rsid w:val="00572E7B"/>
    <w:rsid w:val="005731DD"/>
    <w:rsid w:val="00573F6E"/>
    <w:rsid w:val="00574928"/>
    <w:rsid w:val="00575615"/>
    <w:rsid w:val="0057609E"/>
    <w:rsid w:val="00577D6D"/>
    <w:rsid w:val="00580593"/>
    <w:rsid w:val="005806A5"/>
    <w:rsid w:val="005807B6"/>
    <w:rsid w:val="00585ED8"/>
    <w:rsid w:val="005866AE"/>
    <w:rsid w:val="00586BB3"/>
    <w:rsid w:val="00586D8B"/>
    <w:rsid w:val="00590183"/>
    <w:rsid w:val="00590EDC"/>
    <w:rsid w:val="005918F3"/>
    <w:rsid w:val="00592141"/>
    <w:rsid w:val="005921B0"/>
    <w:rsid w:val="00595077"/>
    <w:rsid w:val="0059552E"/>
    <w:rsid w:val="0059584C"/>
    <w:rsid w:val="00595D2C"/>
    <w:rsid w:val="00596673"/>
    <w:rsid w:val="00596A5A"/>
    <w:rsid w:val="00596B6E"/>
    <w:rsid w:val="0059725C"/>
    <w:rsid w:val="00597933"/>
    <w:rsid w:val="00597E63"/>
    <w:rsid w:val="005A02F2"/>
    <w:rsid w:val="005A0717"/>
    <w:rsid w:val="005A0B34"/>
    <w:rsid w:val="005A1C28"/>
    <w:rsid w:val="005A1D62"/>
    <w:rsid w:val="005A2D11"/>
    <w:rsid w:val="005A31BC"/>
    <w:rsid w:val="005A361A"/>
    <w:rsid w:val="005A61AB"/>
    <w:rsid w:val="005A658A"/>
    <w:rsid w:val="005A6716"/>
    <w:rsid w:val="005A7A26"/>
    <w:rsid w:val="005A7B7E"/>
    <w:rsid w:val="005B0BF4"/>
    <w:rsid w:val="005B0E5B"/>
    <w:rsid w:val="005B3013"/>
    <w:rsid w:val="005B316D"/>
    <w:rsid w:val="005B3293"/>
    <w:rsid w:val="005B3C5B"/>
    <w:rsid w:val="005B57DA"/>
    <w:rsid w:val="005B5DAA"/>
    <w:rsid w:val="005B6F96"/>
    <w:rsid w:val="005B773D"/>
    <w:rsid w:val="005B78A4"/>
    <w:rsid w:val="005B7AAF"/>
    <w:rsid w:val="005B7ADE"/>
    <w:rsid w:val="005B7FF7"/>
    <w:rsid w:val="005C0E25"/>
    <w:rsid w:val="005C1533"/>
    <w:rsid w:val="005C1FF6"/>
    <w:rsid w:val="005C2099"/>
    <w:rsid w:val="005C28FC"/>
    <w:rsid w:val="005C34EB"/>
    <w:rsid w:val="005C36C5"/>
    <w:rsid w:val="005C40EB"/>
    <w:rsid w:val="005C43F3"/>
    <w:rsid w:val="005C4E3E"/>
    <w:rsid w:val="005C4F3A"/>
    <w:rsid w:val="005C56E0"/>
    <w:rsid w:val="005C5C3C"/>
    <w:rsid w:val="005C7BF5"/>
    <w:rsid w:val="005D01FF"/>
    <w:rsid w:val="005D0435"/>
    <w:rsid w:val="005D09C7"/>
    <w:rsid w:val="005D1485"/>
    <w:rsid w:val="005D1632"/>
    <w:rsid w:val="005D20F2"/>
    <w:rsid w:val="005D2BF7"/>
    <w:rsid w:val="005D3646"/>
    <w:rsid w:val="005D378E"/>
    <w:rsid w:val="005D41C0"/>
    <w:rsid w:val="005D4557"/>
    <w:rsid w:val="005D5EF4"/>
    <w:rsid w:val="005D6531"/>
    <w:rsid w:val="005D712A"/>
    <w:rsid w:val="005D74D8"/>
    <w:rsid w:val="005D7D1D"/>
    <w:rsid w:val="005E0F18"/>
    <w:rsid w:val="005E155A"/>
    <w:rsid w:val="005E24F4"/>
    <w:rsid w:val="005E2E46"/>
    <w:rsid w:val="005E3539"/>
    <w:rsid w:val="005E3C1F"/>
    <w:rsid w:val="005E476E"/>
    <w:rsid w:val="005E4CDE"/>
    <w:rsid w:val="005E4F10"/>
    <w:rsid w:val="005E52B4"/>
    <w:rsid w:val="005E5395"/>
    <w:rsid w:val="005E6239"/>
    <w:rsid w:val="005E76D9"/>
    <w:rsid w:val="005E7772"/>
    <w:rsid w:val="005E7A76"/>
    <w:rsid w:val="005F00EE"/>
    <w:rsid w:val="005F082A"/>
    <w:rsid w:val="005F0B64"/>
    <w:rsid w:val="005F11E3"/>
    <w:rsid w:val="005F1742"/>
    <w:rsid w:val="005F25FC"/>
    <w:rsid w:val="005F3687"/>
    <w:rsid w:val="005F36FB"/>
    <w:rsid w:val="005F372A"/>
    <w:rsid w:val="005F5010"/>
    <w:rsid w:val="005F5E70"/>
    <w:rsid w:val="005F5F0B"/>
    <w:rsid w:val="005F60A4"/>
    <w:rsid w:val="005F6A27"/>
    <w:rsid w:val="005F7ED1"/>
    <w:rsid w:val="006007A4"/>
    <w:rsid w:val="00600DB1"/>
    <w:rsid w:val="00600E4C"/>
    <w:rsid w:val="0060129D"/>
    <w:rsid w:val="00601C81"/>
    <w:rsid w:val="00604256"/>
    <w:rsid w:val="00606CE2"/>
    <w:rsid w:val="00606E11"/>
    <w:rsid w:val="00606E3E"/>
    <w:rsid w:val="00606E88"/>
    <w:rsid w:val="0060795B"/>
    <w:rsid w:val="00610075"/>
    <w:rsid w:val="006111F0"/>
    <w:rsid w:val="006118E4"/>
    <w:rsid w:val="006119D3"/>
    <w:rsid w:val="00611AD2"/>
    <w:rsid w:val="00612A75"/>
    <w:rsid w:val="00613673"/>
    <w:rsid w:val="00614194"/>
    <w:rsid w:val="00614473"/>
    <w:rsid w:val="006146F6"/>
    <w:rsid w:val="00615186"/>
    <w:rsid w:val="006151D3"/>
    <w:rsid w:val="0061526E"/>
    <w:rsid w:val="00615B27"/>
    <w:rsid w:val="00615BAA"/>
    <w:rsid w:val="00615C7A"/>
    <w:rsid w:val="00615E7C"/>
    <w:rsid w:val="00616683"/>
    <w:rsid w:val="006167B1"/>
    <w:rsid w:val="00616BA6"/>
    <w:rsid w:val="00617539"/>
    <w:rsid w:val="00617C48"/>
    <w:rsid w:val="00620ED4"/>
    <w:rsid w:val="00621B30"/>
    <w:rsid w:val="00621DB0"/>
    <w:rsid w:val="00622A53"/>
    <w:rsid w:val="00622BE1"/>
    <w:rsid w:val="00622F28"/>
    <w:rsid w:val="00623176"/>
    <w:rsid w:val="00623EA3"/>
    <w:rsid w:val="00624014"/>
    <w:rsid w:val="00624072"/>
    <w:rsid w:val="006240FF"/>
    <w:rsid w:val="00624395"/>
    <w:rsid w:val="0062473C"/>
    <w:rsid w:val="00625A5B"/>
    <w:rsid w:val="006262EC"/>
    <w:rsid w:val="006264D5"/>
    <w:rsid w:val="0062686E"/>
    <w:rsid w:val="00626FC8"/>
    <w:rsid w:val="00627074"/>
    <w:rsid w:val="006301E0"/>
    <w:rsid w:val="00630C20"/>
    <w:rsid w:val="006313F1"/>
    <w:rsid w:val="006325C7"/>
    <w:rsid w:val="00632678"/>
    <w:rsid w:val="00632E06"/>
    <w:rsid w:val="00633476"/>
    <w:rsid w:val="0063358C"/>
    <w:rsid w:val="00633A4B"/>
    <w:rsid w:val="00633BFD"/>
    <w:rsid w:val="00634A01"/>
    <w:rsid w:val="00634C4E"/>
    <w:rsid w:val="00635C4F"/>
    <w:rsid w:val="0063601A"/>
    <w:rsid w:val="0063625C"/>
    <w:rsid w:val="0063708D"/>
    <w:rsid w:val="00637350"/>
    <w:rsid w:val="006379AF"/>
    <w:rsid w:val="00640564"/>
    <w:rsid w:val="00640EA4"/>
    <w:rsid w:val="00642AF3"/>
    <w:rsid w:val="00642BE1"/>
    <w:rsid w:val="00643181"/>
    <w:rsid w:val="00643B9C"/>
    <w:rsid w:val="0064455A"/>
    <w:rsid w:val="006445CF"/>
    <w:rsid w:val="00644A8D"/>
    <w:rsid w:val="00644EDA"/>
    <w:rsid w:val="00645481"/>
    <w:rsid w:val="0064559B"/>
    <w:rsid w:val="00645BE1"/>
    <w:rsid w:val="006468F3"/>
    <w:rsid w:val="00647984"/>
    <w:rsid w:val="006515C7"/>
    <w:rsid w:val="00651959"/>
    <w:rsid w:val="00652387"/>
    <w:rsid w:val="0065264C"/>
    <w:rsid w:val="006527F9"/>
    <w:rsid w:val="00653878"/>
    <w:rsid w:val="00654804"/>
    <w:rsid w:val="00654AF3"/>
    <w:rsid w:val="00655559"/>
    <w:rsid w:val="006558E0"/>
    <w:rsid w:val="00655C1C"/>
    <w:rsid w:val="006565B6"/>
    <w:rsid w:val="006570F2"/>
    <w:rsid w:val="00657198"/>
    <w:rsid w:val="006576B9"/>
    <w:rsid w:val="00662AC6"/>
    <w:rsid w:val="00662E61"/>
    <w:rsid w:val="00662F84"/>
    <w:rsid w:val="006630E0"/>
    <w:rsid w:val="0066390E"/>
    <w:rsid w:val="00663D13"/>
    <w:rsid w:val="006646B7"/>
    <w:rsid w:val="006646CA"/>
    <w:rsid w:val="00664DBC"/>
    <w:rsid w:val="0066537C"/>
    <w:rsid w:val="0066592D"/>
    <w:rsid w:val="006660A8"/>
    <w:rsid w:val="006666C7"/>
    <w:rsid w:val="006676D5"/>
    <w:rsid w:val="00667C81"/>
    <w:rsid w:val="00670AFB"/>
    <w:rsid w:val="00670C47"/>
    <w:rsid w:val="00671F89"/>
    <w:rsid w:val="00672893"/>
    <w:rsid w:val="00672B32"/>
    <w:rsid w:val="0067306C"/>
    <w:rsid w:val="00673C11"/>
    <w:rsid w:val="00673D6C"/>
    <w:rsid w:val="00673F0B"/>
    <w:rsid w:val="0067437E"/>
    <w:rsid w:val="006752CA"/>
    <w:rsid w:val="006770C0"/>
    <w:rsid w:val="00677D08"/>
    <w:rsid w:val="00677D63"/>
    <w:rsid w:val="006806D2"/>
    <w:rsid w:val="0068081D"/>
    <w:rsid w:val="006818A7"/>
    <w:rsid w:val="00681C9A"/>
    <w:rsid w:val="00683371"/>
    <w:rsid w:val="00683FF7"/>
    <w:rsid w:val="00684B23"/>
    <w:rsid w:val="00685D31"/>
    <w:rsid w:val="006860C1"/>
    <w:rsid w:val="006861D5"/>
    <w:rsid w:val="00686536"/>
    <w:rsid w:val="00686B36"/>
    <w:rsid w:val="00687650"/>
    <w:rsid w:val="00687F2A"/>
    <w:rsid w:val="00687FD9"/>
    <w:rsid w:val="0069025D"/>
    <w:rsid w:val="00690E6A"/>
    <w:rsid w:val="006915BC"/>
    <w:rsid w:val="00691FBD"/>
    <w:rsid w:val="0069228A"/>
    <w:rsid w:val="00693183"/>
    <w:rsid w:val="00693A83"/>
    <w:rsid w:val="00694661"/>
    <w:rsid w:val="00694B8F"/>
    <w:rsid w:val="00695684"/>
    <w:rsid w:val="00695D66"/>
    <w:rsid w:val="006962EF"/>
    <w:rsid w:val="00696905"/>
    <w:rsid w:val="00696BAC"/>
    <w:rsid w:val="006979D2"/>
    <w:rsid w:val="00697BD9"/>
    <w:rsid w:val="006A005A"/>
    <w:rsid w:val="006A212B"/>
    <w:rsid w:val="006A259D"/>
    <w:rsid w:val="006A2664"/>
    <w:rsid w:val="006A2B48"/>
    <w:rsid w:val="006A4922"/>
    <w:rsid w:val="006A4F29"/>
    <w:rsid w:val="006A55A4"/>
    <w:rsid w:val="006A5A10"/>
    <w:rsid w:val="006A688A"/>
    <w:rsid w:val="006A6C6C"/>
    <w:rsid w:val="006A724D"/>
    <w:rsid w:val="006A78A2"/>
    <w:rsid w:val="006B087C"/>
    <w:rsid w:val="006B104F"/>
    <w:rsid w:val="006B14AA"/>
    <w:rsid w:val="006B2B8F"/>
    <w:rsid w:val="006B3083"/>
    <w:rsid w:val="006B3F70"/>
    <w:rsid w:val="006B4A9B"/>
    <w:rsid w:val="006B59AB"/>
    <w:rsid w:val="006B5DA4"/>
    <w:rsid w:val="006B6098"/>
    <w:rsid w:val="006B6A13"/>
    <w:rsid w:val="006B701A"/>
    <w:rsid w:val="006B75C6"/>
    <w:rsid w:val="006B7B56"/>
    <w:rsid w:val="006B7B89"/>
    <w:rsid w:val="006C0915"/>
    <w:rsid w:val="006C0940"/>
    <w:rsid w:val="006C15F7"/>
    <w:rsid w:val="006C2973"/>
    <w:rsid w:val="006C397C"/>
    <w:rsid w:val="006C398B"/>
    <w:rsid w:val="006C3A25"/>
    <w:rsid w:val="006C4331"/>
    <w:rsid w:val="006C48AA"/>
    <w:rsid w:val="006C4CEE"/>
    <w:rsid w:val="006C6751"/>
    <w:rsid w:val="006C71BE"/>
    <w:rsid w:val="006D09B3"/>
    <w:rsid w:val="006D1603"/>
    <w:rsid w:val="006D19A1"/>
    <w:rsid w:val="006D27E0"/>
    <w:rsid w:val="006D3F10"/>
    <w:rsid w:val="006D4133"/>
    <w:rsid w:val="006D421F"/>
    <w:rsid w:val="006D5E4F"/>
    <w:rsid w:val="006D5F3A"/>
    <w:rsid w:val="006D6A27"/>
    <w:rsid w:val="006D6D2E"/>
    <w:rsid w:val="006D79EF"/>
    <w:rsid w:val="006E0998"/>
    <w:rsid w:val="006E1633"/>
    <w:rsid w:val="006E2450"/>
    <w:rsid w:val="006E2D97"/>
    <w:rsid w:val="006E3845"/>
    <w:rsid w:val="006E4F05"/>
    <w:rsid w:val="006E55A9"/>
    <w:rsid w:val="006E62AF"/>
    <w:rsid w:val="006E6820"/>
    <w:rsid w:val="006E6ABF"/>
    <w:rsid w:val="006E70F9"/>
    <w:rsid w:val="006E7885"/>
    <w:rsid w:val="006E7F2D"/>
    <w:rsid w:val="006F0211"/>
    <w:rsid w:val="006F046D"/>
    <w:rsid w:val="006F0654"/>
    <w:rsid w:val="006F1437"/>
    <w:rsid w:val="006F1E66"/>
    <w:rsid w:val="006F234A"/>
    <w:rsid w:val="006F280F"/>
    <w:rsid w:val="006F2A0F"/>
    <w:rsid w:val="006F3332"/>
    <w:rsid w:val="006F38F9"/>
    <w:rsid w:val="006F5107"/>
    <w:rsid w:val="006F54F7"/>
    <w:rsid w:val="006F5656"/>
    <w:rsid w:val="006F5CAC"/>
    <w:rsid w:val="006F6A7A"/>
    <w:rsid w:val="006F7093"/>
    <w:rsid w:val="006F7578"/>
    <w:rsid w:val="006F79A1"/>
    <w:rsid w:val="006F7A05"/>
    <w:rsid w:val="006F7C7B"/>
    <w:rsid w:val="006F7E8C"/>
    <w:rsid w:val="00700C9B"/>
    <w:rsid w:val="00701D15"/>
    <w:rsid w:val="007022B2"/>
    <w:rsid w:val="007027F7"/>
    <w:rsid w:val="007046DE"/>
    <w:rsid w:val="0070503C"/>
    <w:rsid w:val="007057B4"/>
    <w:rsid w:val="00705A8C"/>
    <w:rsid w:val="00705B19"/>
    <w:rsid w:val="007065D9"/>
    <w:rsid w:val="0070743E"/>
    <w:rsid w:val="007074EA"/>
    <w:rsid w:val="00707936"/>
    <w:rsid w:val="00707B75"/>
    <w:rsid w:val="00707D94"/>
    <w:rsid w:val="007108B0"/>
    <w:rsid w:val="00710EE2"/>
    <w:rsid w:val="00711304"/>
    <w:rsid w:val="00711918"/>
    <w:rsid w:val="0071260A"/>
    <w:rsid w:val="007126B0"/>
    <w:rsid w:val="00714E51"/>
    <w:rsid w:val="00715B85"/>
    <w:rsid w:val="007163C4"/>
    <w:rsid w:val="00716555"/>
    <w:rsid w:val="00716704"/>
    <w:rsid w:val="00716EDA"/>
    <w:rsid w:val="00717236"/>
    <w:rsid w:val="00717C0F"/>
    <w:rsid w:val="00717F57"/>
    <w:rsid w:val="00720B65"/>
    <w:rsid w:val="007217C8"/>
    <w:rsid w:val="00723B2A"/>
    <w:rsid w:val="00724107"/>
    <w:rsid w:val="00724753"/>
    <w:rsid w:val="00725193"/>
    <w:rsid w:val="007255B2"/>
    <w:rsid w:val="007261FB"/>
    <w:rsid w:val="007268C1"/>
    <w:rsid w:val="00726FD8"/>
    <w:rsid w:val="00727BDD"/>
    <w:rsid w:val="00727F38"/>
    <w:rsid w:val="007312C9"/>
    <w:rsid w:val="00733791"/>
    <w:rsid w:val="00733FA9"/>
    <w:rsid w:val="007346B6"/>
    <w:rsid w:val="007347A9"/>
    <w:rsid w:val="0073706C"/>
    <w:rsid w:val="0073774C"/>
    <w:rsid w:val="00740143"/>
    <w:rsid w:val="0074031A"/>
    <w:rsid w:val="007409A1"/>
    <w:rsid w:val="00740F47"/>
    <w:rsid w:val="00741161"/>
    <w:rsid w:val="0074148C"/>
    <w:rsid w:val="00741546"/>
    <w:rsid w:val="00741A73"/>
    <w:rsid w:val="00741DD8"/>
    <w:rsid w:val="00742B9C"/>
    <w:rsid w:val="00743024"/>
    <w:rsid w:val="0074332D"/>
    <w:rsid w:val="00743F47"/>
    <w:rsid w:val="00745664"/>
    <w:rsid w:val="00745EC5"/>
    <w:rsid w:val="00746BAE"/>
    <w:rsid w:val="00747617"/>
    <w:rsid w:val="00750209"/>
    <w:rsid w:val="00750256"/>
    <w:rsid w:val="00750420"/>
    <w:rsid w:val="00750716"/>
    <w:rsid w:val="0075097D"/>
    <w:rsid w:val="00750A87"/>
    <w:rsid w:val="00750CA8"/>
    <w:rsid w:val="00750E7B"/>
    <w:rsid w:val="007511C2"/>
    <w:rsid w:val="007531DD"/>
    <w:rsid w:val="00753653"/>
    <w:rsid w:val="00754043"/>
    <w:rsid w:val="00754CD1"/>
    <w:rsid w:val="00754CD5"/>
    <w:rsid w:val="00754FA4"/>
    <w:rsid w:val="00755321"/>
    <w:rsid w:val="00755BD9"/>
    <w:rsid w:val="00755D0D"/>
    <w:rsid w:val="007567E5"/>
    <w:rsid w:val="00756BDE"/>
    <w:rsid w:val="00756DEB"/>
    <w:rsid w:val="00757797"/>
    <w:rsid w:val="0076000D"/>
    <w:rsid w:val="00760C22"/>
    <w:rsid w:val="007614E7"/>
    <w:rsid w:val="0076181D"/>
    <w:rsid w:val="007622E4"/>
    <w:rsid w:val="00762BCF"/>
    <w:rsid w:val="007633A4"/>
    <w:rsid w:val="007635F6"/>
    <w:rsid w:val="0076362E"/>
    <w:rsid w:val="0076384B"/>
    <w:rsid w:val="007639B6"/>
    <w:rsid w:val="00763A65"/>
    <w:rsid w:val="00765D4F"/>
    <w:rsid w:val="00765D9C"/>
    <w:rsid w:val="007664D3"/>
    <w:rsid w:val="00766BA0"/>
    <w:rsid w:val="00766EE8"/>
    <w:rsid w:val="00770324"/>
    <w:rsid w:val="007705DB"/>
    <w:rsid w:val="007706C3"/>
    <w:rsid w:val="00770C57"/>
    <w:rsid w:val="00771478"/>
    <w:rsid w:val="00771BF2"/>
    <w:rsid w:val="00771C2C"/>
    <w:rsid w:val="007724FD"/>
    <w:rsid w:val="0077304B"/>
    <w:rsid w:val="00773B1D"/>
    <w:rsid w:val="00773E4B"/>
    <w:rsid w:val="00773ECA"/>
    <w:rsid w:val="00775F8C"/>
    <w:rsid w:val="0077679E"/>
    <w:rsid w:val="0077707D"/>
    <w:rsid w:val="007771A8"/>
    <w:rsid w:val="0077746D"/>
    <w:rsid w:val="00780BF4"/>
    <w:rsid w:val="00780DA9"/>
    <w:rsid w:val="00781463"/>
    <w:rsid w:val="007817F2"/>
    <w:rsid w:val="00781F16"/>
    <w:rsid w:val="00783707"/>
    <w:rsid w:val="00783BBE"/>
    <w:rsid w:val="00783DBE"/>
    <w:rsid w:val="00784606"/>
    <w:rsid w:val="00785458"/>
    <w:rsid w:val="007859C5"/>
    <w:rsid w:val="00785ABE"/>
    <w:rsid w:val="00785F18"/>
    <w:rsid w:val="00786075"/>
    <w:rsid w:val="00787465"/>
    <w:rsid w:val="00787556"/>
    <w:rsid w:val="00790188"/>
    <w:rsid w:val="00790F87"/>
    <w:rsid w:val="00791760"/>
    <w:rsid w:val="00791767"/>
    <w:rsid w:val="00791CDA"/>
    <w:rsid w:val="007922D6"/>
    <w:rsid w:val="00792C2A"/>
    <w:rsid w:val="00793171"/>
    <w:rsid w:val="00793377"/>
    <w:rsid w:val="00793846"/>
    <w:rsid w:val="0079495A"/>
    <w:rsid w:val="00795EA8"/>
    <w:rsid w:val="00796CD1"/>
    <w:rsid w:val="007976AA"/>
    <w:rsid w:val="007A1866"/>
    <w:rsid w:val="007A2B2B"/>
    <w:rsid w:val="007A414D"/>
    <w:rsid w:val="007A43D8"/>
    <w:rsid w:val="007A471F"/>
    <w:rsid w:val="007A4A90"/>
    <w:rsid w:val="007A5C0B"/>
    <w:rsid w:val="007A5FA7"/>
    <w:rsid w:val="007A6455"/>
    <w:rsid w:val="007A66C1"/>
    <w:rsid w:val="007A7FAC"/>
    <w:rsid w:val="007B1D16"/>
    <w:rsid w:val="007B2BEA"/>
    <w:rsid w:val="007B4E61"/>
    <w:rsid w:val="007B67BF"/>
    <w:rsid w:val="007B7807"/>
    <w:rsid w:val="007C151F"/>
    <w:rsid w:val="007C20EA"/>
    <w:rsid w:val="007C2351"/>
    <w:rsid w:val="007C345E"/>
    <w:rsid w:val="007C382E"/>
    <w:rsid w:val="007C3A0C"/>
    <w:rsid w:val="007C3A8D"/>
    <w:rsid w:val="007C3A90"/>
    <w:rsid w:val="007C6FC8"/>
    <w:rsid w:val="007C788C"/>
    <w:rsid w:val="007D0418"/>
    <w:rsid w:val="007D0DCF"/>
    <w:rsid w:val="007D1185"/>
    <w:rsid w:val="007D14BB"/>
    <w:rsid w:val="007D1FB9"/>
    <w:rsid w:val="007D2413"/>
    <w:rsid w:val="007D2A5A"/>
    <w:rsid w:val="007D3A29"/>
    <w:rsid w:val="007D4940"/>
    <w:rsid w:val="007D4DDF"/>
    <w:rsid w:val="007D4F41"/>
    <w:rsid w:val="007D551A"/>
    <w:rsid w:val="007D658A"/>
    <w:rsid w:val="007D6AA7"/>
    <w:rsid w:val="007D7163"/>
    <w:rsid w:val="007E0804"/>
    <w:rsid w:val="007E1178"/>
    <w:rsid w:val="007E1A1C"/>
    <w:rsid w:val="007E2533"/>
    <w:rsid w:val="007E2737"/>
    <w:rsid w:val="007E2B6A"/>
    <w:rsid w:val="007E3168"/>
    <w:rsid w:val="007E4158"/>
    <w:rsid w:val="007E4451"/>
    <w:rsid w:val="007E457E"/>
    <w:rsid w:val="007E5415"/>
    <w:rsid w:val="007E57C6"/>
    <w:rsid w:val="007E6C7B"/>
    <w:rsid w:val="007E755F"/>
    <w:rsid w:val="007F001E"/>
    <w:rsid w:val="007F0AF1"/>
    <w:rsid w:val="007F0CAF"/>
    <w:rsid w:val="007F1B5B"/>
    <w:rsid w:val="007F1B8D"/>
    <w:rsid w:val="007F2447"/>
    <w:rsid w:val="007F2FC1"/>
    <w:rsid w:val="007F304B"/>
    <w:rsid w:val="007F34CB"/>
    <w:rsid w:val="007F36E2"/>
    <w:rsid w:val="007F3887"/>
    <w:rsid w:val="007F3AE7"/>
    <w:rsid w:val="007F449E"/>
    <w:rsid w:val="007F63DE"/>
    <w:rsid w:val="007F67F0"/>
    <w:rsid w:val="007F6937"/>
    <w:rsid w:val="007F7062"/>
    <w:rsid w:val="008008E3"/>
    <w:rsid w:val="00800B38"/>
    <w:rsid w:val="00800C53"/>
    <w:rsid w:val="00800FFD"/>
    <w:rsid w:val="00801E84"/>
    <w:rsid w:val="00802445"/>
    <w:rsid w:val="00802650"/>
    <w:rsid w:val="00802A1A"/>
    <w:rsid w:val="008033D8"/>
    <w:rsid w:val="0080374B"/>
    <w:rsid w:val="00803BCE"/>
    <w:rsid w:val="00803FC4"/>
    <w:rsid w:val="00804281"/>
    <w:rsid w:val="008052A0"/>
    <w:rsid w:val="008056F0"/>
    <w:rsid w:val="00806A80"/>
    <w:rsid w:val="00806D32"/>
    <w:rsid w:val="00806E82"/>
    <w:rsid w:val="00807534"/>
    <w:rsid w:val="00807E84"/>
    <w:rsid w:val="00807F97"/>
    <w:rsid w:val="00810AD9"/>
    <w:rsid w:val="00810FAD"/>
    <w:rsid w:val="008110DB"/>
    <w:rsid w:val="00811B0F"/>
    <w:rsid w:val="00811CAF"/>
    <w:rsid w:val="00812D50"/>
    <w:rsid w:val="00813774"/>
    <w:rsid w:val="008137E3"/>
    <w:rsid w:val="00814D80"/>
    <w:rsid w:val="0081536D"/>
    <w:rsid w:val="008155A4"/>
    <w:rsid w:val="00815DAC"/>
    <w:rsid w:val="008163B2"/>
    <w:rsid w:val="008166EE"/>
    <w:rsid w:val="00816748"/>
    <w:rsid w:val="008201FB"/>
    <w:rsid w:val="0082053D"/>
    <w:rsid w:val="00820DD4"/>
    <w:rsid w:val="00821218"/>
    <w:rsid w:val="008227FB"/>
    <w:rsid w:val="0082388A"/>
    <w:rsid w:val="008246D6"/>
    <w:rsid w:val="00824F15"/>
    <w:rsid w:val="00825395"/>
    <w:rsid w:val="008253A2"/>
    <w:rsid w:val="00825D8A"/>
    <w:rsid w:val="008261FD"/>
    <w:rsid w:val="00826BE7"/>
    <w:rsid w:val="00826F9E"/>
    <w:rsid w:val="00827B38"/>
    <w:rsid w:val="0083098B"/>
    <w:rsid w:val="00830CE0"/>
    <w:rsid w:val="00832460"/>
    <w:rsid w:val="00832B15"/>
    <w:rsid w:val="00832BAD"/>
    <w:rsid w:val="008341F5"/>
    <w:rsid w:val="00834251"/>
    <w:rsid w:val="00835650"/>
    <w:rsid w:val="00835776"/>
    <w:rsid w:val="0083578E"/>
    <w:rsid w:val="00835E07"/>
    <w:rsid w:val="00835E46"/>
    <w:rsid w:val="0083633A"/>
    <w:rsid w:val="008375C6"/>
    <w:rsid w:val="00837A5B"/>
    <w:rsid w:val="0084047A"/>
    <w:rsid w:val="00840876"/>
    <w:rsid w:val="0084099E"/>
    <w:rsid w:val="008409EF"/>
    <w:rsid w:val="008418B2"/>
    <w:rsid w:val="00841F46"/>
    <w:rsid w:val="00842632"/>
    <w:rsid w:val="008436CB"/>
    <w:rsid w:val="008439CE"/>
    <w:rsid w:val="00844D86"/>
    <w:rsid w:val="00845723"/>
    <w:rsid w:val="00845884"/>
    <w:rsid w:val="00845944"/>
    <w:rsid w:val="00845C42"/>
    <w:rsid w:val="00845F46"/>
    <w:rsid w:val="00846D0E"/>
    <w:rsid w:val="0084775C"/>
    <w:rsid w:val="008477F5"/>
    <w:rsid w:val="00847ECA"/>
    <w:rsid w:val="0085017E"/>
    <w:rsid w:val="00850759"/>
    <w:rsid w:val="0085094D"/>
    <w:rsid w:val="00850AA7"/>
    <w:rsid w:val="0085122F"/>
    <w:rsid w:val="00851240"/>
    <w:rsid w:val="00851350"/>
    <w:rsid w:val="00851DFB"/>
    <w:rsid w:val="00853B22"/>
    <w:rsid w:val="00853E21"/>
    <w:rsid w:val="00854096"/>
    <w:rsid w:val="008554AE"/>
    <w:rsid w:val="00856481"/>
    <w:rsid w:val="008565B0"/>
    <w:rsid w:val="008571E3"/>
    <w:rsid w:val="0085750C"/>
    <w:rsid w:val="008578CB"/>
    <w:rsid w:val="00857BD6"/>
    <w:rsid w:val="00857D91"/>
    <w:rsid w:val="008610A8"/>
    <w:rsid w:val="00861C59"/>
    <w:rsid w:val="00861E02"/>
    <w:rsid w:val="00862102"/>
    <w:rsid w:val="00862A15"/>
    <w:rsid w:val="008637F8"/>
    <w:rsid w:val="00864EA9"/>
    <w:rsid w:val="00864F15"/>
    <w:rsid w:val="00865562"/>
    <w:rsid w:val="00866088"/>
    <w:rsid w:val="008662D5"/>
    <w:rsid w:val="008677EF"/>
    <w:rsid w:val="00867E70"/>
    <w:rsid w:val="0087007C"/>
    <w:rsid w:val="008708DF"/>
    <w:rsid w:val="00870AB1"/>
    <w:rsid w:val="00870DB4"/>
    <w:rsid w:val="0087100C"/>
    <w:rsid w:val="00871B0D"/>
    <w:rsid w:val="0087208C"/>
    <w:rsid w:val="00872666"/>
    <w:rsid w:val="008731B6"/>
    <w:rsid w:val="0087334E"/>
    <w:rsid w:val="00873827"/>
    <w:rsid w:val="00873E8A"/>
    <w:rsid w:val="008742A1"/>
    <w:rsid w:val="0087447D"/>
    <w:rsid w:val="00877989"/>
    <w:rsid w:val="008807BA"/>
    <w:rsid w:val="008812E8"/>
    <w:rsid w:val="00881428"/>
    <w:rsid w:val="00881647"/>
    <w:rsid w:val="00881C3D"/>
    <w:rsid w:val="00881C49"/>
    <w:rsid w:val="00881CBA"/>
    <w:rsid w:val="00882888"/>
    <w:rsid w:val="0088316F"/>
    <w:rsid w:val="00883DB4"/>
    <w:rsid w:val="008843CB"/>
    <w:rsid w:val="00884511"/>
    <w:rsid w:val="008846F8"/>
    <w:rsid w:val="008849C0"/>
    <w:rsid w:val="00884A8B"/>
    <w:rsid w:val="0088577C"/>
    <w:rsid w:val="00886278"/>
    <w:rsid w:val="00886D95"/>
    <w:rsid w:val="00887000"/>
    <w:rsid w:val="008873B5"/>
    <w:rsid w:val="008877D7"/>
    <w:rsid w:val="0089019C"/>
    <w:rsid w:val="0089025F"/>
    <w:rsid w:val="00890447"/>
    <w:rsid w:val="00890869"/>
    <w:rsid w:val="00891003"/>
    <w:rsid w:val="0089173B"/>
    <w:rsid w:val="00891B00"/>
    <w:rsid w:val="00891C02"/>
    <w:rsid w:val="008920DE"/>
    <w:rsid w:val="00892150"/>
    <w:rsid w:val="00892919"/>
    <w:rsid w:val="00893987"/>
    <w:rsid w:val="00893E59"/>
    <w:rsid w:val="0089461C"/>
    <w:rsid w:val="008949E2"/>
    <w:rsid w:val="0089562A"/>
    <w:rsid w:val="008960A5"/>
    <w:rsid w:val="008964DB"/>
    <w:rsid w:val="008966DE"/>
    <w:rsid w:val="008967C8"/>
    <w:rsid w:val="00897883"/>
    <w:rsid w:val="00897C20"/>
    <w:rsid w:val="00897DE3"/>
    <w:rsid w:val="00897E35"/>
    <w:rsid w:val="008A0635"/>
    <w:rsid w:val="008A18F4"/>
    <w:rsid w:val="008A23B2"/>
    <w:rsid w:val="008A2D5C"/>
    <w:rsid w:val="008A3008"/>
    <w:rsid w:val="008A3089"/>
    <w:rsid w:val="008A3EA1"/>
    <w:rsid w:val="008A43D1"/>
    <w:rsid w:val="008A4EAA"/>
    <w:rsid w:val="008A52F5"/>
    <w:rsid w:val="008A5311"/>
    <w:rsid w:val="008A578E"/>
    <w:rsid w:val="008A5DA8"/>
    <w:rsid w:val="008A7090"/>
    <w:rsid w:val="008A79AC"/>
    <w:rsid w:val="008A7BF0"/>
    <w:rsid w:val="008B000B"/>
    <w:rsid w:val="008B17A5"/>
    <w:rsid w:val="008B1CA7"/>
    <w:rsid w:val="008B2E03"/>
    <w:rsid w:val="008B2E55"/>
    <w:rsid w:val="008B4E7C"/>
    <w:rsid w:val="008B5734"/>
    <w:rsid w:val="008B5A2F"/>
    <w:rsid w:val="008B5A32"/>
    <w:rsid w:val="008B5EE0"/>
    <w:rsid w:val="008B6014"/>
    <w:rsid w:val="008C25A3"/>
    <w:rsid w:val="008C2A37"/>
    <w:rsid w:val="008C4233"/>
    <w:rsid w:val="008C424E"/>
    <w:rsid w:val="008C4F6B"/>
    <w:rsid w:val="008C530B"/>
    <w:rsid w:val="008C54E3"/>
    <w:rsid w:val="008C5DB7"/>
    <w:rsid w:val="008C677F"/>
    <w:rsid w:val="008C7077"/>
    <w:rsid w:val="008C7089"/>
    <w:rsid w:val="008C72A7"/>
    <w:rsid w:val="008C765A"/>
    <w:rsid w:val="008D15D2"/>
    <w:rsid w:val="008D1A7F"/>
    <w:rsid w:val="008D26D0"/>
    <w:rsid w:val="008D2A62"/>
    <w:rsid w:val="008D3D52"/>
    <w:rsid w:val="008D5031"/>
    <w:rsid w:val="008D5363"/>
    <w:rsid w:val="008D593A"/>
    <w:rsid w:val="008D5BBB"/>
    <w:rsid w:val="008D790C"/>
    <w:rsid w:val="008D7CF9"/>
    <w:rsid w:val="008E0167"/>
    <w:rsid w:val="008E0274"/>
    <w:rsid w:val="008E027B"/>
    <w:rsid w:val="008E0353"/>
    <w:rsid w:val="008E1719"/>
    <w:rsid w:val="008E3BCD"/>
    <w:rsid w:val="008E49FB"/>
    <w:rsid w:val="008E4A6E"/>
    <w:rsid w:val="008E4BF0"/>
    <w:rsid w:val="008E4F89"/>
    <w:rsid w:val="008E5127"/>
    <w:rsid w:val="008E5839"/>
    <w:rsid w:val="008E5999"/>
    <w:rsid w:val="008E61E3"/>
    <w:rsid w:val="008E6A24"/>
    <w:rsid w:val="008E7A92"/>
    <w:rsid w:val="008E7B84"/>
    <w:rsid w:val="008F0B39"/>
    <w:rsid w:val="008F0F5A"/>
    <w:rsid w:val="008F26F4"/>
    <w:rsid w:val="008F2AAD"/>
    <w:rsid w:val="008F4095"/>
    <w:rsid w:val="008F46CD"/>
    <w:rsid w:val="008F4B39"/>
    <w:rsid w:val="008F51E7"/>
    <w:rsid w:val="008F5B13"/>
    <w:rsid w:val="008F5C61"/>
    <w:rsid w:val="008F6065"/>
    <w:rsid w:val="008F629B"/>
    <w:rsid w:val="008F6332"/>
    <w:rsid w:val="008F6857"/>
    <w:rsid w:val="008F6C3A"/>
    <w:rsid w:val="008F6EC3"/>
    <w:rsid w:val="008F7AB7"/>
    <w:rsid w:val="00900186"/>
    <w:rsid w:val="009003E6"/>
    <w:rsid w:val="00900BBC"/>
    <w:rsid w:val="00900FEA"/>
    <w:rsid w:val="00901653"/>
    <w:rsid w:val="00901682"/>
    <w:rsid w:val="00901951"/>
    <w:rsid w:val="009019C7"/>
    <w:rsid w:val="00901B0E"/>
    <w:rsid w:val="00901C8E"/>
    <w:rsid w:val="00901E8D"/>
    <w:rsid w:val="0090263C"/>
    <w:rsid w:val="009029FB"/>
    <w:rsid w:val="00902D00"/>
    <w:rsid w:val="0090322B"/>
    <w:rsid w:val="00904DD8"/>
    <w:rsid w:val="00904ED1"/>
    <w:rsid w:val="00905799"/>
    <w:rsid w:val="00905978"/>
    <w:rsid w:val="009064DB"/>
    <w:rsid w:val="00906A8F"/>
    <w:rsid w:val="00907615"/>
    <w:rsid w:val="009106FD"/>
    <w:rsid w:val="00910829"/>
    <w:rsid w:val="0091119F"/>
    <w:rsid w:val="00914235"/>
    <w:rsid w:val="00914C9C"/>
    <w:rsid w:val="00914CB9"/>
    <w:rsid w:val="00914FF8"/>
    <w:rsid w:val="00915C30"/>
    <w:rsid w:val="00915EE3"/>
    <w:rsid w:val="00916742"/>
    <w:rsid w:val="0091686C"/>
    <w:rsid w:val="009168BC"/>
    <w:rsid w:val="0091695B"/>
    <w:rsid w:val="00917E4C"/>
    <w:rsid w:val="00920C63"/>
    <w:rsid w:val="00920D7C"/>
    <w:rsid w:val="00921282"/>
    <w:rsid w:val="0092144C"/>
    <w:rsid w:val="00921B27"/>
    <w:rsid w:val="00921B3A"/>
    <w:rsid w:val="00921F19"/>
    <w:rsid w:val="00922388"/>
    <w:rsid w:val="00922702"/>
    <w:rsid w:val="009227E6"/>
    <w:rsid w:val="00922F75"/>
    <w:rsid w:val="00924790"/>
    <w:rsid w:val="00924B57"/>
    <w:rsid w:val="00926466"/>
    <w:rsid w:val="009265CF"/>
    <w:rsid w:val="00926A72"/>
    <w:rsid w:val="00926C33"/>
    <w:rsid w:val="00926E10"/>
    <w:rsid w:val="00930517"/>
    <w:rsid w:val="00930751"/>
    <w:rsid w:val="00930CD3"/>
    <w:rsid w:val="00931172"/>
    <w:rsid w:val="009316BB"/>
    <w:rsid w:val="00931C57"/>
    <w:rsid w:val="00931C8B"/>
    <w:rsid w:val="0093237B"/>
    <w:rsid w:val="00932766"/>
    <w:rsid w:val="00933151"/>
    <w:rsid w:val="0093344B"/>
    <w:rsid w:val="009342A6"/>
    <w:rsid w:val="0093475D"/>
    <w:rsid w:val="009350AC"/>
    <w:rsid w:val="00936611"/>
    <w:rsid w:val="00936F9A"/>
    <w:rsid w:val="00937101"/>
    <w:rsid w:val="00937616"/>
    <w:rsid w:val="0094002E"/>
    <w:rsid w:val="00940A67"/>
    <w:rsid w:val="00940AD0"/>
    <w:rsid w:val="00941287"/>
    <w:rsid w:val="00941522"/>
    <w:rsid w:val="00942110"/>
    <w:rsid w:val="0094243F"/>
    <w:rsid w:val="009433F4"/>
    <w:rsid w:val="0094360F"/>
    <w:rsid w:val="00943B32"/>
    <w:rsid w:val="00943CA7"/>
    <w:rsid w:val="00943E7E"/>
    <w:rsid w:val="00944D2F"/>
    <w:rsid w:val="00944F4C"/>
    <w:rsid w:val="00945670"/>
    <w:rsid w:val="00945CB9"/>
    <w:rsid w:val="00946137"/>
    <w:rsid w:val="0094650B"/>
    <w:rsid w:val="009471AC"/>
    <w:rsid w:val="009473A6"/>
    <w:rsid w:val="0094759D"/>
    <w:rsid w:val="00950BB6"/>
    <w:rsid w:val="0095215E"/>
    <w:rsid w:val="009522BF"/>
    <w:rsid w:val="00952818"/>
    <w:rsid w:val="009534F4"/>
    <w:rsid w:val="0095430D"/>
    <w:rsid w:val="00954C21"/>
    <w:rsid w:val="00954DAD"/>
    <w:rsid w:val="00955066"/>
    <w:rsid w:val="00955093"/>
    <w:rsid w:val="009553A6"/>
    <w:rsid w:val="00956608"/>
    <w:rsid w:val="009569B6"/>
    <w:rsid w:val="009579A4"/>
    <w:rsid w:val="00960236"/>
    <w:rsid w:val="009604BE"/>
    <w:rsid w:val="009608EE"/>
    <w:rsid w:val="00960F7B"/>
    <w:rsid w:val="009614FA"/>
    <w:rsid w:val="00961791"/>
    <w:rsid w:val="009627DF"/>
    <w:rsid w:val="00962E0D"/>
    <w:rsid w:val="00963C7A"/>
    <w:rsid w:val="00964410"/>
    <w:rsid w:val="009645C4"/>
    <w:rsid w:val="0096484E"/>
    <w:rsid w:val="0096556E"/>
    <w:rsid w:val="00966407"/>
    <w:rsid w:val="009679F7"/>
    <w:rsid w:val="00967E5D"/>
    <w:rsid w:val="009718D2"/>
    <w:rsid w:val="0097211C"/>
    <w:rsid w:val="009724B0"/>
    <w:rsid w:val="00972D12"/>
    <w:rsid w:val="00973C20"/>
    <w:rsid w:val="00973E09"/>
    <w:rsid w:val="00973F76"/>
    <w:rsid w:val="0097453F"/>
    <w:rsid w:val="009747AE"/>
    <w:rsid w:val="009751D3"/>
    <w:rsid w:val="00976095"/>
    <w:rsid w:val="009761CE"/>
    <w:rsid w:val="009778B6"/>
    <w:rsid w:val="00977AF8"/>
    <w:rsid w:val="00980190"/>
    <w:rsid w:val="0098066E"/>
    <w:rsid w:val="00981005"/>
    <w:rsid w:val="00981049"/>
    <w:rsid w:val="00981202"/>
    <w:rsid w:val="0098161E"/>
    <w:rsid w:val="00981A78"/>
    <w:rsid w:val="00981D5C"/>
    <w:rsid w:val="00982366"/>
    <w:rsid w:val="00982CB6"/>
    <w:rsid w:val="00983117"/>
    <w:rsid w:val="0098342D"/>
    <w:rsid w:val="00983BAB"/>
    <w:rsid w:val="0098456F"/>
    <w:rsid w:val="00984F3C"/>
    <w:rsid w:val="009857AF"/>
    <w:rsid w:val="00985EF5"/>
    <w:rsid w:val="00985F77"/>
    <w:rsid w:val="00986902"/>
    <w:rsid w:val="009869ED"/>
    <w:rsid w:val="00986B8B"/>
    <w:rsid w:val="0098788D"/>
    <w:rsid w:val="00990924"/>
    <w:rsid w:val="00990AC2"/>
    <w:rsid w:val="0099155E"/>
    <w:rsid w:val="009928C6"/>
    <w:rsid w:val="00992BE2"/>
    <w:rsid w:val="00992D39"/>
    <w:rsid w:val="009930B9"/>
    <w:rsid w:val="00993845"/>
    <w:rsid w:val="009938F4"/>
    <w:rsid w:val="00993912"/>
    <w:rsid w:val="00994300"/>
    <w:rsid w:val="009946A3"/>
    <w:rsid w:val="009948E6"/>
    <w:rsid w:val="00995135"/>
    <w:rsid w:val="0099543F"/>
    <w:rsid w:val="00997842"/>
    <w:rsid w:val="00997E73"/>
    <w:rsid w:val="009A021F"/>
    <w:rsid w:val="009A0A00"/>
    <w:rsid w:val="009A218E"/>
    <w:rsid w:val="009A4855"/>
    <w:rsid w:val="009A4C23"/>
    <w:rsid w:val="009A52ED"/>
    <w:rsid w:val="009A54BF"/>
    <w:rsid w:val="009A62FF"/>
    <w:rsid w:val="009A7291"/>
    <w:rsid w:val="009A7899"/>
    <w:rsid w:val="009A7C40"/>
    <w:rsid w:val="009B06F4"/>
    <w:rsid w:val="009B19A8"/>
    <w:rsid w:val="009B2DFB"/>
    <w:rsid w:val="009B33C8"/>
    <w:rsid w:val="009B35FE"/>
    <w:rsid w:val="009B406D"/>
    <w:rsid w:val="009B4914"/>
    <w:rsid w:val="009B4FC4"/>
    <w:rsid w:val="009B54AC"/>
    <w:rsid w:val="009B5D73"/>
    <w:rsid w:val="009B6B87"/>
    <w:rsid w:val="009C09AB"/>
    <w:rsid w:val="009C1028"/>
    <w:rsid w:val="009C1FB0"/>
    <w:rsid w:val="009C275B"/>
    <w:rsid w:val="009C41BB"/>
    <w:rsid w:val="009C4FF2"/>
    <w:rsid w:val="009C55BF"/>
    <w:rsid w:val="009C61E7"/>
    <w:rsid w:val="009C75DB"/>
    <w:rsid w:val="009D0C43"/>
    <w:rsid w:val="009D0CBB"/>
    <w:rsid w:val="009D1AB3"/>
    <w:rsid w:val="009D2007"/>
    <w:rsid w:val="009D329F"/>
    <w:rsid w:val="009D3C43"/>
    <w:rsid w:val="009D3EE2"/>
    <w:rsid w:val="009D4A33"/>
    <w:rsid w:val="009D5500"/>
    <w:rsid w:val="009D5F62"/>
    <w:rsid w:val="009D685E"/>
    <w:rsid w:val="009D7284"/>
    <w:rsid w:val="009D72AF"/>
    <w:rsid w:val="009D756E"/>
    <w:rsid w:val="009D7678"/>
    <w:rsid w:val="009D7EBB"/>
    <w:rsid w:val="009E200F"/>
    <w:rsid w:val="009E265C"/>
    <w:rsid w:val="009E2940"/>
    <w:rsid w:val="009E29EE"/>
    <w:rsid w:val="009E33F9"/>
    <w:rsid w:val="009E461E"/>
    <w:rsid w:val="009E4654"/>
    <w:rsid w:val="009E5843"/>
    <w:rsid w:val="009E585A"/>
    <w:rsid w:val="009E58DE"/>
    <w:rsid w:val="009E7260"/>
    <w:rsid w:val="009E7911"/>
    <w:rsid w:val="009F1611"/>
    <w:rsid w:val="009F167B"/>
    <w:rsid w:val="009F1E12"/>
    <w:rsid w:val="009F2485"/>
    <w:rsid w:val="009F29CF"/>
    <w:rsid w:val="009F50C0"/>
    <w:rsid w:val="009F55F1"/>
    <w:rsid w:val="009F633E"/>
    <w:rsid w:val="009F6CE4"/>
    <w:rsid w:val="009F775F"/>
    <w:rsid w:val="009F7B10"/>
    <w:rsid w:val="00A004C7"/>
    <w:rsid w:val="00A004E7"/>
    <w:rsid w:val="00A019BB"/>
    <w:rsid w:val="00A01BCE"/>
    <w:rsid w:val="00A0257F"/>
    <w:rsid w:val="00A02B3E"/>
    <w:rsid w:val="00A02E3B"/>
    <w:rsid w:val="00A03351"/>
    <w:rsid w:val="00A0442E"/>
    <w:rsid w:val="00A047FD"/>
    <w:rsid w:val="00A069A4"/>
    <w:rsid w:val="00A06E9D"/>
    <w:rsid w:val="00A07E88"/>
    <w:rsid w:val="00A105AE"/>
    <w:rsid w:val="00A10FE4"/>
    <w:rsid w:val="00A11C72"/>
    <w:rsid w:val="00A11EBA"/>
    <w:rsid w:val="00A11F3A"/>
    <w:rsid w:val="00A12597"/>
    <w:rsid w:val="00A12891"/>
    <w:rsid w:val="00A13939"/>
    <w:rsid w:val="00A13EE7"/>
    <w:rsid w:val="00A1411F"/>
    <w:rsid w:val="00A14FF9"/>
    <w:rsid w:val="00A161BA"/>
    <w:rsid w:val="00A161D3"/>
    <w:rsid w:val="00A1641A"/>
    <w:rsid w:val="00A16522"/>
    <w:rsid w:val="00A166CA"/>
    <w:rsid w:val="00A16F73"/>
    <w:rsid w:val="00A20002"/>
    <w:rsid w:val="00A20193"/>
    <w:rsid w:val="00A21C8B"/>
    <w:rsid w:val="00A21E0E"/>
    <w:rsid w:val="00A21E29"/>
    <w:rsid w:val="00A2228C"/>
    <w:rsid w:val="00A223EB"/>
    <w:rsid w:val="00A22B19"/>
    <w:rsid w:val="00A22E95"/>
    <w:rsid w:val="00A237DF"/>
    <w:rsid w:val="00A23820"/>
    <w:rsid w:val="00A23889"/>
    <w:rsid w:val="00A23A58"/>
    <w:rsid w:val="00A23DD3"/>
    <w:rsid w:val="00A246B4"/>
    <w:rsid w:val="00A24A53"/>
    <w:rsid w:val="00A24D52"/>
    <w:rsid w:val="00A263B9"/>
    <w:rsid w:val="00A26E38"/>
    <w:rsid w:val="00A272AE"/>
    <w:rsid w:val="00A30B5D"/>
    <w:rsid w:val="00A30C05"/>
    <w:rsid w:val="00A313A0"/>
    <w:rsid w:val="00A31EF6"/>
    <w:rsid w:val="00A3228C"/>
    <w:rsid w:val="00A328B2"/>
    <w:rsid w:val="00A329F1"/>
    <w:rsid w:val="00A33AAF"/>
    <w:rsid w:val="00A34CAB"/>
    <w:rsid w:val="00A352BD"/>
    <w:rsid w:val="00A359AA"/>
    <w:rsid w:val="00A363A2"/>
    <w:rsid w:val="00A371E6"/>
    <w:rsid w:val="00A40EBD"/>
    <w:rsid w:val="00A415D8"/>
    <w:rsid w:val="00A41B20"/>
    <w:rsid w:val="00A41F61"/>
    <w:rsid w:val="00A4221A"/>
    <w:rsid w:val="00A426EC"/>
    <w:rsid w:val="00A4283A"/>
    <w:rsid w:val="00A43387"/>
    <w:rsid w:val="00A43A32"/>
    <w:rsid w:val="00A43D58"/>
    <w:rsid w:val="00A44F43"/>
    <w:rsid w:val="00A45D23"/>
    <w:rsid w:val="00A45F94"/>
    <w:rsid w:val="00A47D28"/>
    <w:rsid w:val="00A50500"/>
    <w:rsid w:val="00A510CE"/>
    <w:rsid w:val="00A518C3"/>
    <w:rsid w:val="00A518CC"/>
    <w:rsid w:val="00A51B50"/>
    <w:rsid w:val="00A52F45"/>
    <w:rsid w:val="00A53444"/>
    <w:rsid w:val="00A5364B"/>
    <w:rsid w:val="00A537EF"/>
    <w:rsid w:val="00A53CC2"/>
    <w:rsid w:val="00A53D03"/>
    <w:rsid w:val="00A53DFE"/>
    <w:rsid w:val="00A54356"/>
    <w:rsid w:val="00A54CAA"/>
    <w:rsid w:val="00A55598"/>
    <w:rsid w:val="00A5569C"/>
    <w:rsid w:val="00A55860"/>
    <w:rsid w:val="00A55B56"/>
    <w:rsid w:val="00A55BAF"/>
    <w:rsid w:val="00A564AE"/>
    <w:rsid w:val="00A579D3"/>
    <w:rsid w:val="00A57A9C"/>
    <w:rsid w:val="00A61ED0"/>
    <w:rsid w:val="00A63345"/>
    <w:rsid w:val="00A655C8"/>
    <w:rsid w:val="00A655D2"/>
    <w:rsid w:val="00A65A5E"/>
    <w:rsid w:val="00A661C6"/>
    <w:rsid w:val="00A6687C"/>
    <w:rsid w:val="00A66A01"/>
    <w:rsid w:val="00A67A7E"/>
    <w:rsid w:val="00A67EEB"/>
    <w:rsid w:val="00A7222C"/>
    <w:rsid w:val="00A7271B"/>
    <w:rsid w:val="00A73408"/>
    <w:rsid w:val="00A736AA"/>
    <w:rsid w:val="00A73AC9"/>
    <w:rsid w:val="00A752BB"/>
    <w:rsid w:val="00A75581"/>
    <w:rsid w:val="00A757D8"/>
    <w:rsid w:val="00A75BFD"/>
    <w:rsid w:val="00A76725"/>
    <w:rsid w:val="00A76C6D"/>
    <w:rsid w:val="00A774AA"/>
    <w:rsid w:val="00A82803"/>
    <w:rsid w:val="00A82D94"/>
    <w:rsid w:val="00A836F2"/>
    <w:rsid w:val="00A84F30"/>
    <w:rsid w:val="00A85123"/>
    <w:rsid w:val="00A8663D"/>
    <w:rsid w:val="00A866EA"/>
    <w:rsid w:val="00A87A94"/>
    <w:rsid w:val="00A902F3"/>
    <w:rsid w:val="00A90969"/>
    <w:rsid w:val="00A90AC3"/>
    <w:rsid w:val="00A90AC6"/>
    <w:rsid w:val="00A90E35"/>
    <w:rsid w:val="00A91CAE"/>
    <w:rsid w:val="00A92096"/>
    <w:rsid w:val="00A93D37"/>
    <w:rsid w:val="00A946CF"/>
    <w:rsid w:val="00A94C02"/>
    <w:rsid w:val="00A94CE9"/>
    <w:rsid w:val="00A95D1D"/>
    <w:rsid w:val="00A95EA3"/>
    <w:rsid w:val="00A96FA6"/>
    <w:rsid w:val="00A97534"/>
    <w:rsid w:val="00A9774F"/>
    <w:rsid w:val="00A978DA"/>
    <w:rsid w:val="00AA128B"/>
    <w:rsid w:val="00AA1633"/>
    <w:rsid w:val="00AA1AC8"/>
    <w:rsid w:val="00AA3515"/>
    <w:rsid w:val="00AA3E3A"/>
    <w:rsid w:val="00AA3F4C"/>
    <w:rsid w:val="00AA400B"/>
    <w:rsid w:val="00AA40E8"/>
    <w:rsid w:val="00AA4164"/>
    <w:rsid w:val="00AA4817"/>
    <w:rsid w:val="00AA4DF3"/>
    <w:rsid w:val="00AA52FC"/>
    <w:rsid w:val="00AA5AC2"/>
    <w:rsid w:val="00AA5BBE"/>
    <w:rsid w:val="00AA6DA6"/>
    <w:rsid w:val="00AB06B0"/>
    <w:rsid w:val="00AB0B74"/>
    <w:rsid w:val="00AB1B57"/>
    <w:rsid w:val="00AB1DBD"/>
    <w:rsid w:val="00AB2D51"/>
    <w:rsid w:val="00AB3180"/>
    <w:rsid w:val="00AB5484"/>
    <w:rsid w:val="00AB5CB5"/>
    <w:rsid w:val="00AB5EBC"/>
    <w:rsid w:val="00AB6839"/>
    <w:rsid w:val="00AB6887"/>
    <w:rsid w:val="00AB688B"/>
    <w:rsid w:val="00AB728C"/>
    <w:rsid w:val="00AB7575"/>
    <w:rsid w:val="00AB762F"/>
    <w:rsid w:val="00AB79C9"/>
    <w:rsid w:val="00AB7B18"/>
    <w:rsid w:val="00AB7DA6"/>
    <w:rsid w:val="00AC0310"/>
    <w:rsid w:val="00AC0EBB"/>
    <w:rsid w:val="00AC29BA"/>
    <w:rsid w:val="00AC2AC9"/>
    <w:rsid w:val="00AC41E8"/>
    <w:rsid w:val="00AC46F6"/>
    <w:rsid w:val="00AC51D0"/>
    <w:rsid w:val="00AC535A"/>
    <w:rsid w:val="00AC582E"/>
    <w:rsid w:val="00AC599B"/>
    <w:rsid w:val="00AC634A"/>
    <w:rsid w:val="00AC6C21"/>
    <w:rsid w:val="00AC723C"/>
    <w:rsid w:val="00AD02CB"/>
    <w:rsid w:val="00AD050B"/>
    <w:rsid w:val="00AD08B6"/>
    <w:rsid w:val="00AD12C1"/>
    <w:rsid w:val="00AD1765"/>
    <w:rsid w:val="00AD1C0D"/>
    <w:rsid w:val="00AD1E60"/>
    <w:rsid w:val="00AD2397"/>
    <w:rsid w:val="00AD2C76"/>
    <w:rsid w:val="00AD2FE4"/>
    <w:rsid w:val="00AD4C5B"/>
    <w:rsid w:val="00AD51DC"/>
    <w:rsid w:val="00AD56CC"/>
    <w:rsid w:val="00AD5FCC"/>
    <w:rsid w:val="00AD61B2"/>
    <w:rsid w:val="00AD736C"/>
    <w:rsid w:val="00AD7907"/>
    <w:rsid w:val="00AD79C3"/>
    <w:rsid w:val="00AD79F3"/>
    <w:rsid w:val="00AD79FA"/>
    <w:rsid w:val="00AD7D0A"/>
    <w:rsid w:val="00AD7F31"/>
    <w:rsid w:val="00AE0830"/>
    <w:rsid w:val="00AE1217"/>
    <w:rsid w:val="00AE1423"/>
    <w:rsid w:val="00AE1926"/>
    <w:rsid w:val="00AE1E77"/>
    <w:rsid w:val="00AE21E1"/>
    <w:rsid w:val="00AE4818"/>
    <w:rsid w:val="00AE4A44"/>
    <w:rsid w:val="00AE4E4F"/>
    <w:rsid w:val="00AE5180"/>
    <w:rsid w:val="00AE53C1"/>
    <w:rsid w:val="00AE54BE"/>
    <w:rsid w:val="00AF1131"/>
    <w:rsid w:val="00AF2727"/>
    <w:rsid w:val="00AF2ECE"/>
    <w:rsid w:val="00AF3007"/>
    <w:rsid w:val="00AF30E2"/>
    <w:rsid w:val="00AF34C7"/>
    <w:rsid w:val="00AF3DDC"/>
    <w:rsid w:val="00AF3FCB"/>
    <w:rsid w:val="00AF45CE"/>
    <w:rsid w:val="00AF480E"/>
    <w:rsid w:val="00AF4A83"/>
    <w:rsid w:val="00AF4A89"/>
    <w:rsid w:val="00AF584B"/>
    <w:rsid w:val="00AF6AC6"/>
    <w:rsid w:val="00AF6E37"/>
    <w:rsid w:val="00AF6F54"/>
    <w:rsid w:val="00B00290"/>
    <w:rsid w:val="00B0059E"/>
    <w:rsid w:val="00B015E6"/>
    <w:rsid w:val="00B0189B"/>
    <w:rsid w:val="00B01DEA"/>
    <w:rsid w:val="00B02376"/>
    <w:rsid w:val="00B0291A"/>
    <w:rsid w:val="00B03679"/>
    <w:rsid w:val="00B03A6F"/>
    <w:rsid w:val="00B04C94"/>
    <w:rsid w:val="00B04E79"/>
    <w:rsid w:val="00B072D8"/>
    <w:rsid w:val="00B07DA1"/>
    <w:rsid w:val="00B104C1"/>
    <w:rsid w:val="00B104C4"/>
    <w:rsid w:val="00B106F1"/>
    <w:rsid w:val="00B114BA"/>
    <w:rsid w:val="00B117A4"/>
    <w:rsid w:val="00B11A80"/>
    <w:rsid w:val="00B11BBF"/>
    <w:rsid w:val="00B12347"/>
    <w:rsid w:val="00B1302B"/>
    <w:rsid w:val="00B142D7"/>
    <w:rsid w:val="00B14645"/>
    <w:rsid w:val="00B16C21"/>
    <w:rsid w:val="00B16F10"/>
    <w:rsid w:val="00B20550"/>
    <w:rsid w:val="00B20930"/>
    <w:rsid w:val="00B21854"/>
    <w:rsid w:val="00B221E4"/>
    <w:rsid w:val="00B22F1B"/>
    <w:rsid w:val="00B22FA4"/>
    <w:rsid w:val="00B2343C"/>
    <w:rsid w:val="00B236D1"/>
    <w:rsid w:val="00B23D35"/>
    <w:rsid w:val="00B24031"/>
    <w:rsid w:val="00B2487A"/>
    <w:rsid w:val="00B248E1"/>
    <w:rsid w:val="00B2509E"/>
    <w:rsid w:val="00B258B1"/>
    <w:rsid w:val="00B278B5"/>
    <w:rsid w:val="00B3105F"/>
    <w:rsid w:val="00B311C5"/>
    <w:rsid w:val="00B31A99"/>
    <w:rsid w:val="00B32084"/>
    <w:rsid w:val="00B32626"/>
    <w:rsid w:val="00B332F0"/>
    <w:rsid w:val="00B3376B"/>
    <w:rsid w:val="00B33887"/>
    <w:rsid w:val="00B34352"/>
    <w:rsid w:val="00B34C14"/>
    <w:rsid w:val="00B35F9E"/>
    <w:rsid w:val="00B364C7"/>
    <w:rsid w:val="00B369B2"/>
    <w:rsid w:val="00B36FEC"/>
    <w:rsid w:val="00B40155"/>
    <w:rsid w:val="00B417F7"/>
    <w:rsid w:val="00B436F4"/>
    <w:rsid w:val="00B448AF"/>
    <w:rsid w:val="00B4491C"/>
    <w:rsid w:val="00B45B05"/>
    <w:rsid w:val="00B46419"/>
    <w:rsid w:val="00B46B9E"/>
    <w:rsid w:val="00B46ECC"/>
    <w:rsid w:val="00B4717F"/>
    <w:rsid w:val="00B47A7A"/>
    <w:rsid w:val="00B5023F"/>
    <w:rsid w:val="00B509A5"/>
    <w:rsid w:val="00B509F1"/>
    <w:rsid w:val="00B50C3E"/>
    <w:rsid w:val="00B513EA"/>
    <w:rsid w:val="00B516A1"/>
    <w:rsid w:val="00B528D4"/>
    <w:rsid w:val="00B52C5E"/>
    <w:rsid w:val="00B52CB0"/>
    <w:rsid w:val="00B53F85"/>
    <w:rsid w:val="00B54EAE"/>
    <w:rsid w:val="00B54FCF"/>
    <w:rsid w:val="00B5599B"/>
    <w:rsid w:val="00B565D9"/>
    <w:rsid w:val="00B568D2"/>
    <w:rsid w:val="00B57676"/>
    <w:rsid w:val="00B60E88"/>
    <w:rsid w:val="00B6157B"/>
    <w:rsid w:val="00B61E59"/>
    <w:rsid w:val="00B620B6"/>
    <w:rsid w:val="00B6301F"/>
    <w:rsid w:val="00B6419E"/>
    <w:rsid w:val="00B6470A"/>
    <w:rsid w:val="00B64D9F"/>
    <w:rsid w:val="00B65419"/>
    <w:rsid w:val="00B65648"/>
    <w:rsid w:val="00B657A3"/>
    <w:rsid w:val="00B67F71"/>
    <w:rsid w:val="00B70056"/>
    <w:rsid w:val="00B7100F"/>
    <w:rsid w:val="00B71D86"/>
    <w:rsid w:val="00B729F3"/>
    <w:rsid w:val="00B72BCB"/>
    <w:rsid w:val="00B740A3"/>
    <w:rsid w:val="00B748EA"/>
    <w:rsid w:val="00B74BAD"/>
    <w:rsid w:val="00B74C18"/>
    <w:rsid w:val="00B74EA8"/>
    <w:rsid w:val="00B75F18"/>
    <w:rsid w:val="00B76BDB"/>
    <w:rsid w:val="00B80046"/>
    <w:rsid w:val="00B80CBB"/>
    <w:rsid w:val="00B80CF8"/>
    <w:rsid w:val="00B81CB0"/>
    <w:rsid w:val="00B820DA"/>
    <w:rsid w:val="00B83B00"/>
    <w:rsid w:val="00B83CB3"/>
    <w:rsid w:val="00B84834"/>
    <w:rsid w:val="00B84898"/>
    <w:rsid w:val="00B854F3"/>
    <w:rsid w:val="00B8648E"/>
    <w:rsid w:val="00B87EFF"/>
    <w:rsid w:val="00B9014C"/>
    <w:rsid w:val="00B90368"/>
    <w:rsid w:val="00B908C5"/>
    <w:rsid w:val="00B90A51"/>
    <w:rsid w:val="00B92A72"/>
    <w:rsid w:val="00B931E5"/>
    <w:rsid w:val="00B93349"/>
    <w:rsid w:val="00B94908"/>
    <w:rsid w:val="00B94BEF"/>
    <w:rsid w:val="00B95782"/>
    <w:rsid w:val="00B96039"/>
    <w:rsid w:val="00B96311"/>
    <w:rsid w:val="00B96C6A"/>
    <w:rsid w:val="00B97377"/>
    <w:rsid w:val="00B9772F"/>
    <w:rsid w:val="00BA0D1A"/>
    <w:rsid w:val="00BA138F"/>
    <w:rsid w:val="00BA22D2"/>
    <w:rsid w:val="00BA2312"/>
    <w:rsid w:val="00BA2726"/>
    <w:rsid w:val="00BA2B86"/>
    <w:rsid w:val="00BA361D"/>
    <w:rsid w:val="00BA4BBA"/>
    <w:rsid w:val="00BA4F60"/>
    <w:rsid w:val="00BA5986"/>
    <w:rsid w:val="00BA7343"/>
    <w:rsid w:val="00BA7C73"/>
    <w:rsid w:val="00BB043A"/>
    <w:rsid w:val="00BB0CEF"/>
    <w:rsid w:val="00BB1270"/>
    <w:rsid w:val="00BB1EA3"/>
    <w:rsid w:val="00BB21B2"/>
    <w:rsid w:val="00BB2BEA"/>
    <w:rsid w:val="00BB2C46"/>
    <w:rsid w:val="00BB2D7D"/>
    <w:rsid w:val="00BB4BBF"/>
    <w:rsid w:val="00BB5CA9"/>
    <w:rsid w:val="00BB6657"/>
    <w:rsid w:val="00BB7169"/>
    <w:rsid w:val="00BB7ACD"/>
    <w:rsid w:val="00BB7B1F"/>
    <w:rsid w:val="00BB7D6C"/>
    <w:rsid w:val="00BB7F15"/>
    <w:rsid w:val="00BB7FB2"/>
    <w:rsid w:val="00BC0BAA"/>
    <w:rsid w:val="00BC1D2F"/>
    <w:rsid w:val="00BC2AB4"/>
    <w:rsid w:val="00BC3A7C"/>
    <w:rsid w:val="00BC3C86"/>
    <w:rsid w:val="00BC4074"/>
    <w:rsid w:val="00BC41B4"/>
    <w:rsid w:val="00BC446E"/>
    <w:rsid w:val="00BC4789"/>
    <w:rsid w:val="00BC5C1F"/>
    <w:rsid w:val="00BC67C0"/>
    <w:rsid w:val="00BC6B28"/>
    <w:rsid w:val="00BC79E0"/>
    <w:rsid w:val="00BC7BEC"/>
    <w:rsid w:val="00BC7E24"/>
    <w:rsid w:val="00BD0A6B"/>
    <w:rsid w:val="00BD0AA7"/>
    <w:rsid w:val="00BD0C66"/>
    <w:rsid w:val="00BD1365"/>
    <w:rsid w:val="00BD1C5F"/>
    <w:rsid w:val="00BD230F"/>
    <w:rsid w:val="00BD2901"/>
    <w:rsid w:val="00BD4241"/>
    <w:rsid w:val="00BD49E5"/>
    <w:rsid w:val="00BD5100"/>
    <w:rsid w:val="00BD5735"/>
    <w:rsid w:val="00BD5EAF"/>
    <w:rsid w:val="00BD6D63"/>
    <w:rsid w:val="00BD7807"/>
    <w:rsid w:val="00BD7F37"/>
    <w:rsid w:val="00BE04F7"/>
    <w:rsid w:val="00BE1628"/>
    <w:rsid w:val="00BE201E"/>
    <w:rsid w:val="00BE229E"/>
    <w:rsid w:val="00BE4078"/>
    <w:rsid w:val="00BE41CB"/>
    <w:rsid w:val="00BE55F3"/>
    <w:rsid w:val="00BE5F20"/>
    <w:rsid w:val="00BE5FA6"/>
    <w:rsid w:val="00BE60D4"/>
    <w:rsid w:val="00BE625F"/>
    <w:rsid w:val="00BE6D93"/>
    <w:rsid w:val="00BE7B05"/>
    <w:rsid w:val="00BF24C0"/>
    <w:rsid w:val="00BF27E4"/>
    <w:rsid w:val="00BF2F90"/>
    <w:rsid w:val="00BF32D8"/>
    <w:rsid w:val="00BF3526"/>
    <w:rsid w:val="00BF3B15"/>
    <w:rsid w:val="00BF4033"/>
    <w:rsid w:val="00BF4894"/>
    <w:rsid w:val="00BF49C3"/>
    <w:rsid w:val="00BF59A5"/>
    <w:rsid w:val="00BF6126"/>
    <w:rsid w:val="00BF640F"/>
    <w:rsid w:val="00BF6737"/>
    <w:rsid w:val="00BF691B"/>
    <w:rsid w:val="00BF6B5B"/>
    <w:rsid w:val="00BF7738"/>
    <w:rsid w:val="00C0049C"/>
    <w:rsid w:val="00C008CA"/>
    <w:rsid w:val="00C008FC"/>
    <w:rsid w:val="00C01569"/>
    <w:rsid w:val="00C016CB"/>
    <w:rsid w:val="00C01DBF"/>
    <w:rsid w:val="00C02649"/>
    <w:rsid w:val="00C038EE"/>
    <w:rsid w:val="00C05602"/>
    <w:rsid w:val="00C065CD"/>
    <w:rsid w:val="00C06BAD"/>
    <w:rsid w:val="00C06CF6"/>
    <w:rsid w:val="00C107CC"/>
    <w:rsid w:val="00C10942"/>
    <w:rsid w:val="00C10C8F"/>
    <w:rsid w:val="00C11C89"/>
    <w:rsid w:val="00C12732"/>
    <w:rsid w:val="00C13007"/>
    <w:rsid w:val="00C13421"/>
    <w:rsid w:val="00C14849"/>
    <w:rsid w:val="00C14E9E"/>
    <w:rsid w:val="00C15599"/>
    <w:rsid w:val="00C15BEF"/>
    <w:rsid w:val="00C16079"/>
    <w:rsid w:val="00C1706F"/>
    <w:rsid w:val="00C17094"/>
    <w:rsid w:val="00C20128"/>
    <w:rsid w:val="00C20263"/>
    <w:rsid w:val="00C203CF"/>
    <w:rsid w:val="00C2327C"/>
    <w:rsid w:val="00C254A9"/>
    <w:rsid w:val="00C255E9"/>
    <w:rsid w:val="00C25625"/>
    <w:rsid w:val="00C2624F"/>
    <w:rsid w:val="00C273F5"/>
    <w:rsid w:val="00C27906"/>
    <w:rsid w:val="00C27D8A"/>
    <w:rsid w:val="00C30766"/>
    <w:rsid w:val="00C326BC"/>
    <w:rsid w:val="00C32C39"/>
    <w:rsid w:val="00C33F8D"/>
    <w:rsid w:val="00C340A3"/>
    <w:rsid w:val="00C340A4"/>
    <w:rsid w:val="00C346B9"/>
    <w:rsid w:val="00C34D3E"/>
    <w:rsid w:val="00C3617B"/>
    <w:rsid w:val="00C36CF6"/>
    <w:rsid w:val="00C374A0"/>
    <w:rsid w:val="00C37C1A"/>
    <w:rsid w:val="00C41D47"/>
    <w:rsid w:val="00C4262A"/>
    <w:rsid w:val="00C43219"/>
    <w:rsid w:val="00C4398C"/>
    <w:rsid w:val="00C44ABB"/>
    <w:rsid w:val="00C450DB"/>
    <w:rsid w:val="00C451B9"/>
    <w:rsid w:val="00C456AD"/>
    <w:rsid w:val="00C46071"/>
    <w:rsid w:val="00C461E8"/>
    <w:rsid w:val="00C46875"/>
    <w:rsid w:val="00C46E6D"/>
    <w:rsid w:val="00C522D3"/>
    <w:rsid w:val="00C52920"/>
    <w:rsid w:val="00C534F9"/>
    <w:rsid w:val="00C53A37"/>
    <w:rsid w:val="00C53C33"/>
    <w:rsid w:val="00C53DE0"/>
    <w:rsid w:val="00C551D4"/>
    <w:rsid w:val="00C55461"/>
    <w:rsid w:val="00C56047"/>
    <w:rsid w:val="00C5723E"/>
    <w:rsid w:val="00C579AA"/>
    <w:rsid w:val="00C608A4"/>
    <w:rsid w:val="00C61900"/>
    <w:rsid w:val="00C62355"/>
    <w:rsid w:val="00C6279D"/>
    <w:rsid w:val="00C62A87"/>
    <w:rsid w:val="00C62D77"/>
    <w:rsid w:val="00C63BBE"/>
    <w:rsid w:val="00C63EFF"/>
    <w:rsid w:val="00C64C8E"/>
    <w:rsid w:val="00C65C47"/>
    <w:rsid w:val="00C65F38"/>
    <w:rsid w:val="00C660BB"/>
    <w:rsid w:val="00C66AA5"/>
    <w:rsid w:val="00C66ACC"/>
    <w:rsid w:val="00C671ED"/>
    <w:rsid w:val="00C67425"/>
    <w:rsid w:val="00C679C0"/>
    <w:rsid w:val="00C67BB1"/>
    <w:rsid w:val="00C707B1"/>
    <w:rsid w:val="00C70984"/>
    <w:rsid w:val="00C724CC"/>
    <w:rsid w:val="00C726B1"/>
    <w:rsid w:val="00C727BC"/>
    <w:rsid w:val="00C72855"/>
    <w:rsid w:val="00C73330"/>
    <w:rsid w:val="00C738FD"/>
    <w:rsid w:val="00C73C05"/>
    <w:rsid w:val="00C73E9E"/>
    <w:rsid w:val="00C741C4"/>
    <w:rsid w:val="00C754AF"/>
    <w:rsid w:val="00C7572D"/>
    <w:rsid w:val="00C75881"/>
    <w:rsid w:val="00C75EB2"/>
    <w:rsid w:val="00C7665C"/>
    <w:rsid w:val="00C76D71"/>
    <w:rsid w:val="00C77432"/>
    <w:rsid w:val="00C774C1"/>
    <w:rsid w:val="00C779B8"/>
    <w:rsid w:val="00C80329"/>
    <w:rsid w:val="00C80AA9"/>
    <w:rsid w:val="00C80C5C"/>
    <w:rsid w:val="00C81ECE"/>
    <w:rsid w:val="00C81F70"/>
    <w:rsid w:val="00C82AE2"/>
    <w:rsid w:val="00C82FC3"/>
    <w:rsid w:val="00C8311D"/>
    <w:rsid w:val="00C83780"/>
    <w:rsid w:val="00C83C49"/>
    <w:rsid w:val="00C8441D"/>
    <w:rsid w:val="00C8443C"/>
    <w:rsid w:val="00C86128"/>
    <w:rsid w:val="00C904BB"/>
    <w:rsid w:val="00C9097E"/>
    <w:rsid w:val="00C91CAC"/>
    <w:rsid w:val="00C9222C"/>
    <w:rsid w:val="00C9223D"/>
    <w:rsid w:val="00C92681"/>
    <w:rsid w:val="00C940F0"/>
    <w:rsid w:val="00C94B38"/>
    <w:rsid w:val="00C94E2B"/>
    <w:rsid w:val="00C94FC4"/>
    <w:rsid w:val="00C9581D"/>
    <w:rsid w:val="00C95E3E"/>
    <w:rsid w:val="00C96A3D"/>
    <w:rsid w:val="00C976E1"/>
    <w:rsid w:val="00C97AC5"/>
    <w:rsid w:val="00C97BC3"/>
    <w:rsid w:val="00CA02AE"/>
    <w:rsid w:val="00CA0E23"/>
    <w:rsid w:val="00CA3086"/>
    <w:rsid w:val="00CA3246"/>
    <w:rsid w:val="00CA3BEF"/>
    <w:rsid w:val="00CA421E"/>
    <w:rsid w:val="00CA446F"/>
    <w:rsid w:val="00CA44A5"/>
    <w:rsid w:val="00CA46A6"/>
    <w:rsid w:val="00CA54B5"/>
    <w:rsid w:val="00CA5B85"/>
    <w:rsid w:val="00CA61A8"/>
    <w:rsid w:val="00CA62C6"/>
    <w:rsid w:val="00CA74E2"/>
    <w:rsid w:val="00CB0A70"/>
    <w:rsid w:val="00CB13D8"/>
    <w:rsid w:val="00CB16BC"/>
    <w:rsid w:val="00CB24F0"/>
    <w:rsid w:val="00CB2BC0"/>
    <w:rsid w:val="00CB3176"/>
    <w:rsid w:val="00CB3452"/>
    <w:rsid w:val="00CB3A22"/>
    <w:rsid w:val="00CB3D99"/>
    <w:rsid w:val="00CB3F68"/>
    <w:rsid w:val="00CB4D60"/>
    <w:rsid w:val="00CB5F9F"/>
    <w:rsid w:val="00CB7354"/>
    <w:rsid w:val="00CB76F3"/>
    <w:rsid w:val="00CB782C"/>
    <w:rsid w:val="00CB7AE3"/>
    <w:rsid w:val="00CB7C32"/>
    <w:rsid w:val="00CC0410"/>
    <w:rsid w:val="00CC0765"/>
    <w:rsid w:val="00CC089B"/>
    <w:rsid w:val="00CC0B70"/>
    <w:rsid w:val="00CC0E5F"/>
    <w:rsid w:val="00CC1B06"/>
    <w:rsid w:val="00CC1DF6"/>
    <w:rsid w:val="00CC2507"/>
    <w:rsid w:val="00CC2913"/>
    <w:rsid w:val="00CC2BA4"/>
    <w:rsid w:val="00CC31CE"/>
    <w:rsid w:val="00CC3276"/>
    <w:rsid w:val="00CC3575"/>
    <w:rsid w:val="00CC3669"/>
    <w:rsid w:val="00CC3A41"/>
    <w:rsid w:val="00CC3EA9"/>
    <w:rsid w:val="00CC5D0B"/>
    <w:rsid w:val="00CC5F52"/>
    <w:rsid w:val="00CC616F"/>
    <w:rsid w:val="00CC637D"/>
    <w:rsid w:val="00CC6964"/>
    <w:rsid w:val="00CC7641"/>
    <w:rsid w:val="00CC77B6"/>
    <w:rsid w:val="00CD0C9F"/>
    <w:rsid w:val="00CD10BD"/>
    <w:rsid w:val="00CD15AB"/>
    <w:rsid w:val="00CD165A"/>
    <w:rsid w:val="00CD2F05"/>
    <w:rsid w:val="00CD3010"/>
    <w:rsid w:val="00CD3A99"/>
    <w:rsid w:val="00CD568A"/>
    <w:rsid w:val="00CD5D7E"/>
    <w:rsid w:val="00CD5E2E"/>
    <w:rsid w:val="00CD5FF7"/>
    <w:rsid w:val="00CD6A32"/>
    <w:rsid w:val="00CD7052"/>
    <w:rsid w:val="00CE0810"/>
    <w:rsid w:val="00CE0BC5"/>
    <w:rsid w:val="00CE1E3A"/>
    <w:rsid w:val="00CE3CF7"/>
    <w:rsid w:val="00CE3FD5"/>
    <w:rsid w:val="00CE4AF7"/>
    <w:rsid w:val="00CE5218"/>
    <w:rsid w:val="00CE5291"/>
    <w:rsid w:val="00CE5297"/>
    <w:rsid w:val="00CE705F"/>
    <w:rsid w:val="00CE730B"/>
    <w:rsid w:val="00CF0925"/>
    <w:rsid w:val="00CF0992"/>
    <w:rsid w:val="00CF0A9F"/>
    <w:rsid w:val="00CF1210"/>
    <w:rsid w:val="00CF199C"/>
    <w:rsid w:val="00CF1C5D"/>
    <w:rsid w:val="00CF1D9B"/>
    <w:rsid w:val="00CF2EBF"/>
    <w:rsid w:val="00CF3650"/>
    <w:rsid w:val="00CF431A"/>
    <w:rsid w:val="00CF5F1A"/>
    <w:rsid w:val="00CF6600"/>
    <w:rsid w:val="00CF6C3C"/>
    <w:rsid w:val="00D00BDB"/>
    <w:rsid w:val="00D01A38"/>
    <w:rsid w:val="00D01AC4"/>
    <w:rsid w:val="00D02A03"/>
    <w:rsid w:val="00D031EF"/>
    <w:rsid w:val="00D03286"/>
    <w:rsid w:val="00D03AE5"/>
    <w:rsid w:val="00D0419B"/>
    <w:rsid w:val="00D04278"/>
    <w:rsid w:val="00D04441"/>
    <w:rsid w:val="00D04A8F"/>
    <w:rsid w:val="00D064D6"/>
    <w:rsid w:val="00D068E2"/>
    <w:rsid w:val="00D06A1F"/>
    <w:rsid w:val="00D06DD7"/>
    <w:rsid w:val="00D07014"/>
    <w:rsid w:val="00D10890"/>
    <w:rsid w:val="00D111E8"/>
    <w:rsid w:val="00D119F5"/>
    <w:rsid w:val="00D11AE3"/>
    <w:rsid w:val="00D12048"/>
    <w:rsid w:val="00D129B3"/>
    <w:rsid w:val="00D13C77"/>
    <w:rsid w:val="00D14B82"/>
    <w:rsid w:val="00D163E8"/>
    <w:rsid w:val="00D1680D"/>
    <w:rsid w:val="00D16FB0"/>
    <w:rsid w:val="00D17848"/>
    <w:rsid w:val="00D17949"/>
    <w:rsid w:val="00D200EA"/>
    <w:rsid w:val="00D2013F"/>
    <w:rsid w:val="00D20F0D"/>
    <w:rsid w:val="00D21138"/>
    <w:rsid w:val="00D21D55"/>
    <w:rsid w:val="00D21FDB"/>
    <w:rsid w:val="00D22C5A"/>
    <w:rsid w:val="00D22F19"/>
    <w:rsid w:val="00D2309F"/>
    <w:rsid w:val="00D23367"/>
    <w:rsid w:val="00D23819"/>
    <w:rsid w:val="00D241DC"/>
    <w:rsid w:val="00D24B6B"/>
    <w:rsid w:val="00D24C40"/>
    <w:rsid w:val="00D25677"/>
    <w:rsid w:val="00D258EC"/>
    <w:rsid w:val="00D269C9"/>
    <w:rsid w:val="00D26F2C"/>
    <w:rsid w:val="00D27C06"/>
    <w:rsid w:val="00D3041A"/>
    <w:rsid w:val="00D30F39"/>
    <w:rsid w:val="00D31602"/>
    <w:rsid w:val="00D3219B"/>
    <w:rsid w:val="00D3259C"/>
    <w:rsid w:val="00D346F0"/>
    <w:rsid w:val="00D357B6"/>
    <w:rsid w:val="00D36232"/>
    <w:rsid w:val="00D375AA"/>
    <w:rsid w:val="00D37802"/>
    <w:rsid w:val="00D37C1D"/>
    <w:rsid w:val="00D40788"/>
    <w:rsid w:val="00D4138B"/>
    <w:rsid w:val="00D41BEE"/>
    <w:rsid w:val="00D42151"/>
    <w:rsid w:val="00D42238"/>
    <w:rsid w:val="00D42580"/>
    <w:rsid w:val="00D42BF8"/>
    <w:rsid w:val="00D42CB7"/>
    <w:rsid w:val="00D42CF0"/>
    <w:rsid w:val="00D42D51"/>
    <w:rsid w:val="00D43875"/>
    <w:rsid w:val="00D43BBB"/>
    <w:rsid w:val="00D441F8"/>
    <w:rsid w:val="00D443B3"/>
    <w:rsid w:val="00D44E54"/>
    <w:rsid w:val="00D45999"/>
    <w:rsid w:val="00D45BF1"/>
    <w:rsid w:val="00D45CA2"/>
    <w:rsid w:val="00D45CC6"/>
    <w:rsid w:val="00D46D96"/>
    <w:rsid w:val="00D46F81"/>
    <w:rsid w:val="00D47C0C"/>
    <w:rsid w:val="00D47D21"/>
    <w:rsid w:val="00D47F72"/>
    <w:rsid w:val="00D501ED"/>
    <w:rsid w:val="00D50207"/>
    <w:rsid w:val="00D50954"/>
    <w:rsid w:val="00D513B6"/>
    <w:rsid w:val="00D5234A"/>
    <w:rsid w:val="00D524E3"/>
    <w:rsid w:val="00D53C2A"/>
    <w:rsid w:val="00D55204"/>
    <w:rsid w:val="00D55463"/>
    <w:rsid w:val="00D55793"/>
    <w:rsid w:val="00D55E77"/>
    <w:rsid w:val="00D563E0"/>
    <w:rsid w:val="00D569AA"/>
    <w:rsid w:val="00D56FDA"/>
    <w:rsid w:val="00D57CB6"/>
    <w:rsid w:val="00D57CDC"/>
    <w:rsid w:val="00D60623"/>
    <w:rsid w:val="00D60E68"/>
    <w:rsid w:val="00D61370"/>
    <w:rsid w:val="00D6304A"/>
    <w:rsid w:val="00D63196"/>
    <w:rsid w:val="00D638A4"/>
    <w:rsid w:val="00D64425"/>
    <w:rsid w:val="00D64E7C"/>
    <w:rsid w:val="00D64EF3"/>
    <w:rsid w:val="00D6541D"/>
    <w:rsid w:val="00D661C2"/>
    <w:rsid w:val="00D665D6"/>
    <w:rsid w:val="00D671D0"/>
    <w:rsid w:val="00D70743"/>
    <w:rsid w:val="00D70E5B"/>
    <w:rsid w:val="00D71C55"/>
    <w:rsid w:val="00D72460"/>
    <w:rsid w:val="00D726D6"/>
    <w:rsid w:val="00D72967"/>
    <w:rsid w:val="00D738AB"/>
    <w:rsid w:val="00D73B17"/>
    <w:rsid w:val="00D74BD9"/>
    <w:rsid w:val="00D76256"/>
    <w:rsid w:val="00D77097"/>
    <w:rsid w:val="00D7720E"/>
    <w:rsid w:val="00D7735B"/>
    <w:rsid w:val="00D77467"/>
    <w:rsid w:val="00D77C87"/>
    <w:rsid w:val="00D800A7"/>
    <w:rsid w:val="00D804A7"/>
    <w:rsid w:val="00D82C75"/>
    <w:rsid w:val="00D831BD"/>
    <w:rsid w:val="00D83F27"/>
    <w:rsid w:val="00D84534"/>
    <w:rsid w:val="00D84AFD"/>
    <w:rsid w:val="00D84C0C"/>
    <w:rsid w:val="00D85758"/>
    <w:rsid w:val="00D86424"/>
    <w:rsid w:val="00D8671E"/>
    <w:rsid w:val="00D86C58"/>
    <w:rsid w:val="00D8757A"/>
    <w:rsid w:val="00D9019D"/>
    <w:rsid w:val="00D91207"/>
    <w:rsid w:val="00D91706"/>
    <w:rsid w:val="00D9170D"/>
    <w:rsid w:val="00D91E86"/>
    <w:rsid w:val="00D92A94"/>
    <w:rsid w:val="00D93EF5"/>
    <w:rsid w:val="00D94334"/>
    <w:rsid w:val="00D946B1"/>
    <w:rsid w:val="00D94C8D"/>
    <w:rsid w:val="00D94E3A"/>
    <w:rsid w:val="00D95369"/>
    <w:rsid w:val="00D953B3"/>
    <w:rsid w:val="00D95E71"/>
    <w:rsid w:val="00D95E91"/>
    <w:rsid w:val="00D963FD"/>
    <w:rsid w:val="00D97D25"/>
    <w:rsid w:val="00DA0D1D"/>
    <w:rsid w:val="00DA0E9D"/>
    <w:rsid w:val="00DA1590"/>
    <w:rsid w:val="00DA2134"/>
    <w:rsid w:val="00DA2704"/>
    <w:rsid w:val="00DA2A67"/>
    <w:rsid w:val="00DA2B20"/>
    <w:rsid w:val="00DA2D62"/>
    <w:rsid w:val="00DA32C2"/>
    <w:rsid w:val="00DA3FE7"/>
    <w:rsid w:val="00DA4785"/>
    <w:rsid w:val="00DA546B"/>
    <w:rsid w:val="00DA576E"/>
    <w:rsid w:val="00DA6198"/>
    <w:rsid w:val="00DA7920"/>
    <w:rsid w:val="00DA7AC6"/>
    <w:rsid w:val="00DA7BD2"/>
    <w:rsid w:val="00DB2C69"/>
    <w:rsid w:val="00DB3443"/>
    <w:rsid w:val="00DB511C"/>
    <w:rsid w:val="00DB7F9B"/>
    <w:rsid w:val="00DC0047"/>
    <w:rsid w:val="00DC0AD7"/>
    <w:rsid w:val="00DC1290"/>
    <w:rsid w:val="00DC15F9"/>
    <w:rsid w:val="00DC198A"/>
    <w:rsid w:val="00DC2BDF"/>
    <w:rsid w:val="00DC2CF0"/>
    <w:rsid w:val="00DC2E04"/>
    <w:rsid w:val="00DC2F19"/>
    <w:rsid w:val="00DC57FC"/>
    <w:rsid w:val="00DC5C0D"/>
    <w:rsid w:val="00DC68B6"/>
    <w:rsid w:val="00DC72C0"/>
    <w:rsid w:val="00DC7EAC"/>
    <w:rsid w:val="00DD0308"/>
    <w:rsid w:val="00DD0D1F"/>
    <w:rsid w:val="00DD1590"/>
    <w:rsid w:val="00DD2561"/>
    <w:rsid w:val="00DD2830"/>
    <w:rsid w:val="00DD290C"/>
    <w:rsid w:val="00DD2C6C"/>
    <w:rsid w:val="00DD3088"/>
    <w:rsid w:val="00DD31EF"/>
    <w:rsid w:val="00DD4C4E"/>
    <w:rsid w:val="00DD55B1"/>
    <w:rsid w:val="00DD6E4F"/>
    <w:rsid w:val="00DD7A9D"/>
    <w:rsid w:val="00DE0340"/>
    <w:rsid w:val="00DE1385"/>
    <w:rsid w:val="00DE229E"/>
    <w:rsid w:val="00DE24AC"/>
    <w:rsid w:val="00DE2D91"/>
    <w:rsid w:val="00DE3C7C"/>
    <w:rsid w:val="00DE3FB3"/>
    <w:rsid w:val="00DE4AFA"/>
    <w:rsid w:val="00DE4D7A"/>
    <w:rsid w:val="00DE5994"/>
    <w:rsid w:val="00DE5B6B"/>
    <w:rsid w:val="00DE5ED0"/>
    <w:rsid w:val="00DE77A3"/>
    <w:rsid w:val="00DE7C1A"/>
    <w:rsid w:val="00DE7FE6"/>
    <w:rsid w:val="00DF0F70"/>
    <w:rsid w:val="00DF1167"/>
    <w:rsid w:val="00DF179C"/>
    <w:rsid w:val="00DF2BA6"/>
    <w:rsid w:val="00DF2C6B"/>
    <w:rsid w:val="00DF2E39"/>
    <w:rsid w:val="00DF44D3"/>
    <w:rsid w:val="00DF5EB5"/>
    <w:rsid w:val="00DF6148"/>
    <w:rsid w:val="00DF67AE"/>
    <w:rsid w:val="00DF6832"/>
    <w:rsid w:val="00DF6967"/>
    <w:rsid w:val="00DF6E21"/>
    <w:rsid w:val="00DF7BDD"/>
    <w:rsid w:val="00E00723"/>
    <w:rsid w:val="00E01137"/>
    <w:rsid w:val="00E0282D"/>
    <w:rsid w:val="00E0287B"/>
    <w:rsid w:val="00E04508"/>
    <w:rsid w:val="00E05017"/>
    <w:rsid w:val="00E0534B"/>
    <w:rsid w:val="00E059F5"/>
    <w:rsid w:val="00E07169"/>
    <w:rsid w:val="00E10300"/>
    <w:rsid w:val="00E1043A"/>
    <w:rsid w:val="00E1213F"/>
    <w:rsid w:val="00E12A58"/>
    <w:rsid w:val="00E12E41"/>
    <w:rsid w:val="00E12F3B"/>
    <w:rsid w:val="00E12F98"/>
    <w:rsid w:val="00E133F4"/>
    <w:rsid w:val="00E13660"/>
    <w:rsid w:val="00E13C37"/>
    <w:rsid w:val="00E15996"/>
    <w:rsid w:val="00E15BC2"/>
    <w:rsid w:val="00E166FF"/>
    <w:rsid w:val="00E171E1"/>
    <w:rsid w:val="00E17360"/>
    <w:rsid w:val="00E1760B"/>
    <w:rsid w:val="00E200D8"/>
    <w:rsid w:val="00E20623"/>
    <w:rsid w:val="00E20F48"/>
    <w:rsid w:val="00E21CB4"/>
    <w:rsid w:val="00E22429"/>
    <w:rsid w:val="00E22526"/>
    <w:rsid w:val="00E229D8"/>
    <w:rsid w:val="00E231CA"/>
    <w:rsid w:val="00E24503"/>
    <w:rsid w:val="00E24D08"/>
    <w:rsid w:val="00E24DFE"/>
    <w:rsid w:val="00E25550"/>
    <w:rsid w:val="00E25598"/>
    <w:rsid w:val="00E25D32"/>
    <w:rsid w:val="00E25DD0"/>
    <w:rsid w:val="00E27F2A"/>
    <w:rsid w:val="00E30A63"/>
    <w:rsid w:val="00E3450C"/>
    <w:rsid w:val="00E34B23"/>
    <w:rsid w:val="00E35893"/>
    <w:rsid w:val="00E372C9"/>
    <w:rsid w:val="00E400CC"/>
    <w:rsid w:val="00E40DAE"/>
    <w:rsid w:val="00E40DD6"/>
    <w:rsid w:val="00E40F1D"/>
    <w:rsid w:val="00E40FFA"/>
    <w:rsid w:val="00E4108C"/>
    <w:rsid w:val="00E4318E"/>
    <w:rsid w:val="00E440D9"/>
    <w:rsid w:val="00E44ED9"/>
    <w:rsid w:val="00E45365"/>
    <w:rsid w:val="00E461C6"/>
    <w:rsid w:val="00E465F4"/>
    <w:rsid w:val="00E46FD8"/>
    <w:rsid w:val="00E47276"/>
    <w:rsid w:val="00E5015B"/>
    <w:rsid w:val="00E514FC"/>
    <w:rsid w:val="00E517E8"/>
    <w:rsid w:val="00E52431"/>
    <w:rsid w:val="00E5275F"/>
    <w:rsid w:val="00E52BDF"/>
    <w:rsid w:val="00E53136"/>
    <w:rsid w:val="00E53180"/>
    <w:rsid w:val="00E5453E"/>
    <w:rsid w:val="00E54C83"/>
    <w:rsid w:val="00E54CD3"/>
    <w:rsid w:val="00E54FD2"/>
    <w:rsid w:val="00E5531B"/>
    <w:rsid w:val="00E55D79"/>
    <w:rsid w:val="00E57BD6"/>
    <w:rsid w:val="00E57C6F"/>
    <w:rsid w:val="00E602CE"/>
    <w:rsid w:val="00E6040F"/>
    <w:rsid w:val="00E60557"/>
    <w:rsid w:val="00E60A22"/>
    <w:rsid w:val="00E61D79"/>
    <w:rsid w:val="00E62756"/>
    <w:rsid w:val="00E657C5"/>
    <w:rsid w:val="00E66137"/>
    <w:rsid w:val="00E66A62"/>
    <w:rsid w:val="00E66ACD"/>
    <w:rsid w:val="00E67248"/>
    <w:rsid w:val="00E700F4"/>
    <w:rsid w:val="00E72125"/>
    <w:rsid w:val="00E722AE"/>
    <w:rsid w:val="00E728CB"/>
    <w:rsid w:val="00E732C7"/>
    <w:rsid w:val="00E7356D"/>
    <w:rsid w:val="00E73CFA"/>
    <w:rsid w:val="00E741FA"/>
    <w:rsid w:val="00E74259"/>
    <w:rsid w:val="00E74D0C"/>
    <w:rsid w:val="00E7552B"/>
    <w:rsid w:val="00E75770"/>
    <w:rsid w:val="00E75D24"/>
    <w:rsid w:val="00E75DEE"/>
    <w:rsid w:val="00E76B37"/>
    <w:rsid w:val="00E76F93"/>
    <w:rsid w:val="00E77CF3"/>
    <w:rsid w:val="00E77F1F"/>
    <w:rsid w:val="00E81A7A"/>
    <w:rsid w:val="00E82A05"/>
    <w:rsid w:val="00E8368C"/>
    <w:rsid w:val="00E83924"/>
    <w:rsid w:val="00E83B48"/>
    <w:rsid w:val="00E84226"/>
    <w:rsid w:val="00E85156"/>
    <w:rsid w:val="00E8525D"/>
    <w:rsid w:val="00E8538A"/>
    <w:rsid w:val="00E8609A"/>
    <w:rsid w:val="00E8734B"/>
    <w:rsid w:val="00E875CD"/>
    <w:rsid w:val="00E8798C"/>
    <w:rsid w:val="00E87A4B"/>
    <w:rsid w:val="00E87DFF"/>
    <w:rsid w:val="00E9004D"/>
    <w:rsid w:val="00E90E27"/>
    <w:rsid w:val="00E90F15"/>
    <w:rsid w:val="00E90F3A"/>
    <w:rsid w:val="00E90F70"/>
    <w:rsid w:val="00E91B53"/>
    <w:rsid w:val="00E91CAF"/>
    <w:rsid w:val="00E91D66"/>
    <w:rsid w:val="00E93F6D"/>
    <w:rsid w:val="00E94392"/>
    <w:rsid w:val="00E946BC"/>
    <w:rsid w:val="00E951A9"/>
    <w:rsid w:val="00E9538C"/>
    <w:rsid w:val="00E95830"/>
    <w:rsid w:val="00E95A20"/>
    <w:rsid w:val="00E95D04"/>
    <w:rsid w:val="00EA094B"/>
    <w:rsid w:val="00EA0CA3"/>
    <w:rsid w:val="00EA129E"/>
    <w:rsid w:val="00EA148F"/>
    <w:rsid w:val="00EA20BF"/>
    <w:rsid w:val="00EA26DB"/>
    <w:rsid w:val="00EA2B9E"/>
    <w:rsid w:val="00EA38CD"/>
    <w:rsid w:val="00EA39C7"/>
    <w:rsid w:val="00EA3C94"/>
    <w:rsid w:val="00EA3F92"/>
    <w:rsid w:val="00EA4704"/>
    <w:rsid w:val="00EA4E70"/>
    <w:rsid w:val="00EA5366"/>
    <w:rsid w:val="00EA5722"/>
    <w:rsid w:val="00EA64C3"/>
    <w:rsid w:val="00EA65B4"/>
    <w:rsid w:val="00EA785C"/>
    <w:rsid w:val="00EB1E7E"/>
    <w:rsid w:val="00EB3288"/>
    <w:rsid w:val="00EB4F32"/>
    <w:rsid w:val="00EB513D"/>
    <w:rsid w:val="00EB536E"/>
    <w:rsid w:val="00EB549D"/>
    <w:rsid w:val="00EB5A8A"/>
    <w:rsid w:val="00EB6A67"/>
    <w:rsid w:val="00EB74E9"/>
    <w:rsid w:val="00EB7BB6"/>
    <w:rsid w:val="00EB7E6D"/>
    <w:rsid w:val="00EC013E"/>
    <w:rsid w:val="00EC08FE"/>
    <w:rsid w:val="00EC17D8"/>
    <w:rsid w:val="00EC1D57"/>
    <w:rsid w:val="00EC1F52"/>
    <w:rsid w:val="00EC28D7"/>
    <w:rsid w:val="00EC337C"/>
    <w:rsid w:val="00EC3532"/>
    <w:rsid w:val="00EC3733"/>
    <w:rsid w:val="00EC4062"/>
    <w:rsid w:val="00EC4F60"/>
    <w:rsid w:val="00EC4FA1"/>
    <w:rsid w:val="00EC535F"/>
    <w:rsid w:val="00EC540C"/>
    <w:rsid w:val="00EC7480"/>
    <w:rsid w:val="00EC797C"/>
    <w:rsid w:val="00EC7D6E"/>
    <w:rsid w:val="00ED0781"/>
    <w:rsid w:val="00ED0BC4"/>
    <w:rsid w:val="00ED0FB7"/>
    <w:rsid w:val="00ED12E8"/>
    <w:rsid w:val="00ED1655"/>
    <w:rsid w:val="00ED1860"/>
    <w:rsid w:val="00ED2098"/>
    <w:rsid w:val="00ED2763"/>
    <w:rsid w:val="00ED2AB3"/>
    <w:rsid w:val="00ED2C91"/>
    <w:rsid w:val="00ED3737"/>
    <w:rsid w:val="00ED4DCF"/>
    <w:rsid w:val="00ED5816"/>
    <w:rsid w:val="00ED5DCB"/>
    <w:rsid w:val="00ED6EA9"/>
    <w:rsid w:val="00ED7200"/>
    <w:rsid w:val="00ED7695"/>
    <w:rsid w:val="00ED78DF"/>
    <w:rsid w:val="00ED7E7E"/>
    <w:rsid w:val="00EE00B8"/>
    <w:rsid w:val="00EE0540"/>
    <w:rsid w:val="00EE0ADE"/>
    <w:rsid w:val="00EE168A"/>
    <w:rsid w:val="00EE1816"/>
    <w:rsid w:val="00EE3362"/>
    <w:rsid w:val="00EE59CB"/>
    <w:rsid w:val="00EE63FC"/>
    <w:rsid w:val="00EE66FD"/>
    <w:rsid w:val="00EE694C"/>
    <w:rsid w:val="00EE6E80"/>
    <w:rsid w:val="00EE7040"/>
    <w:rsid w:val="00EE72C6"/>
    <w:rsid w:val="00EE740F"/>
    <w:rsid w:val="00EE7675"/>
    <w:rsid w:val="00EE772B"/>
    <w:rsid w:val="00EF0BFB"/>
    <w:rsid w:val="00EF2DBF"/>
    <w:rsid w:val="00EF386B"/>
    <w:rsid w:val="00EF3A07"/>
    <w:rsid w:val="00EF49DD"/>
    <w:rsid w:val="00EF505C"/>
    <w:rsid w:val="00EF5AC2"/>
    <w:rsid w:val="00EF6A6E"/>
    <w:rsid w:val="00EF6ABB"/>
    <w:rsid w:val="00EF7344"/>
    <w:rsid w:val="00EF7E32"/>
    <w:rsid w:val="00F0018D"/>
    <w:rsid w:val="00F004A6"/>
    <w:rsid w:val="00F00B73"/>
    <w:rsid w:val="00F00DF7"/>
    <w:rsid w:val="00F00E45"/>
    <w:rsid w:val="00F01524"/>
    <w:rsid w:val="00F020F9"/>
    <w:rsid w:val="00F03554"/>
    <w:rsid w:val="00F03785"/>
    <w:rsid w:val="00F049B4"/>
    <w:rsid w:val="00F04A9A"/>
    <w:rsid w:val="00F04F31"/>
    <w:rsid w:val="00F05531"/>
    <w:rsid w:val="00F065DB"/>
    <w:rsid w:val="00F068A2"/>
    <w:rsid w:val="00F068F0"/>
    <w:rsid w:val="00F0735A"/>
    <w:rsid w:val="00F0744F"/>
    <w:rsid w:val="00F10228"/>
    <w:rsid w:val="00F11F55"/>
    <w:rsid w:val="00F12DD4"/>
    <w:rsid w:val="00F14276"/>
    <w:rsid w:val="00F145E8"/>
    <w:rsid w:val="00F14803"/>
    <w:rsid w:val="00F16211"/>
    <w:rsid w:val="00F16B2F"/>
    <w:rsid w:val="00F16DF8"/>
    <w:rsid w:val="00F16F3E"/>
    <w:rsid w:val="00F17499"/>
    <w:rsid w:val="00F17CC1"/>
    <w:rsid w:val="00F17EFC"/>
    <w:rsid w:val="00F209B4"/>
    <w:rsid w:val="00F20E07"/>
    <w:rsid w:val="00F20E33"/>
    <w:rsid w:val="00F212F4"/>
    <w:rsid w:val="00F22023"/>
    <w:rsid w:val="00F23F53"/>
    <w:rsid w:val="00F23FA6"/>
    <w:rsid w:val="00F2481C"/>
    <w:rsid w:val="00F24859"/>
    <w:rsid w:val="00F24DD9"/>
    <w:rsid w:val="00F2578E"/>
    <w:rsid w:val="00F26339"/>
    <w:rsid w:val="00F26A11"/>
    <w:rsid w:val="00F272B4"/>
    <w:rsid w:val="00F272E7"/>
    <w:rsid w:val="00F30148"/>
    <w:rsid w:val="00F30FC5"/>
    <w:rsid w:val="00F31411"/>
    <w:rsid w:val="00F317CD"/>
    <w:rsid w:val="00F31B60"/>
    <w:rsid w:val="00F3223B"/>
    <w:rsid w:val="00F329BF"/>
    <w:rsid w:val="00F32B89"/>
    <w:rsid w:val="00F3344C"/>
    <w:rsid w:val="00F337FE"/>
    <w:rsid w:val="00F35045"/>
    <w:rsid w:val="00F354FF"/>
    <w:rsid w:val="00F35736"/>
    <w:rsid w:val="00F358B1"/>
    <w:rsid w:val="00F36664"/>
    <w:rsid w:val="00F36EBE"/>
    <w:rsid w:val="00F36F92"/>
    <w:rsid w:val="00F3721C"/>
    <w:rsid w:val="00F3752A"/>
    <w:rsid w:val="00F400D4"/>
    <w:rsid w:val="00F40985"/>
    <w:rsid w:val="00F40ED0"/>
    <w:rsid w:val="00F4270C"/>
    <w:rsid w:val="00F427D9"/>
    <w:rsid w:val="00F432B8"/>
    <w:rsid w:val="00F439EB"/>
    <w:rsid w:val="00F444E1"/>
    <w:rsid w:val="00F44F15"/>
    <w:rsid w:val="00F45132"/>
    <w:rsid w:val="00F453D2"/>
    <w:rsid w:val="00F46476"/>
    <w:rsid w:val="00F466A9"/>
    <w:rsid w:val="00F46CA6"/>
    <w:rsid w:val="00F47132"/>
    <w:rsid w:val="00F47245"/>
    <w:rsid w:val="00F508E4"/>
    <w:rsid w:val="00F50EC0"/>
    <w:rsid w:val="00F5107D"/>
    <w:rsid w:val="00F517F0"/>
    <w:rsid w:val="00F517F4"/>
    <w:rsid w:val="00F5225B"/>
    <w:rsid w:val="00F531BF"/>
    <w:rsid w:val="00F53234"/>
    <w:rsid w:val="00F5353C"/>
    <w:rsid w:val="00F53A2F"/>
    <w:rsid w:val="00F544FE"/>
    <w:rsid w:val="00F547ED"/>
    <w:rsid w:val="00F54D00"/>
    <w:rsid w:val="00F54DC6"/>
    <w:rsid w:val="00F54E7B"/>
    <w:rsid w:val="00F55587"/>
    <w:rsid w:val="00F55636"/>
    <w:rsid w:val="00F55656"/>
    <w:rsid w:val="00F5621E"/>
    <w:rsid w:val="00F5718E"/>
    <w:rsid w:val="00F60131"/>
    <w:rsid w:val="00F601E7"/>
    <w:rsid w:val="00F60900"/>
    <w:rsid w:val="00F6113F"/>
    <w:rsid w:val="00F61B83"/>
    <w:rsid w:val="00F61BC7"/>
    <w:rsid w:val="00F61C15"/>
    <w:rsid w:val="00F61D7D"/>
    <w:rsid w:val="00F62040"/>
    <w:rsid w:val="00F6289B"/>
    <w:rsid w:val="00F62A12"/>
    <w:rsid w:val="00F63BEC"/>
    <w:rsid w:val="00F6475D"/>
    <w:rsid w:val="00F64C1D"/>
    <w:rsid w:val="00F64F66"/>
    <w:rsid w:val="00F64FB2"/>
    <w:rsid w:val="00F65321"/>
    <w:rsid w:val="00F653AA"/>
    <w:rsid w:val="00F65B61"/>
    <w:rsid w:val="00F660ED"/>
    <w:rsid w:val="00F66AA9"/>
    <w:rsid w:val="00F66AF1"/>
    <w:rsid w:val="00F67488"/>
    <w:rsid w:val="00F67C82"/>
    <w:rsid w:val="00F70B47"/>
    <w:rsid w:val="00F717D8"/>
    <w:rsid w:val="00F71D75"/>
    <w:rsid w:val="00F74145"/>
    <w:rsid w:val="00F746AA"/>
    <w:rsid w:val="00F76DD8"/>
    <w:rsid w:val="00F77A88"/>
    <w:rsid w:val="00F80F3A"/>
    <w:rsid w:val="00F81108"/>
    <w:rsid w:val="00F8111D"/>
    <w:rsid w:val="00F81531"/>
    <w:rsid w:val="00F82753"/>
    <w:rsid w:val="00F83769"/>
    <w:rsid w:val="00F847F1"/>
    <w:rsid w:val="00F848B6"/>
    <w:rsid w:val="00F86ED1"/>
    <w:rsid w:val="00F872B7"/>
    <w:rsid w:val="00F90AE7"/>
    <w:rsid w:val="00F9229B"/>
    <w:rsid w:val="00F92B7D"/>
    <w:rsid w:val="00F93CFB"/>
    <w:rsid w:val="00F946D9"/>
    <w:rsid w:val="00F9493D"/>
    <w:rsid w:val="00F94DA7"/>
    <w:rsid w:val="00F9624C"/>
    <w:rsid w:val="00F965A6"/>
    <w:rsid w:val="00F968C5"/>
    <w:rsid w:val="00F96D43"/>
    <w:rsid w:val="00F96FB7"/>
    <w:rsid w:val="00F975E9"/>
    <w:rsid w:val="00F97E2C"/>
    <w:rsid w:val="00F97E67"/>
    <w:rsid w:val="00FA04B7"/>
    <w:rsid w:val="00FA1515"/>
    <w:rsid w:val="00FA1A1E"/>
    <w:rsid w:val="00FA22A4"/>
    <w:rsid w:val="00FA2AAE"/>
    <w:rsid w:val="00FA2ECA"/>
    <w:rsid w:val="00FA37D0"/>
    <w:rsid w:val="00FA4131"/>
    <w:rsid w:val="00FA4413"/>
    <w:rsid w:val="00FA5AFC"/>
    <w:rsid w:val="00FA5B8F"/>
    <w:rsid w:val="00FA6806"/>
    <w:rsid w:val="00FA6B3C"/>
    <w:rsid w:val="00FA6D66"/>
    <w:rsid w:val="00FA6F50"/>
    <w:rsid w:val="00FB0E71"/>
    <w:rsid w:val="00FB1297"/>
    <w:rsid w:val="00FB1799"/>
    <w:rsid w:val="00FB2FD8"/>
    <w:rsid w:val="00FB36A9"/>
    <w:rsid w:val="00FB3781"/>
    <w:rsid w:val="00FB4298"/>
    <w:rsid w:val="00FB45E3"/>
    <w:rsid w:val="00FB46E8"/>
    <w:rsid w:val="00FB4A9D"/>
    <w:rsid w:val="00FB6233"/>
    <w:rsid w:val="00FB6611"/>
    <w:rsid w:val="00FB7A17"/>
    <w:rsid w:val="00FC0589"/>
    <w:rsid w:val="00FC1A47"/>
    <w:rsid w:val="00FC26A5"/>
    <w:rsid w:val="00FC28C5"/>
    <w:rsid w:val="00FC2A3C"/>
    <w:rsid w:val="00FC2DFF"/>
    <w:rsid w:val="00FC3247"/>
    <w:rsid w:val="00FC3506"/>
    <w:rsid w:val="00FC39C4"/>
    <w:rsid w:val="00FC3C71"/>
    <w:rsid w:val="00FC4F08"/>
    <w:rsid w:val="00FC5E45"/>
    <w:rsid w:val="00FC6511"/>
    <w:rsid w:val="00FC6BA4"/>
    <w:rsid w:val="00FC769F"/>
    <w:rsid w:val="00FD0ED5"/>
    <w:rsid w:val="00FD191E"/>
    <w:rsid w:val="00FD19B3"/>
    <w:rsid w:val="00FD28B0"/>
    <w:rsid w:val="00FD28BF"/>
    <w:rsid w:val="00FD2942"/>
    <w:rsid w:val="00FD3084"/>
    <w:rsid w:val="00FD34D6"/>
    <w:rsid w:val="00FD38AF"/>
    <w:rsid w:val="00FD4B8E"/>
    <w:rsid w:val="00FD511E"/>
    <w:rsid w:val="00FD536E"/>
    <w:rsid w:val="00FD60FB"/>
    <w:rsid w:val="00FD74F0"/>
    <w:rsid w:val="00FE0110"/>
    <w:rsid w:val="00FE05ED"/>
    <w:rsid w:val="00FE0D28"/>
    <w:rsid w:val="00FE10AB"/>
    <w:rsid w:val="00FE16DF"/>
    <w:rsid w:val="00FE2821"/>
    <w:rsid w:val="00FE2D8D"/>
    <w:rsid w:val="00FE3B8A"/>
    <w:rsid w:val="00FE3CE6"/>
    <w:rsid w:val="00FE3D65"/>
    <w:rsid w:val="00FE4FB0"/>
    <w:rsid w:val="00FE5115"/>
    <w:rsid w:val="00FE73E2"/>
    <w:rsid w:val="00FE7414"/>
    <w:rsid w:val="00FF0219"/>
    <w:rsid w:val="00FF106A"/>
    <w:rsid w:val="00FF172B"/>
    <w:rsid w:val="00FF1787"/>
    <w:rsid w:val="00FF1FED"/>
    <w:rsid w:val="00FF231C"/>
    <w:rsid w:val="00FF27A6"/>
    <w:rsid w:val="00FF31D8"/>
    <w:rsid w:val="00FF3A00"/>
    <w:rsid w:val="00FF49C9"/>
    <w:rsid w:val="00FF4F2A"/>
    <w:rsid w:val="00FF55B9"/>
    <w:rsid w:val="00FF5990"/>
    <w:rsid w:val="00FF5E59"/>
    <w:rsid w:val="00FF6690"/>
    <w:rsid w:val="00FF6C44"/>
    <w:rsid w:val="00FF6E68"/>
    <w:rsid w:val="00FF74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0">
    <w:name w:val="heading 1"/>
    <w:basedOn w:val="a"/>
    <w:next w:val="a"/>
    <w:link w:val="11"/>
    <w:qFormat/>
    <w:pPr>
      <w:keepNext/>
      <w:spacing w:line="360" w:lineRule="auto"/>
      <w:jc w:val="center"/>
      <w:outlineLvl w:val="0"/>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character" w:styleId="Hyperlink">
    <w:name w:val="Hyperlink"/>
    <w:rPr>
      <w:rFonts w:ascii="Times New Roman" w:hAnsi="Times New Roman" w:cs="Times New Roman"/>
      <w:color w:val="0000FF"/>
      <w:u w:val="single"/>
    </w:rPr>
  </w:style>
  <w:style w:type="character" w:styleId="a6">
    <w:name w:val="page number"/>
    <w:rPr>
      <w:rFonts w:cs="Times New Roman"/>
    </w:rPr>
  </w:style>
  <w:style w:type="paragraph" w:styleId="a7">
    <w:name w:val="Balloon Text"/>
    <w:basedOn w:val="a"/>
    <w:semiHidden/>
    <w:rPr>
      <w:rFonts w:ascii="Tahoma" w:hAnsi="Tahoma"/>
      <w:sz w:val="16"/>
      <w:szCs w:val="16"/>
      <w:lang w:eastAsia="en-US"/>
    </w:rPr>
  </w:style>
  <w:style w:type="paragraph" w:styleId="a8">
    <w:name w:val="footnote text"/>
    <w:basedOn w:val="a"/>
    <w:semiHidden/>
    <w:rsid w:val="00807F97"/>
    <w:rPr>
      <w:rFonts w:ascii="Arial" w:hAnsi="Arial" w:cs="David"/>
      <w:sz w:val="20"/>
      <w:szCs w:val="20"/>
    </w:rPr>
  </w:style>
  <w:style w:type="character" w:styleId="a9">
    <w:name w:val="footnote reference"/>
    <w:semiHidden/>
    <w:rsid w:val="00807F97"/>
    <w:rPr>
      <w:vertAlign w:val="superscript"/>
    </w:rPr>
  </w:style>
  <w:style w:type="paragraph" w:styleId="aa">
    <w:name w:val="Document Map"/>
    <w:basedOn w:val="a"/>
    <w:semiHidden/>
    <w:rsid w:val="001D3FFB"/>
    <w:pPr>
      <w:shd w:val="clear" w:color="auto" w:fill="000080"/>
    </w:pPr>
    <w:rPr>
      <w:rFonts w:ascii="Tahoma" w:hAnsi="Tahoma" w:cs="Tahoma"/>
    </w:rPr>
  </w:style>
  <w:style w:type="character" w:customStyle="1" w:styleId="a5">
    <w:name w:val="כותרת תחתונה תו"/>
    <w:link w:val="a4"/>
    <w:uiPriority w:val="99"/>
    <w:rsid w:val="005A02F2"/>
    <w:rPr>
      <w:sz w:val="24"/>
      <w:szCs w:val="24"/>
      <w:lang w:eastAsia="he-IL"/>
    </w:rPr>
  </w:style>
  <w:style w:type="character" w:styleId="FollowedHyperlink">
    <w:name w:val="FollowedHyperlink"/>
    <w:basedOn w:val="a0"/>
    <w:rsid w:val="00C27D8A"/>
    <w:rPr>
      <w:color w:val="800080" w:themeColor="followedHyperlink"/>
      <w:u w:val="single"/>
    </w:rPr>
  </w:style>
  <w:style w:type="paragraph" w:styleId="ab">
    <w:name w:val="Title"/>
    <w:basedOn w:val="a"/>
    <w:next w:val="a"/>
    <w:link w:val="ac"/>
    <w:qFormat/>
    <w:rsid w:val="00A105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כותרת טקסט תו"/>
    <w:basedOn w:val="a0"/>
    <w:link w:val="ab"/>
    <w:rsid w:val="00A105AE"/>
    <w:rPr>
      <w:rFonts w:asciiTheme="majorHAnsi" w:eastAsiaTheme="majorEastAsia" w:hAnsiTheme="majorHAnsi" w:cstheme="majorBidi"/>
      <w:b/>
      <w:bCs/>
      <w:kern w:val="28"/>
      <w:sz w:val="32"/>
      <w:szCs w:val="32"/>
      <w:lang w:eastAsia="he-IL"/>
    </w:rPr>
  </w:style>
  <w:style w:type="paragraph" w:customStyle="1" w:styleId="ad">
    <w:name w:val="כותרת ראשית"/>
    <w:basedOn w:val="ab"/>
    <w:link w:val="ae"/>
    <w:qFormat/>
    <w:rsid w:val="00A105AE"/>
    <w:rPr>
      <w:rFonts w:cs="David"/>
      <w:sz w:val="28"/>
      <w:szCs w:val="28"/>
      <w:u w:val="single"/>
    </w:rPr>
  </w:style>
  <w:style w:type="paragraph" w:customStyle="1" w:styleId="af">
    <w:name w:val="כותרת לוח"/>
    <w:basedOn w:val="ab"/>
    <w:link w:val="af0"/>
    <w:qFormat/>
    <w:rsid w:val="005921B0"/>
    <w:rPr>
      <w:rFonts w:cs="David"/>
      <w:sz w:val="24"/>
      <w:szCs w:val="24"/>
      <w:u w:val="single"/>
    </w:rPr>
  </w:style>
  <w:style w:type="character" w:customStyle="1" w:styleId="ae">
    <w:name w:val="כותרת ראשית תו"/>
    <w:basedOn w:val="ac"/>
    <w:link w:val="ad"/>
    <w:rsid w:val="00A105AE"/>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0F55DA"/>
    <w:pPr>
      <w:numPr>
        <w:numId w:val="12"/>
      </w:numPr>
      <w:jc w:val="left"/>
    </w:pPr>
    <w:rPr>
      <w:rFonts w:cs="David"/>
      <w:u w:val="single"/>
    </w:rPr>
  </w:style>
  <w:style w:type="character" w:customStyle="1" w:styleId="af0">
    <w:name w:val="כותרת לוח תו"/>
    <w:basedOn w:val="ac"/>
    <w:link w:val="af"/>
    <w:rsid w:val="005921B0"/>
    <w:rPr>
      <w:rFonts w:asciiTheme="majorHAnsi" w:eastAsiaTheme="majorEastAsia" w:hAnsiTheme="majorHAnsi" w:cs="David"/>
      <w:b/>
      <w:bCs/>
      <w:kern w:val="28"/>
      <w:sz w:val="24"/>
      <w:szCs w:val="24"/>
      <w:u w:val="single"/>
      <w:lang w:eastAsia="he-IL"/>
    </w:rPr>
  </w:style>
  <w:style w:type="paragraph" w:customStyle="1" w:styleId="2">
    <w:name w:val="כותרת משנה 2"/>
    <w:basedOn w:val="a"/>
    <w:link w:val="20"/>
    <w:qFormat/>
    <w:rsid w:val="00907615"/>
    <w:pPr>
      <w:spacing w:line="360" w:lineRule="auto"/>
      <w:ind w:right="426"/>
      <w:jc w:val="both"/>
    </w:pPr>
    <w:rPr>
      <w:rFonts w:cs="David"/>
    </w:rPr>
  </w:style>
  <w:style w:type="character" w:customStyle="1" w:styleId="11">
    <w:name w:val="כותרת 1 תו"/>
    <w:basedOn w:val="a0"/>
    <w:link w:val="10"/>
    <w:rsid w:val="000F55DA"/>
    <w:rPr>
      <w:rFonts w:ascii="Arial" w:hAnsi="Arial"/>
      <w:b/>
      <w:bCs/>
      <w:sz w:val="24"/>
      <w:szCs w:val="24"/>
      <w:lang w:eastAsia="he-IL"/>
    </w:rPr>
  </w:style>
  <w:style w:type="character" w:customStyle="1" w:styleId="12">
    <w:name w:val="כותרת משנה 1 תו"/>
    <w:basedOn w:val="11"/>
    <w:link w:val="1"/>
    <w:rsid w:val="000F55DA"/>
    <w:rPr>
      <w:rFonts w:ascii="Arial" w:hAnsi="Arial" w:cs="David"/>
      <w:b/>
      <w:bCs/>
      <w:sz w:val="24"/>
      <w:szCs w:val="24"/>
      <w:u w:val="single"/>
      <w:lang w:eastAsia="he-IL"/>
    </w:rPr>
  </w:style>
  <w:style w:type="character" w:customStyle="1" w:styleId="20">
    <w:name w:val="כותרת משנה 2 תו"/>
    <w:basedOn w:val="a0"/>
    <w:link w:val="2"/>
    <w:rsid w:val="00907615"/>
    <w:rPr>
      <w:rFonts w:cs="David"/>
      <w:sz w:val="24"/>
      <w:szCs w:val="24"/>
      <w:lang w:eastAsia="he-IL"/>
    </w:rPr>
  </w:style>
  <w:style w:type="table" w:styleId="af1">
    <w:name w:val="Table Grid"/>
    <w:basedOn w:val="a1"/>
    <w:rsid w:val="00B9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rsid w:val="00F23FA6"/>
    <w:rPr>
      <w:sz w:val="16"/>
      <w:szCs w:val="16"/>
    </w:rPr>
  </w:style>
  <w:style w:type="paragraph" w:styleId="af3">
    <w:name w:val="annotation text"/>
    <w:basedOn w:val="a"/>
    <w:link w:val="af4"/>
    <w:rsid w:val="00F23FA6"/>
    <w:rPr>
      <w:sz w:val="20"/>
      <w:szCs w:val="20"/>
    </w:rPr>
  </w:style>
  <w:style w:type="character" w:customStyle="1" w:styleId="af4">
    <w:name w:val="טקסט הערה תו"/>
    <w:basedOn w:val="a0"/>
    <w:link w:val="af3"/>
    <w:rsid w:val="00F23FA6"/>
    <w:rPr>
      <w:lang w:eastAsia="he-IL"/>
    </w:rPr>
  </w:style>
  <w:style w:type="paragraph" w:styleId="af5">
    <w:name w:val="annotation subject"/>
    <w:basedOn w:val="af3"/>
    <w:next w:val="af3"/>
    <w:link w:val="af6"/>
    <w:rsid w:val="00F23FA6"/>
    <w:rPr>
      <w:b/>
      <w:bCs/>
    </w:rPr>
  </w:style>
  <w:style w:type="character" w:customStyle="1" w:styleId="af6">
    <w:name w:val="נושא הערה תו"/>
    <w:basedOn w:val="af4"/>
    <w:link w:val="af5"/>
    <w:rsid w:val="00F23FA6"/>
    <w:rPr>
      <w:b/>
      <w:bCs/>
      <w:lang w:eastAsia="he-IL"/>
    </w:rPr>
  </w:style>
  <w:style w:type="paragraph" w:styleId="af7">
    <w:name w:val="List Paragraph"/>
    <w:basedOn w:val="a"/>
    <w:uiPriority w:val="34"/>
    <w:qFormat/>
    <w:rsid w:val="005E2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988">
      <w:bodyDiv w:val="1"/>
      <w:marLeft w:val="0"/>
      <w:marRight w:val="0"/>
      <w:marTop w:val="0"/>
      <w:marBottom w:val="0"/>
      <w:divBdr>
        <w:top w:val="none" w:sz="0" w:space="0" w:color="auto"/>
        <w:left w:val="none" w:sz="0" w:space="0" w:color="auto"/>
        <w:bottom w:val="none" w:sz="0" w:space="0" w:color="auto"/>
        <w:right w:val="none" w:sz="0" w:space="0" w:color="auto"/>
      </w:divBdr>
    </w:div>
    <w:div w:id="120418252">
      <w:bodyDiv w:val="1"/>
      <w:marLeft w:val="0"/>
      <w:marRight w:val="0"/>
      <w:marTop w:val="0"/>
      <w:marBottom w:val="0"/>
      <w:divBdr>
        <w:top w:val="none" w:sz="0" w:space="0" w:color="auto"/>
        <w:left w:val="none" w:sz="0" w:space="0" w:color="auto"/>
        <w:bottom w:val="none" w:sz="0" w:space="0" w:color="auto"/>
        <w:right w:val="none" w:sz="0" w:space="0" w:color="auto"/>
      </w:divBdr>
    </w:div>
    <w:div w:id="300111616">
      <w:bodyDiv w:val="1"/>
      <w:marLeft w:val="0"/>
      <w:marRight w:val="0"/>
      <w:marTop w:val="0"/>
      <w:marBottom w:val="0"/>
      <w:divBdr>
        <w:top w:val="none" w:sz="0" w:space="0" w:color="auto"/>
        <w:left w:val="none" w:sz="0" w:space="0" w:color="auto"/>
        <w:bottom w:val="none" w:sz="0" w:space="0" w:color="auto"/>
        <w:right w:val="none" w:sz="0" w:space="0" w:color="auto"/>
      </w:divBdr>
    </w:div>
    <w:div w:id="338822609">
      <w:bodyDiv w:val="1"/>
      <w:marLeft w:val="0"/>
      <w:marRight w:val="0"/>
      <w:marTop w:val="0"/>
      <w:marBottom w:val="0"/>
      <w:divBdr>
        <w:top w:val="none" w:sz="0" w:space="0" w:color="auto"/>
        <w:left w:val="none" w:sz="0" w:space="0" w:color="auto"/>
        <w:bottom w:val="none" w:sz="0" w:space="0" w:color="auto"/>
        <w:right w:val="none" w:sz="0" w:space="0" w:color="auto"/>
      </w:divBdr>
    </w:div>
    <w:div w:id="436485485">
      <w:bodyDiv w:val="1"/>
      <w:marLeft w:val="0"/>
      <w:marRight w:val="0"/>
      <w:marTop w:val="0"/>
      <w:marBottom w:val="0"/>
      <w:divBdr>
        <w:top w:val="none" w:sz="0" w:space="0" w:color="auto"/>
        <w:left w:val="none" w:sz="0" w:space="0" w:color="auto"/>
        <w:bottom w:val="none" w:sz="0" w:space="0" w:color="auto"/>
        <w:right w:val="none" w:sz="0" w:space="0" w:color="auto"/>
      </w:divBdr>
    </w:div>
    <w:div w:id="443428589">
      <w:bodyDiv w:val="1"/>
      <w:marLeft w:val="0"/>
      <w:marRight w:val="0"/>
      <w:marTop w:val="0"/>
      <w:marBottom w:val="0"/>
      <w:divBdr>
        <w:top w:val="none" w:sz="0" w:space="0" w:color="auto"/>
        <w:left w:val="none" w:sz="0" w:space="0" w:color="auto"/>
        <w:bottom w:val="none" w:sz="0" w:space="0" w:color="auto"/>
        <w:right w:val="none" w:sz="0" w:space="0" w:color="auto"/>
      </w:divBdr>
    </w:div>
    <w:div w:id="658726851">
      <w:bodyDiv w:val="1"/>
      <w:marLeft w:val="0"/>
      <w:marRight w:val="0"/>
      <w:marTop w:val="0"/>
      <w:marBottom w:val="0"/>
      <w:divBdr>
        <w:top w:val="none" w:sz="0" w:space="0" w:color="auto"/>
        <w:left w:val="none" w:sz="0" w:space="0" w:color="auto"/>
        <w:bottom w:val="none" w:sz="0" w:space="0" w:color="auto"/>
        <w:right w:val="none" w:sz="0" w:space="0" w:color="auto"/>
      </w:divBdr>
    </w:div>
    <w:div w:id="729575026">
      <w:bodyDiv w:val="1"/>
      <w:marLeft w:val="0"/>
      <w:marRight w:val="0"/>
      <w:marTop w:val="0"/>
      <w:marBottom w:val="0"/>
      <w:divBdr>
        <w:top w:val="none" w:sz="0" w:space="0" w:color="auto"/>
        <w:left w:val="none" w:sz="0" w:space="0" w:color="auto"/>
        <w:bottom w:val="none" w:sz="0" w:space="0" w:color="auto"/>
        <w:right w:val="none" w:sz="0" w:space="0" w:color="auto"/>
      </w:divBdr>
    </w:div>
    <w:div w:id="733045808">
      <w:bodyDiv w:val="1"/>
      <w:marLeft w:val="0"/>
      <w:marRight w:val="0"/>
      <w:marTop w:val="0"/>
      <w:marBottom w:val="0"/>
      <w:divBdr>
        <w:top w:val="none" w:sz="0" w:space="0" w:color="auto"/>
        <w:left w:val="none" w:sz="0" w:space="0" w:color="auto"/>
        <w:bottom w:val="none" w:sz="0" w:space="0" w:color="auto"/>
        <w:right w:val="none" w:sz="0" w:space="0" w:color="auto"/>
      </w:divBdr>
    </w:div>
    <w:div w:id="733167330">
      <w:bodyDiv w:val="1"/>
      <w:marLeft w:val="0"/>
      <w:marRight w:val="0"/>
      <w:marTop w:val="0"/>
      <w:marBottom w:val="0"/>
      <w:divBdr>
        <w:top w:val="none" w:sz="0" w:space="0" w:color="auto"/>
        <w:left w:val="none" w:sz="0" w:space="0" w:color="auto"/>
        <w:bottom w:val="none" w:sz="0" w:space="0" w:color="auto"/>
        <w:right w:val="none" w:sz="0" w:space="0" w:color="auto"/>
      </w:divBdr>
    </w:div>
    <w:div w:id="808212168">
      <w:bodyDiv w:val="1"/>
      <w:marLeft w:val="0"/>
      <w:marRight w:val="0"/>
      <w:marTop w:val="0"/>
      <w:marBottom w:val="0"/>
      <w:divBdr>
        <w:top w:val="none" w:sz="0" w:space="0" w:color="auto"/>
        <w:left w:val="none" w:sz="0" w:space="0" w:color="auto"/>
        <w:bottom w:val="none" w:sz="0" w:space="0" w:color="auto"/>
        <w:right w:val="none" w:sz="0" w:space="0" w:color="auto"/>
      </w:divBdr>
    </w:div>
    <w:div w:id="827092429">
      <w:bodyDiv w:val="1"/>
      <w:marLeft w:val="0"/>
      <w:marRight w:val="0"/>
      <w:marTop w:val="0"/>
      <w:marBottom w:val="0"/>
      <w:divBdr>
        <w:top w:val="none" w:sz="0" w:space="0" w:color="auto"/>
        <w:left w:val="none" w:sz="0" w:space="0" w:color="auto"/>
        <w:bottom w:val="none" w:sz="0" w:space="0" w:color="auto"/>
        <w:right w:val="none" w:sz="0" w:space="0" w:color="auto"/>
      </w:divBdr>
    </w:div>
    <w:div w:id="856891047">
      <w:bodyDiv w:val="1"/>
      <w:marLeft w:val="0"/>
      <w:marRight w:val="0"/>
      <w:marTop w:val="0"/>
      <w:marBottom w:val="0"/>
      <w:divBdr>
        <w:top w:val="none" w:sz="0" w:space="0" w:color="auto"/>
        <w:left w:val="none" w:sz="0" w:space="0" w:color="auto"/>
        <w:bottom w:val="none" w:sz="0" w:space="0" w:color="auto"/>
        <w:right w:val="none" w:sz="0" w:space="0" w:color="auto"/>
      </w:divBdr>
    </w:div>
    <w:div w:id="1005353774">
      <w:bodyDiv w:val="1"/>
      <w:marLeft w:val="0"/>
      <w:marRight w:val="0"/>
      <w:marTop w:val="0"/>
      <w:marBottom w:val="0"/>
      <w:divBdr>
        <w:top w:val="none" w:sz="0" w:space="0" w:color="auto"/>
        <w:left w:val="none" w:sz="0" w:space="0" w:color="auto"/>
        <w:bottom w:val="none" w:sz="0" w:space="0" w:color="auto"/>
        <w:right w:val="none" w:sz="0" w:space="0" w:color="auto"/>
      </w:divBdr>
    </w:div>
    <w:div w:id="1038967546">
      <w:bodyDiv w:val="1"/>
      <w:marLeft w:val="0"/>
      <w:marRight w:val="0"/>
      <w:marTop w:val="0"/>
      <w:marBottom w:val="0"/>
      <w:divBdr>
        <w:top w:val="none" w:sz="0" w:space="0" w:color="auto"/>
        <w:left w:val="none" w:sz="0" w:space="0" w:color="auto"/>
        <w:bottom w:val="none" w:sz="0" w:space="0" w:color="auto"/>
        <w:right w:val="none" w:sz="0" w:space="0" w:color="auto"/>
      </w:divBdr>
    </w:div>
    <w:div w:id="1042052821">
      <w:bodyDiv w:val="1"/>
      <w:marLeft w:val="0"/>
      <w:marRight w:val="0"/>
      <w:marTop w:val="0"/>
      <w:marBottom w:val="0"/>
      <w:divBdr>
        <w:top w:val="none" w:sz="0" w:space="0" w:color="auto"/>
        <w:left w:val="none" w:sz="0" w:space="0" w:color="auto"/>
        <w:bottom w:val="none" w:sz="0" w:space="0" w:color="auto"/>
        <w:right w:val="none" w:sz="0" w:space="0" w:color="auto"/>
      </w:divBdr>
    </w:div>
    <w:div w:id="1087074064">
      <w:bodyDiv w:val="1"/>
      <w:marLeft w:val="0"/>
      <w:marRight w:val="0"/>
      <w:marTop w:val="0"/>
      <w:marBottom w:val="0"/>
      <w:divBdr>
        <w:top w:val="none" w:sz="0" w:space="0" w:color="auto"/>
        <w:left w:val="none" w:sz="0" w:space="0" w:color="auto"/>
        <w:bottom w:val="none" w:sz="0" w:space="0" w:color="auto"/>
        <w:right w:val="none" w:sz="0" w:space="0" w:color="auto"/>
      </w:divBdr>
    </w:div>
    <w:div w:id="1104350682">
      <w:bodyDiv w:val="1"/>
      <w:marLeft w:val="0"/>
      <w:marRight w:val="0"/>
      <w:marTop w:val="0"/>
      <w:marBottom w:val="0"/>
      <w:divBdr>
        <w:top w:val="none" w:sz="0" w:space="0" w:color="auto"/>
        <w:left w:val="none" w:sz="0" w:space="0" w:color="auto"/>
        <w:bottom w:val="none" w:sz="0" w:space="0" w:color="auto"/>
        <w:right w:val="none" w:sz="0" w:space="0" w:color="auto"/>
      </w:divBdr>
    </w:div>
    <w:div w:id="1267032842">
      <w:bodyDiv w:val="1"/>
      <w:marLeft w:val="0"/>
      <w:marRight w:val="0"/>
      <w:marTop w:val="0"/>
      <w:marBottom w:val="0"/>
      <w:divBdr>
        <w:top w:val="none" w:sz="0" w:space="0" w:color="auto"/>
        <w:left w:val="none" w:sz="0" w:space="0" w:color="auto"/>
        <w:bottom w:val="none" w:sz="0" w:space="0" w:color="auto"/>
        <w:right w:val="none" w:sz="0" w:space="0" w:color="auto"/>
      </w:divBdr>
    </w:div>
    <w:div w:id="1429304531">
      <w:bodyDiv w:val="1"/>
      <w:marLeft w:val="0"/>
      <w:marRight w:val="0"/>
      <w:marTop w:val="0"/>
      <w:marBottom w:val="0"/>
      <w:divBdr>
        <w:top w:val="none" w:sz="0" w:space="0" w:color="auto"/>
        <w:left w:val="none" w:sz="0" w:space="0" w:color="auto"/>
        <w:bottom w:val="none" w:sz="0" w:space="0" w:color="auto"/>
        <w:right w:val="none" w:sz="0" w:space="0" w:color="auto"/>
      </w:divBdr>
    </w:div>
    <w:div w:id="1567571523">
      <w:bodyDiv w:val="1"/>
      <w:marLeft w:val="0"/>
      <w:marRight w:val="0"/>
      <w:marTop w:val="0"/>
      <w:marBottom w:val="0"/>
      <w:divBdr>
        <w:top w:val="none" w:sz="0" w:space="0" w:color="auto"/>
        <w:left w:val="none" w:sz="0" w:space="0" w:color="auto"/>
        <w:bottom w:val="none" w:sz="0" w:space="0" w:color="auto"/>
        <w:right w:val="none" w:sz="0" w:space="0" w:color="auto"/>
      </w:divBdr>
    </w:div>
    <w:div w:id="1673756315">
      <w:bodyDiv w:val="1"/>
      <w:marLeft w:val="0"/>
      <w:marRight w:val="0"/>
      <w:marTop w:val="0"/>
      <w:marBottom w:val="0"/>
      <w:divBdr>
        <w:top w:val="none" w:sz="0" w:space="0" w:color="auto"/>
        <w:left w:val="none" w:sz="0" w:space="0" w:color="auto"/>
        <w:bottom w:val="none" w:sz="0" w:space="0" w:color="auto"/>
        <w:right w:val="none" w:sz="0" w:space="0" w:color="auto"/>
      </w:divBdr>
    </w:div>
    <w:div w:id="1675647392">
      <w:bodyDiv w:val="1"/>
      <w:marLeft w:val="0"/>
      <w:marRight w:val="0"/>
      <w:marTop w:val="0"/>
      <w:marBottom w:val="0"/>
      <w:divBdr>
        <w:top w:val="none" w:sz="0" w:space="0" w:color="auto"/>
        <w:left w:val="none" w:sz="0" w:space="0" w:color="auto"/>
        <w:bottom w:val="none" w:sz="0" w:space="0" w:color="auto"/>
        <w:right w:val="none" w:sz="0" w:space="0" w:color="auto"/>
      </w:divBdr>
    </w:div>
    <w:div w:id="1729644658">
      <w:bodyDiv w:val="1"/>
      <w:marLeft w:val="0"/>
      <w:marRight w:val="0"/>
      <w:marTop w:val="0"/>
      <w:marBottom w:val="0"/>
      <w:divBdr>
        <w:top w:val="none" w:sz="0" w:space="0" w:color="auto"/>
        <w:left w:val="none" w:sz="0" w:space="0" w:color="auto"/>
        <w:bottom w:val="none" w:sz="0" w:space="0" w:color="auto"/>
        <w:right w:val="none" w:sz="0" w:space="0" w:color="auto"/>
      </w:divBdr>
    </w:div>
    <w:div w:id="1853569629">
      <w:bodyDiv w:val="1"/>
      <w:marLeft w:val="0"/>
      <w:marRight w:val="0"/>
      <w:marTop w:val="0"/>
      <w:marBottom w:val="0"/>
      <w:divBdr>
        <w:top w:val="none" w:sz="0" w:space="0" w:color="auto"/>
        <w:left w:val="none" w:sz="0" w:space="0" w:color="auto"/>
        <w:bottom w:val="none" w:sz="0" w:space="0" w:color="auto"/>
        <w:right w:val="none" w:sz="0" w:space="0" w:color="auto"/>
      </w:divBdr>
    </w:div>
    <w:div w:id="1858150951">
      <w:bodyDiv w:val="1"/>
      <w:marLeft w:val="0"/>
      <w:marRight w:val="0"/>
      <w:marTop w:val="0"/>
      <w:marBottom w:val="0"/>
      <w:divBdr>
        <w:top w:val="none" w:sz="0" w:space="0" w:color="auto"/>
        <w:left w:val="none" w:sz="0" w:space="0" w:color="auto"/>
        <w:bottom w:val="none" w:sz="0" w:space="0" w:color="auto"/>
        <w:right w:val="none" w:sz="0" w:space="0" w:color="auto"/>
      </w:divBdr>
    </w:div>
    <w:div w:id="21054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boi.org.il/he/DataAndStatistics/Pages/MainPage.aspx?Level=2&amp;Sid=27&amp;SubjectType=2"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79178E1-E762-4FD1-97DF-878A61FE054C}"/>
</file>

<file path=customXml/itemProps2.xml><?xml version="1.0" encoding="utf-8"?>
<ds:datastoreItem xmlns:ds="http://schemas.openxmlformats.org/officeDocument/2006/customXml" ds:itemID="{53499642-324D-44B6-982E-6B7ED8E49797}"/>
</file>

<file path=customXml/itemProps3.xml><?xml version="1.0" encoding="utf-8"?>
<ds:datastoreItem xmlns:ds="http://schemas.openxmlformats.org/officeDocument/2006/customXml" ds:itemID="{4B6552F4-7671-45E1-A211-0AE899B4724C}"/>
</file>

<file path=customXml/itemProps4.xml><?xml version="1.0" encoding="utf-8"?>
<ds:datastoreItem xmlns:ds="http://schemas.openxmlformats.org/officeDocument/2006/customXml" ds:itemID="{2A548F4D-14AD-4594-B0A4-B2E1F10E76F6}"/>
</file>

<file path=docProps/app.xml><?xml version="1.0" encoding="utf-8"?>
<Properties xmlns="http://schemas.openxmlformats.org/officeDocument/2006/extended-properties" xmlns:vt="http://schemas.openxmlformats.org/officeDocument/2006/docPropsVTypes">
  <Template>Normal.dotm</Template>
  <TotalTime>0</TotalTime>
  <Pages>6</Pages>
  <Words>1040</Words>
  <Characters>5474</Characters>
  <Application>Microsoft Office Word</Application>
  <DocSecurity>4</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6501</CharactersWithSpaces>
  <SharedDoc>false</SharedDoc>
  <HLinks>
    <vt:vector size="6" baseType="variant">
      <vt:variant>
        <vt:i4>2555937</vt:i4>
      </vt:variant>
      <vt:variant>
        <vt:i4>15</vt:i4>
      </vt:variant>
      <vt:variant>
        <vt:i4>0</vt:i4>
      </vt:variant>
      <vt:variant>
        <vt:i4>5</vt:i4>
      </vt:variant>
      <vt:variant>
        <vt:lpwstr>http://www.boi.org.il/he/DataAndStatistics/Pages/MainPage.aspx?Level=2&amp;Sid=27&amp;SubjectType=2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2020-09-14T06:19:00Z</dcterms:created>
  <dcterms:modified xsi:type="dcterms:W3CDTF">2020-09-14T06:19:00Z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0x0101000644CCD52964FE4BBD8AB8E0B060EA47</vt:lpwstr>
  </property>
</Properties>
</file>