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D" w:rsidRPr="00BD7EBA" w:rsidRDefault="004E549D" w:rsidP="006A5E38">
      <w:pPr>
        <w:pStyle w:val="af9"/>
        <w:bidi/>
        <w:rPr>
          <w:rFonts w:asciiTheme="minorHAnsi" w:hAnsiTheme="minorHAnsi" w:cstheme="minorHAnsi"/>
          <w:rtl/>
        </w:rPr>
      </w:pPr>
    </w:p>
    <w:p w:rsidR="00ED3B7F" w:rsidRPr="00BD7EBA" w:rsidRDefault="00ED3B7F" w:rsidP="00ED3B7F">
      <w:pPr>
        <w:bidi/>
        <w:rPr>
          <w:rFonts w:asciiTheme="minorHAnsi" w:hAnsiTheme="minorHAnsi" w:cstheme="minorHAnsi"/>
        </w:rPr>
      </w:pPr>
    </w:p>
    <w:tbl>
      <w:tblPr>
        <w:bidiVisual/>
        <w:tblW w:w="9310" w:type="dxa"/>
        <w:jc w:val="center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2582"/>
        <w:gridCol w:w="3644"/>
        <w:gridCol w:w="3084"/>
      </w:tblGrid>
      <w:tr w:rsidR="00060CD7" w:rsidRPr="00BD7EBA" w:rsidTr="004E549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CD7" w:rsidRPr="00BD7EBA" w:rsidRDefault="00060CD7" w:rsidP="00343EF2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7EB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בנק ישראל</w:t>
            </w:r>
          </w:p>
          <w:p w:rsidR="00060CD7" w:rsidRPr="00BD7EBA" w:rsidRDefault="00060CD7" w:rsidP="00343EF2">
            <w:pPr>
              <w:bidi/>
              <w:spacing w:line="360" w:lineRule="auto"/>
              <w:ind w:right="-10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060CD7" w:rsidRPr="00BD7EBA" w:rsidRDefault="003F7838" w:rsidP="00343EF2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BD7EBA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anchor distT="0" distB="0" distL="114300" distR="114300" simplePos="0" relativeHeight="251654144" behindDoc="0" locked="0" layoutInCell="1" allowOverlap="1" wp14:anchorId="09CF17BD" wp14:editId="68CE5E23">
                  <wp:simplePos x="0" y="0"/>
                  <wp:positionH relativeFrom="margin">
                    <wp:posOffset>342350</wp:posOffset>
                  </wp:positionH>
                  <wp:positionV relativeFrom="margin">
                    <wp:posOffset>146685</wp:posOffset>
                  </wp:positionV>
                  <wp:extent cx="1191260" cy="1191260"/>
                  <wp:effectExtent l="0" t="0" r="8890" b="8890"/>
                  <wp:wrapSquare wrapText="bothSides"/>
                  <wp:docPr id="2" name="Picture 1" descr="C:\Users\u17x\Desktop\תמונת לוגו (jpg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17x\Desktop\תמונת לוגו (jpg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CD7" w:rsidRPr="00BD7EBA" w:rsidRDefault="00060CD7" w:rsidP="0066659D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‏ירושלים, </w:t>
            </w:r>
            <w:r w:rsidR="006A5E38" w:rsidRPr="00BD7E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A5E38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י"</w:t>
            </w:r>
            <w:r w:rsidR="0066659D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ז</w:t>
            </w:r>
            <w:r w:rsidR="006A5E38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66659D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באייר</w:t>
            </w:r>
            <w:r w:rsidR="006A5495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B70501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תש</w:t>
            </w:r>
            <w:r w:rsidR="009C1CC8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פ"</w:t>
            </w:r>
            <w:r w:rsidR="0066659D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ו</w:t>
            </w:r>
          </w:p>
          <w:p w:rsidR="00060CD7" w:rsidRPr="00BD7EBA" w:rsidRDefault="0066659D" w:rsidP="0066659D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4</w:t>
            </w:r>
            <w:r w:rsidR="006A5495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במאי</w:t>
            </w:r>
            <w:r w:rsidR="006A5495"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BD7EBA">
              <w:rPr>
                <w:rFonts w:asciiTheme="minorHAnsi" w:hAnsiTheme="minorHAnsi" w:cstheme="minorHAnsi"/>
                <w:sz w:val="24"/>
                <w:szCs w:val="24"/>
                <w:rtl/>
              </w:rPr>
              <w:t>2026</w:t>
            </w:r>
          </w:p>
          <w:p w:rsidR="009164C6" w:rsidRPr="00BD7EBA" w:rsidRDefault="009164C6" w:rsidP="009164C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60CD7" w:rsidRPr="00BD7EBA" w:rsidRDefault="00060CD7" w:rsidP="00060CD7">
      <w:pPr>
        <w:bidi/>
        <w:spacing w:line="360" w:lineRule="auto"/>
        <w:ind w:right="-101"/>
        <w:rPr>
          <w:rFonts w:asciiTheme="minorHAnsi" w:hAnsiTheme="minorHAnsi" w:cstheme="minorHAnsi" w:hint="cs"/>
          <w:sz w:val="24"/>
          <w:szCs w:val="24"/>
          <w:rtl/>
        </w:rPr>
      </w:pPr>
      <w:r w:rsidRPr="00BD7EBA">
        <w:rPr>
          <w:rFonts w:asciiTheme="minorHAnsi" w:hAnsiTheme="minorHAnsi" w:cstheme="minorHAnsi"/>
          <w:sz w:val="24"/>
          <w:szCs w:val="24"/>
          <w:rtl/>
        </w:rPr>
        <w:t>הודעה לעיתונות:</w:t>
      </w:r>
    </w:p>
    <w:p w:rsidR="00450DA7" w:rsidRPr="00BD7EBA" w:rsidRDefault="002E4CFF" w:rsidP="00191A2A">
      <w:pPr>
        <w:pStyle w:val="af1"/>
        <w:pBdr>
          <w:bottom w:val="single" w:sz="4" w:space="4" w:color="auto"/>
        </w:pBdr>
        <w:bidi/>
        <w:spacing w:line="360" w:lineRule="auto"/>
        <w:jc w:val="center"/>
        <w:rPr>
          <w:rFonts w:asciiTheme="minorHAnsi" w:hAnsiTheme="minorHAnsi" w:cstheme="minorHAnsi"/>
          <w:color w:val="1F497D"/>
          <w:rtl/>
        </w:rPr>
      </w:pPr>
      <w:r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>המסחר ב</w:t>
      </w:r>
      <w:r w:rsidR="003544E1"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שוק מטבע החוץ </w:t>
      </w:r>
      <w:r w:rsidR="00EE5D7A"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ברבעון </w:t>
      </w:r>
      <w:r w:rsidR="00191A2A"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>הראשון</w:t>
      </w:r>
      <w:r w:rsidR="001C6B0D"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55353D"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>של שנת</w:t>
      </w:r>
      <w:r w:rsidR="003544E1"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1C6B0D"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>202</w:t>
      </w:r>
      <w:r w:rsidR="004404CD"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>6</w:t>
      </w:r>
      <w:r w:rsidR="001C6B0D" w:rsidRPr="00BD7EB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</w:p>
    <w:p w:rsidR="004404CD" w:rsidRPr="00BD7EBA" w:rsidRDefault="00E44207" w:rsidP="004404CD">
      <w:pPr>
        <w:pStyle w:val="1"/>
        <w:bidi/>
        <w:spacing w:line="360" w:lineRule="auto"/>
        <w:rPr>
          <w:rFonts w:asciiTheme="minorHAnsi" w:hAnsiTheme="minorHAnsi" w:cstheme="minorHAnsi"/>
          <w:color w:val="000000" w:themeColor="text1"/>
          <w:rtl/>
        </w:rPr>
      </w:pPr>
      <w:r w:rsidRPr="00BD7EBA">
        <w:rPr>
          <w:rFonts w:asciiTheme="minorHAnsi" w:eastAsia="Times New Roman" w:hAnsiTheme="minorHAnsi" w:cstheme="minorHAnsi"/>
          <w:color w:val="1F497D" w:themeColor="text2"/>
          <w:sz w:val="24"/>
          <w:szCs w:val="24"/>
          <w:rtl/>
        </w:rPr>
        <w:t>התפתחות שער החליפין –</w:t>
      </w:r>
      <w:r w:rsidR="00FC311A" w:rsidRPr="00BD7EBA">
        <w:rPr>
          <w:rFonts w:asciiTheme="minorHAnsi" w:eastAsia="Times New Roman" w:hAnsiTheme="minorHAnsi" w:cstheme="minorHAnsi"/>
          <w:color w:val="1F497D" w:themeColor="text2"/>
          <w:sz w:val="24"/>
          <w:szCs w:val="24"/>
          <w:rtl/>
        </w:rPr>
        <w:t xml:space="preserve"> </w:t>
      </w:r>
      <w:r w:rsidR="004404CD" w:rsidRPr="00BD7EBA">
        <w:rPr>
          <w:rFonts w:asciiTheme="minorHAnsi" w:eastAsia="Times New Roman" w:hAnsiTheme="minorHAnsi" w:cstheme="minorHAnsi"/>
          <w:color w:val="1F497D" w:themeColor="text2"/>
          <w:sz w:val="24"/>
          <w:szCs w:val="24"/>
          <w:rtl/>
        </w:rPr>
        <w:t xml:space="preserve">התחזקות השקל לצד התחזקות הדולר בעולם </w:t>
      </w:r>
    </w:p>
    <w:p w:rsidR="004404CD" w:rsidRPr="00BD7EBA" w:rsidRDefault="004404CD" w:rsidP="00EE5D7A">
      <w:pPr>
        <w:pStyle w:val="NormalWeb"/>
        <w:bidi/>
        <w:spacing w:line="360" w:lineRule="auto"/>
        <w:rPr>
          <w:rFonts w:asciiTheme="minorHAnsi" w:hAnsiTheme="minorHAnsi" w:cstheme="minorHAnsi"/>
          <w:color w:val="000000" w:themeColor="text1"/>
          <w:rtl/>
          <w:lang w:eastAsia="he-IL"/>
        </w:rPr>
      </w:pPr>
      <w:r w:rsidRPr="00BD7EBA">
        <w:rPr>
          <w:rFonts w:asciiTheme="minorHAnsi" w:hAnsiTheme="minorHAnsi" w:cstheme="minorHAnsi"/>
          <w:color w:val="000000" w:themeColor="text1"/>
          <w:rtl/>
          <w:lang w:eastAsia="he-IL"/>
        </w:rPr>
        <w:t>במהלך הרבעון הראשון של שנת 2026, הש</w:t>
      </w:r>
      <w:bookmarkStart w:id="0" w:name="_GoBack"/>
      <w:bookmarkEnd w:id="0"/>
      <w:r w:rsidRPr="00BD7EBA">
        <w:rPr>
          <w:rFonts w:asciiTheme="minorHAnsi" w:hAnsiTheme="minorHAnsi" w:cstheme="minorHAnsi"/>
          <w:color w:val="000000" w:themeColor="text1"/>
          <w:rtl/>
          <w:lang w:eastAsia="he-IL"/>
        </w:rPr>
        <w:t xml:space="preserve">קל התחזק מול הדולר בכ-0.8% ובכ-2.9% מול האירו. כמו כן, השקל התחזק ב-1.9% מול מטבעות שותפות הסחר העיקריות של ישראל, כפי שמשוקלל במדד שער החליפין הנומינאלי האפקטיבי. </w:t>
      </w:r>
    </w:p>
    <w:p w:rsidR="004404CD" w:rsidRPr="00BD7EBA" w:rsidRDefault="004404CD" w:rsidP="004404CD">
      <w:pPr>
        <w:pStyle w:val="NormalWeb"/>
        <w:bidi/>
        <w:spacing w:line="360" w:lineRule="auto"/>
        <w:rPr>
          <w:rFonts w:asciiTheme="minorHAnsi" w:hAnsiTheme="minorHAnsi" w:cstheme="minorHAnsi"/>
          <w:color w:val="000000" w:themeColor="text1"/>
          <w:lang w:eastAsia="he-IL"/>
        </w:rPr>
      </w:pPr>
      <w:r w:rsidRPr="00BD7EBA">
        <w:rPr>
          <w:rFonts w:asciiTheme="minorHAnsi" w:hAnsiTheme="minorHAnsi" w:cstheme="minorHAnsi"/>
          <w:color w:val="000000" w:themeColor="text1"/>
          <w:rtl/>
          <w:lang w:eastAsia="he-IL"/>
        </w:rPr>
        <w:t>במהלך הרבעון התחזק הדולר מול רוב המטבעות העיקריים בעולם (תרשים 2). בין היתר התחזק הדולר בכ-1.6% מול הדולר הקנדי ובכ-1.8% מול הפאונד הבריטי.</w:t>
      </w:r>
    </w:p>
    <w:p w:rsidR="004404CD" w:rsidRPr="00BD7EBA" w:rsidRDefault="004404CD" w:rsidP="004404CD">
      <w:pPr>
        <w:pStyle w:val="NormalWeb"/>
        <w:bidi/>
        <w:spacing w:line="360" w:lineRule="auto"/>
        <w:rPr>
          <w:rFonts w:asciiTheme="minorHAnsi" w:hAnsiTheme="minorHAnsi" w:cstheme="minorHAnsi"/>
          <w:color w:val="000000" w:themeColor="text1"/>
          <w:rtl/>
          <w:lang w:eastAsia="he-IL"/>
        </w:rPr>
      </w:pPr>
      <w:r w:rsidRPr="00BD7EBA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04182942">
            <wp:extent cx="5535930" cy="2444750"/>
            <wp:effectExtent l="0" t="0" r="762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1FD" w:rsidRPr="00BD7EBA" w:rsidRDefault="004404CD" w:rsidP="00897AA2">
      <w:pPr>
        <w:bidi/>
        <w:spacing w:line="480" w:lineRule="auto"/>
        <w:ind w:right="-101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  <w:rtl/>
          <w:lang w:eastAsia="en-US"/>
        </w:rPr>
      </w:pPr>
      <w:r w:rsidRPr="00BD7EBA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en-US"/>
        </w:rPr>
        <w:lastRenderedPageBreak/>
        <w:drawing>
          <wp:inline distT="0" distB="0" distL="0" distR="0" wp14:anchorId="1F8EC8DA">
            <wp:extent cx="6174973" cy="2905125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937" cy="2907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04CD" w:rsidRPr="00BD7EBA" w:rsidRDefault="004404CD" w:rsidP="004404CD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</w:p>
    <w:p w:rsidR="00F971DA" w:rsidRPr="00BD7EBA" w:rsidRDefault="00F971DA" w:rsidP="00A81199">
      <w:pPr>
        <w:bidi/>
        <w:spacing w:line="360" w:lineRule="auto"/>
        <w:ind w:right="-101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</w:p>
    <w:p w:rsidR="0021091A" w:rsidRPr="00BD7EBA" w:rsidRDefault="0021091A" w:rsidP="0021091A">
      <w:pPr>
        <w:bidi/>
        <w:spacing w:line="360" w:lineRule="auto"/>
        <w:ind w:right="-101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</w:p>
    <w:p w:rsidR="0021091A" w:rsidRPr="00BD7EBA" w:rsidRDefault="0021091A" w:rsidP="0021091A">
      <w:pPr>
        <w:bidi/>
        <w:spacing w:line="360" w:lineRule="auto"/>
        <w:ind w:right="-101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</w:p>
    <w:p w:rsidR="00804DD2" w:rsidRPr="00BD7EBA" w:rsidRDefault="00804DD2" w:rsidP="004404CD">
      <w:pPr>
        <w:bidi/>
        <w:spacing w:line="360" w:lineRule="auto"/>
        <w:ind w:right="-101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  <w:r w:rsidRPr="00BD7EBA">
        <w:rPr>
          <w:rFonts w:asciiTheme="minorHAnsi" w:hAnsiTheme="minorHAnsi" w:cstheme="minorHAnsi"/>
          <w:color w:val="1F497D" w:themeColor="text2"/>
          <w:sz w:val="24"/>
          <w:szCs w:val="24"/>
          <w:rtl/>
        </w:rPr>
        <w:t>תנודתיות שע"ח –</w:t>
      </w:r>
      <w:r w:rsidR="00E66007" w:rsidRPr="00BD7EBA">
        <w:rPr>
          <w:rFonts w:asciiTheme="minorHAnsi" w:hAnsiTheme="minorHAnsi" w:cstheme="minorHAnsi"/>
          <w:color w:val="1F497D" w:themeColor="text2"/>
          <w:sz w:val="24"/>
          <w:szCs w:val="24"/>
          <w:rtl/>
        </w:rPr>
        <w:t xml:space="preserve"> </w:t>
      </w:r>
      <w:r w:rsidR="005658A9" w:rsidRPr="00BD7EBA">
        <w:rPr>
          <w:rFonts w:asciiTheme="minorHAnsi" w:hAnsiTheme="minorHAnsi" w:cstheme="minorHAnsi"/>
          <w:color w:val="1F497D" w:themeColor="text2"/>
          <w:sz w:val="24"/>
          <w:szCs w:val="24"/>
          <w:rtl/>
        </w:rPr>
        <w:t xml:space="preserve"> </w:t>
      </w:r>
      <w:r w:rsidR="004404CD" w:rsidRPr="00BD7EBA">
        <w:rPr>
          <w:rFonts w:asciiTheme="minorHAnsi" w:hAnsiTheme="minorHAnsi" w:cstheme="minorHAnsi"/>
          <w:color w:val="1F497D" w:themeColor="text2"/>
          <w:sz w:val="24"/>
          <w:szCs w:val="24"/>
          <w:rtl/>
        </w:rPr>
        <w:t>עלייה בסטיית תקן בפועל לצד עלייה בסטיית תקן הגלומה</w:t>
      </w:r>
    </w:p>
    <w:p w:rsidR="00404881" w:rsidRPr="00BD7EBA" w:rsidRDefault="00404881" w:rsidP="0021091A">
      <w:pPr>
        <w:bidi/>
        <w:rPr>
          <w:rFonts w:asciiTheme="minorHAnsi" w:hAnsiTheme="minorHAnsi" w:cstheme="minorHAnsi"/>
          <w:color w:val="000000" w:themeColor="text1"/>
          <w:rtl/>
        </w:rPr>
      </w:pPr>
    </w:p>
    <w:p w:rsidR="004404CD" w:rsidRPr="00BD7EBA" w:rsidRDefault="0021091A" w:rsidP="00027065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סטיית התקן בפועל של שער החליפין שקל/דולר – </w:t>
      </w:r>
      <w:r w:rsidR="00F729C7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מציינת את התנודתיות </w:t>
      </w:r>
      <w:r w:rsidRPr="00BD7EB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rtl/>
        </w:rPr>
        <w:t>בפועל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בשער החליפין – </w:t>
      </w:r>
      <w:r w:rsidR="004404C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עלתה במהלך הרבעון ב-0.3 נקודות אחוז לרמה ממוצעת של 8.4%.</w:t>
      </w:r>
      <w:r w:rsidR="00027065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העלייה בסטיית התקן בפועל נרשמה על רקע מלחמת "שאגת הארי" אשר תרמה לעלייה בתנודתיות בשווקים.</w:t>
      </w:r>
    </w:p>
    <w:p w:rsidR="00E474AB" w:rsidRPr="00BD7EBA" w:rsidRDefault="0021091A" w:rsidP="004404CD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סטיית התקן הגלומה באופציות על שער החליפין שקל/דולר 'מעבר לדלפק' – </w:t>
      </w:r>
      <w:r w:rsidR="00B04233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מציינת את התנודתיות </w:t>
      </w:r>
      <w:r w:rsidRPr="00BD7EB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rtl/>
        </w:rPr>
        <w:t>הצפויה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בשער החליפין – </w:t>
      </w:r>
      <w:r w:rsidR="004404C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עלתה ב-0.9 נקודות אחוז לרמה ממוצעת של 9.7%. </w:t>
      </w:r>
      <w:r w:rsidR="00CC11C9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זאת לצד </w:t>
      </w:r>
      <w:r w:rsidR="00B30E2F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ר</w:t>
      </w:r>
      <w:r w:rsidR="00CC11C9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מתה הממוצעת של 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סטיית התקן הגלומה באופציות על </w:t>
      </w:r>
      <w:r w:rsidR="00CC11C9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מט"ח בשווקים מתעוררים </w:t>
      </w:r>
      <w:r w:rsidR="004404C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שעלתה ב-1.0 נקודות אחוז ועמדה בסוף הרבעון על 9.6%.</w:t>
      </w:r>
      <w:r w:rsidR="004404CD" w:rsidRPr="00BD7E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404C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עלייה דומה נרשמה גם ברמתה הממוצעת של סטיית התקן בשווקים מפותחים והיא עמדה בסוף הרבעון על 7.6% </w:t>
      </w:r>
      <w:r w:rsidR="00E474AB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(תרשים 4).</w:t>
      </w:r>
    </w:p>
    <w:p w:rsidR="00345945" w:rsidRPr="00BD7EBA" w:rsidRDefault="00345945" w:rsidP="009759C2">
      <w:pPr>
        <w:bidi/>
        <w:jc w:val="center"/>
        <w:rPr>
          <w:rFonts w:asciiTheme="minorHAnsi" w:hAnsiTheme="minorHAnsi" w:cstheme="minorHAnsi"/>
          <w:noProof/>
          <w:rtl/>
          <w:lang w:eastAsia="en-US"/>
        </w:rPr>
      </w:pPr>
    </w:p>
    <w:p w:rsidR="00E7363D" w:rsidRPr="00BD7EBA" w:rsidRDefault="00D81D74" w:rsidP="00E7363D">
      <w:pPr>
        <w:spacing w:after="200" w:line="276" w:lineRule="auto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BD7EBA">
        <w:rPr>
          <w:rFonts w:asciiTheme="minorHAnsi" w:hAnsiTheme="minorHAnsi" w:cstheme="minorHAnsi"/>
          <w:noProof/>
          <w:color w:val="1F497D" w:themeColor="text2"/>
          <w:sz w:val="24"/>
          <w:szCs w:val="24"/>
          <w:lang w:eastAsia="en-US"/>
        </w:rPr>
        <w:lastRenderedPageBreak/>
        <w:drawing>
          <wp:inline distT="0" distB="0" distL="0" distR="0" wp14:anchorId="54EED506">
            <wp:extent cx="5505450" cy="2737485"/>
            <wp:effectExtent l="0" t="0" r="0" b="571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63D" w:rsidRPr="00BD7EBA" w:rsidRDefault="00D81D74" w:rsidP="009759C2">
      <w:pPr>
        <w:spacing w:after="200" w:line="276" w:lineRule="auto"/>
        <w:jc w:val="center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  <w:r w:rsidRPr="00BD7EBA">
        <w:rPr>
          <w:rFonts w:asciiTheme="minorHAnsi" w:hAnsiTheme="minorHAnsi" w:cstheme="minorHAnsi"/>
          <w:noProof/>
          <w:color w:val="1F497D" w:themeColor="text2"/>
          <w:sz w:val="24"/>
          <w:szCs w:val="24"/>
          <w:lang w:eastAsia="en-US"/>
        </w:rPr>
        <w:drawing>
          <wp:inline distT="0" distB="0" distL="0" distR="0" wp14:anchorId="4CE6D78B">
            <wp:extent cx="6292215" cy="2919636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359" cy="2929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63D" w:rsidRPr="00BD7EBA" w:rsidRDefault="00E7363D" w:rsidP="00E7363D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</w:p>
    <w:p w:rsidR="00E7363D" w:rsidRPr="00BD7EBA" w:rsidRDefault="00E7363D" w:rsidP="00E7363D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</w:p>
    <w:p w:rsidR="00E7363D" w:rsidRPr="00BD7EBA" w:rsidRDefault="00635EAE" w:rsidP="00E7363D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  <w:r w:rsidRPr="00BD7EBA">
        <w:rPr>
          <w:rFonts w:asciiTheme="minorHAnsi" w:hAnsiTheme="minorHAnsi" w:cstheme="minorHAnsi"/>
          <w:color w:val="1F497D" w:themeColor="text2"/>
          <w:sz w:val="24"/>
          <w:szCs w:val="24"/>
          <w:rtl/>
        </w:rPr>
        <w:t>פעילות המגזרים העיקריים</w:t>
      </w:r>
      <w:r w:rsidR="00D9772D" w:rsidRPr="00BD7EBA">
        <w:rPr>
          <w:rFonts w:asciiTheme="minorHAnsi" w:hAnsiTheme="minorHAnsi" w:cstheme="minorHAnsi"/>
          <w:color w:val="1F497D" w:themeColor="text2"/>
          <w:sz w:val="24"/>
          <w:szCs w:val="24"/>
          <w:rtl/>
        </w:rPr>
        <w:t xml:space="preserve"> בשוק </w:t>
      </w:r>
      <w:proofErr w:type="spellStart"/>
      <w:r w:rsidR="00D9772D" w:rsidRPr="00BD7EBA">
        <w:rPr>
          <w:rFonts w:asciiTheme="minorHAnsi" w:hAnsiTheme="minorHAnsi" w:cstheme="minorHAnsi"/>
          <w:color w:val="1F497D" w:themeColor="text2"/>
          <w:sz w:val="24"/>
          <w:szCs w:val="24"/>
          <w:rtl/>
        </w:rPr>
        <w:t>ה</w:t>
      </w:r>
      <w:r w:rsidR="00193994" w:rsidRPr="00BD7EBA">
        <w:rPr>
          <w:rFonts w:asciiTheme="minorHAnsi" w:hAnsiTheme="minorHAnsi" w:cstheme="minorHAnsi"/>
          <w:color w:val="1F497D" w:themeColor="text2"/>
          <w:sz w:val="24"/>
          <w:szCs w:val="24"/>
          <w:rtl/>
        </w:rPr>
        <w:t>מט"ח</w:t>
      </w:r>
      <w:proofErr w:type="spellEnd"/>
      <w:r w:rsidR="00292C1D" w:rsidRPr="00BD7EBA">
        <w:rPr>
          <w:rStyle w:val="ab"/>
          <w:rFonts w:asciiTheme="minorHAnsi" w:hAnsiTheme="minorHAnsi" w:cstheme="minorHAnsi"/>
          <w:color w:val="1F497D" w:themeColor="text2"/>
          <w:sz w:val="24"/>
          <w:szCs w:val="24"/>
          <w:rtl/>
        </w:rPr>
        <w:footnoteReference w:id="1"/>
      </w:r>
      <w:r w:rsidR="00193994" w:rsidRPr="00BD7EBA">
        <w:rPr>
          <w:rStyle w:val="ab"/>
          <w:rFonts w:asciiTheme="minorHAnsi" w:hAnsiTheme="minorHAnsi" w:cstheme="minorHAnsi"/>
          <w:color w:val="1F497D" w:themeColor="text2"/>
          <w:sz w:val="24"/>
          <w:szCs w:val="24"/>
          <w:rtl/>
        </w:rPr>
        <w:footnoteReference w:id="2"/>
      </w:r>
    </w:p>
    <w:p w:rsidR="00E7363D" w:rsidRPr="00BD7EBA" w:rsidRDefault="00E7363D" w:rsidP="00E7363D">
      <w:pPr>
        <w:spacing w:after="200" w:line="276" w:lineRule="auto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rtl/>
        </w:rPr>
        <w:sectPr w:rsidR="00E7363D" w:rsidRPr="00BD7EBA" w:rsidSect="004E549D">
          <w:type w:val="continuous"/>
          <w:pgSz w:w="11906" w:h="16838"/>
          <w:pgMar w:top="624" w:right="1077" w:bottom="624" w:left="1077" w:header="709" w:footer="709" w:gutter="0"/>
          <w:cols w:space="708"/>
          <w:bidi/>
          <w:rtlGutter/>
          <w:docGrid w:linePitch="360"/>
        </w:sectPr>
      </w:pPr>
    </w:p>
    <w:p w:rsidR="00193994" w:rsidRPr="00BD7EBA" w:rsidRDefault="00193994" w:rsidP="000E66ED">
      <w:pPr>
        <w:tabs>
          <w:tab w:val="left" w:pos="4084"/>
        </w:tabs>
        <w:bidi/>
        <w:rPr>
          <w:rFonts w:asciiTheme="minorHAnsi" w:hAnsiTheme="minorHAnsi" w:cstheme="minorHAnsi"/>
          <w:rtl/>
        </w:rPr>
        <w:sectPr w:rsidR="00193994" w:rsidRPr="00BD7EBA" w:rsidSect="004E549D">
          <w:footerReference w:type="default" r:id="rId13"/>
          <w:type w:val="continuous"/>
          <w:pgSz w:w="11906" w:h="16838"/>
          <w:pgMar w:top="624" w:right="1077" w:bottom="624" w:left="1077" w:header="709" w:footer="709" w:gutter="0"/>
          <w:cols w:space="708"/>
          <w:bidi/>
          <w:rtlGutter/>
          <w:docGrid w:linePitch="360"/>
        </w:sectPr>
      </w:pPr>
      <w:r w:rsidRPr="00BD7EBA">
        <w:rPr>
          <w:rFonts w:asciiTheme="minorHAnsi" w:hAnsiTheme="minorHAnsi" w:cstheme="minorHAnsi"/>
        </w:rPr>
        <w:tab/>
      </w:r>
      <w:r w:rsidR="00DA59D2" w:rsidRPr="00BD7EBA">
        <w:rPr>
          <w:rFonts w:asciiTheme="minorHAnsi" w:hAnsiTheme="minorHAnsi" w:cstheme="minorHAnsi"/>
        </w:rPr>
        <w:tab/>
      </w:r>
    </w:p>
    <w:p w:rsidR="00640DE1" w:rsidRPr="00BD7EBA" w:rsidRDefault="00640DE1" w:rsidP="004B6E5B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אומדן לפעילות המגזרים העיקריים בשוק </w:t>
      </w:r>
      <w:proofErr w:type="spellStart"/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המט"ח</w:t>
      </w:r>
      <w:proofErr w:type="spellEnd"/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מצביע על פעילות הטרוגנית של הסקטורים העיקריים: ברבעון הראשון נרשמו </w:t>
      </w:r>
      <w:r w:rsidR="004B6E5B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רכישות נטו מצד תושבי חוץ, ומנגד 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מכירות מט"ח נטו מצד הגופים המוסדיים והמגזר העסקי, אשר תמכו בהתחזקות השקל</w:t>
      </w:r>
      <w:r w:rsidR="004B6E5B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. ה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פעילות של המגזר הפיננסי הייתה מתונה יחסית. </w:t>
      </w:r>
    </w:p>
    <w:p w:rsidR="004B6E5B" w:rsidRPr="00BD7EBA" w:rsidRDefault="004B6E5B" w:rsidP="004B6E5B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</w:p>
    <w:p w:rsidR="00640DE1" w:rsidRPr="00BD7EBA" w:rsidRDefault="004B6E5B" w:rsidP="004B6E5B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תושבי חוץ הגדילו את רכישות </w:t>
      </w:r>
      <w:proofErr w:type="spellStart"/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המט"ח</w:t>
      </w:r>
      <w:proofErr w:type="spellEnd"/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נטו, לכ־6.6 מיליארד דולר, לעומת כ־1.8 מיליארד דולר ברבעון הקודם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40DE1" w:rsidRPr="00BD7EBA" w:rsidRDefault="00640DE1" w:rsidP="00640DE1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lastRenderedPageBreak/>
        <w:t>הגופים המוסדיים – קרנות הפנסיה, קופות הגמל וחברות הביטוח – המשיכו למכור מט"ח נטו בהיקף של כ־5.2 מיליארד דולר במהלך הרבעון, לעומת מכירות של כ־13.2 מיליארד דולר ברבעון הקודם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40DE1" w:rsidRPr="00BD7EBA" w:rsidRDefault="00640DE1" w:rsidP="00640DE1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המגזר העסקי עבר למכירות מט"ח נטו בהיקף של כ־1.4 מיליארד דולר, לעומת רכישות נטו של כ־5.6 מיליארד דולר ברבעון הקודם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E66ED" w:rsidRPr="00BD7EBA" w:rsidRDefault="00640DE1" w:rsidP="00640DE1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המגזר הפיננסי (בעיקר בנקים) ביצע מכירות מט"ח נטו מתונות של כ־0.2 מיליארד דולר, לעומת רכישות נטו של כ־0.9 מיליארד דולר ברבעון הקודם.</w:t>
      </w:r>
    </w:p>
    <w:p w:rsidR="00814A80" w:rsidRPr="00BD7EBA" w:rsidRDefault="00E7363D" w:rsidP="003F6E3A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</w:p>
    <w:p w:rsidR="00E33AFB" w:rsidRPr="00BD7EBA" w:rsidRDefault="00E33AFB" w:rsidP="00E33AFB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246E7" w:rsidRPr="00BD7EBA" w:rsidRDefault="00C246E7" w:rsidP="00A9009D">
      <w:pPr>
        <w:bidi/>
        <w:spacing w:line="48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</w:p>
    <w:p w:rsidR="000401B1" w:rsidRPr="00BD7EBA" w:rsidRDefault="00E33AFB" w:rsidP="000401B1">
      <w:pPr>
        <w:bidi/>
        <w:spacing w:line="480" w:lineRule="auto"/>
        <w:jc w:val="both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  <w:r w:rsidRPr="00BD7EBA">
        <w:rPr>
          <w:rFonts w:asciiTheme="minorHAnsi" w:hAnsiTheme="minorHAnsi" w:cstheme="minorHAnsi"/>
          <w:noProof/>
          <w:color w:val="1F497D" w:themeColor="text2"/>
          <w:sz w:val="24"/>
          <w:szCs w:val="24"/>
          <w:lang w:eastAsia="en-US"/>
        </w:rPr>
        <w:drawing>
          <wp:inline distT="0" distB="0" distL="0" distR="0" wp14:anchorId="5E809BD1">
            <wp:extent cx="5517515" cy="2146885"/>
            <wp:effectExtent l="0" t="0" r="6985" b="635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996" cy="2159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243" w:rsidRPr="00BD7EBA" w:rsidRDefault="00885243" w:rsidP="00885243">
      <w:pPr>
        <w:bidi/>
        <w:spacing w:line="480" w:lineRule="auto"/>
        <w:jc w:val="both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</w:p>
    <w:p w:rsidR="00E7363D" w:rsidRPr="00BD7EBA" w:rsidRDefault="00640DE1" w:rsidP="004C2C18">
      <w:pPr>
        <w:bidi/>
        <w:spacing w:line="480" w:lineRule="auto"/>
        <w:jc w:val="both"/>
        <w:rPr>
          <w:rFonts w:asciiTheme="minorHAnsi" w:hAnsiTheme="minorHAnsi" w:cstheme="minorHAnsi"/>
          <w:color w:val="1F497D" w:themeColor="text2"/>
          <w:sz w:val="24"/>
          <w:szCs w:val="24"/>
          <w:rtl/>
        </w:rPr>
      </w:pPr>
      <w:r w:rsidRPr="00BD7EBA">
        <w:rPr>
          <w:rFonts w:asciiTheme="minorHAnsi" w:hAnsiTheme="minorHAnsi" w:cstheme="minorHAnsi"/>
          <w:noProof/>
          <w:color w:val="1F497D" w:themeColor="text2"/>
          <w:sz w:val="24"/>
          <w:szCs w:val="24"/>
          <w:lang w:eastAsia="en-US"/>
        </w:rPr>
        <w:drawing>
          <wp:inline distT="0" distB="0" distL="0" distR="0" wp14:anchorId="451FB207">
            <wp:extent cx="5517515" cy="3011805"/>
            <wp:effectExtent l="0" t="0" r="6985" b="0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5C8B" w:rsidRPr="00BD7EBA" w:rsidRDefault="00635EAE" w:rsidP="00E7363D">
      <w:pPr>
        <w:bidi/>
        <w:spacing w:line="48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D7EBA">
        <w:rPr>
          <w:rFonts w:asciiTheme="minorHAnsi" w:hAnsiTheme="minorHAnsi" w:cstheme="minorHAnsi"/>
          <w:color w:val="1F497D" w:themeColor="text2"/>
          <w:sz w:val="24"/>
          <w:szCs w:val="24"/>
          <w:rtl/>
        </w:rPr>
        <w:t>נפחי מסחר – לוחות ותרשימים</w:t>
      </w:r>
    </w:p>
    <w:p w:rsidR="00024BD1" w:rsidRPr="00BD7EBA" w:rsidRDefault="00024BD1" w:rsidP="00024BD1">
      <w:pPr>
        <w:pStyle w:val="2"/>
        <w:bidi/>
        <w:rPr>
          <w:rFonts w:asciiTheme="minorHAnsi" w:hAnsiTheme="minorHAnsi" w:cstheme="minorHAnsi"/>
          <w:sz w:val="24"/>
          <w:szCs w:val="24"/>
          <w:rtl/>
        </w:rPr>
      </w:pPr>
      <w:r w:rsidRPr="00BD7EBA">
        <w:rPr>
          <w:rFonts w:asciiTheme="minorHAnsi" w:hAnsiTheme="minorHAnsi" w:cstheme="minorHAnsi"/>
          <w:sz w:val="24"/>
          <w:szCs w:val="24"/>
          <w:rtl/>
        </w:rPr>
        <w:lastRenderedPageBreak/>
        <w:t>נפח המסחר מול מערכת הבנקאות המקומית</w:t>
      </w:r>
      <w:r w:rsidRPr="00BD7EBA">
        <w:rPr>
          <w:rFonts w:asciiTheme="minorHAnsi" w:hAnsiTheme="minorHAnsi" w:cstheme="minorHAnsi"/>
          <w:vertAlign w:val="superscript"/>
          <w:rtl/>
        </w:rPr>
        <w:footnoteReference w:id="3"/>
      </w:r>
    </w:p>
    <w:p w:rsidR="00024BD1" w:rsidRPr="00BD7EBA" w:rsidRDefault="00024BD1" w:rsidP="00024BD1">
      <w:pPr>
        <w:bidi/>
        <w:rPr>
          <w:rFonts w:asciiTheme="minorHAnsi" w:hAnsiTheme="minorHAnsi" w:cstheme="minorHAnsi"/>
          <w:rtl/>
        </w:rPr>
      </w:pPr>
    </w:p>
    <w:p w:rsidR="00412AF2" w:rsidRPr="00BD7EBA" w:rsidRDefault="00412AF2" w:rsidP="000F45D4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D7EB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rtl/>
        </w:rPr>
        <w:t>נפח המסחר היומי הממוצע</w:t>
      </w:r>
      <w:r w:rsidRPr="00BD7EBA">
        <w:rPr>
          <w:rFonts w:asciiTheme="minorHAnsi" w:hAnsiTheme="minorHAnsi" w:cstheme="minorHAnsi"/>
          <w:color w:val="000000" w:themeColor="text1"/>
          <w:rtl/>
        </w:rPr>
        <w:t xml:space="preserve"> </w:t>
      </w:r>
      <w:r w:rsidR="001C6B0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רשם </w:t>
      </w:r>
      <w:r w:rsidR="000E66E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עליה</w:t>
      </w:r>
      <w:r w:rsidR="00F03596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  <w:r w:rsidR="001C6B0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של </w:t>
      </w:r>
      <w:r w:rsidR="003C6780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8.5</w:t>
      </w:r>
      <w:r w:rsidR="002F6DB8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%</w:t>
      </w:r>
      <w:r w:rsidR="00E74E26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  <w:r w:rsidR="00B04233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במהלך הרבעון, </w:t>
      </w:r>
      <w:r w:rsidR="003D7D42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לרמה של</w:t>
      </w:r>
      <w:r w:rsidR="003C6780" w:rsidRPr="00BD7E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2CE3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  <w:r w:rsidR="003C6780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16.2 </w:t>
      </w:r>
      <w:r w:rsidR="003D7D42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מיליארדי דולרים</w:t>
      </w:r>
      <w:r w:rsidR="00191526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, כאשר עיקר </w:t>
      </w:r>
      <w:r w:rsidR="000E66E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העלייה</w:t>
      </w:r>
      <w:r w:rsidR="00FC6F21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  <w:r w:rsidR="00975999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בנפח</w:t>
      </w:r>
      <w:r w:rsidR="00A8511A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המסחר היומי בעסקאות </w:t>
      </w:r>
      <w:r w:rsidR="00403F8A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החלף</w:t>
      </w:r>
      <w:r w:rsidR="00AA36EE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.</w:t>
      </w:r>
      <w:r w:rsidR="00191526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  <w:r w:rsidR="00E72E16" w:rsidRPr="00BD7EB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rtl/>
        </w:rPr>
        <w:t xml:space="preserve">חלקם היחסי של תושבי חוץ בנפח המסחר מול מערכת הבנקאות המקומית </w:t>
      </w:r>
      <w:r w:rsidR="00E72E16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(עסקאות המרה, עסקאות באופציות ועסקאות החלף) </w:t>
      </w:r>
      <w:r w:rsidR="003C6780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ירד בנקודת </w:t>
      </w:r>
      <w:r w:rsidR="0040770C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האחוז</w:t>
      </w:r>
      <w:r w:rsidR="00E72E16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ועמד בסוף ה</w:t>
      </w:r>
      <w:r w:rsidR="0021091A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רבעון</w:t>
      </w:r>
      <w:r w:rsidR="00E72E16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  <w:r w:rsidR="000F45D4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הראשון</w:t>
      </w:r>
      <w:r w:rsidR="00491C52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  <w:r w:rsidR="00E72E16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על </w:t>
      </w:r>
      <w:r w:rsidR="000E66E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4</w:t>
      </w:r>
      <w:r w:rsidR="003C6780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0</w:t>
      </w:r>
      <w:r w:rsidR="000E66E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.</w:t>
      </w:r>
      <w:r w:rsidR="003C6780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6</w:t>
      </w:r>
      <w:r w:rsidR="000E66ED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%.</w:t>
      </w:r>
    </w:p>
    <w:p w:rsidR="00DD6573" w:rsidRPr="00BD7EBA" w:rsidRDefault="00DD6573" w:rsidP="00DD6573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</w:p>
    <w:p w:rsidR="00DD6573" w:rsidRPr="00BD7EBA" w:rsidRDefault="00DD6573" w:rsidP="00DD6573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</w:p>
    <w:p w:rsidR="00DD6573" w:rsidRPr="00BD7EBA" w:rsidRDefault="003C6780" w:rsidP="00DD6573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D7EBA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en-US"/>
        </w:rPr>
        <w:drawing>
          <wp:inline distT="0" distB="0" distL="0" distR="0" wp14:anchorId="5A9339A4">
            <wp:extent cx="5830570" cy="3444320"/>
            <wp:effectExtent l="0" t="0" r="0" b="381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98" cy="3446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0BD3" w:rsidRPr="00BD7EBA" w:rsidRDefault="00CE0BD3" w:rsidP="00996E2A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</w:p>
    <w:p w:rsidR="00197611" w:rsidRPr="00BD7EBA" w:rsidRDefault="00197611" w:rsidP="00197611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</w:p>
    <w:p w:rsidR="00197611" w:rsidRPr="00BD7EBA" w:rsidRDefault="00197611" w:rsidP="00197611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</w:p>
    <w:p w:rsidR="00197611" w:rsidRPr="00BD7EBA" w:rsidRDefault="00197611" w:rsidP="00197611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</w:p>
    <w:tbl>
      <w:tblPr>
        <w:bidiVisual/>
        <w:tblW w:w="9666" w:type="dxa"/>
        <w:tblLook w:val="04A0" w:firstRow="1" w:lastRow="0" w:firstColumn="1" w:lastColumn="0" w:noHBand="0" w:noVBand="1"/>
      </w:tblPr>
      <w:tblGrid>
        <w:gridCol w:w="978"/>
        <w:gridCol w:w="2786"/>
        <w:gridCol w:w="995"/>
        <w:gridCol w:w="927"/>
        <w:gridCol w:w="1353"/>
        <w:gridCol w:w="1065"/>
        <w:gridCol w:w="1562"/>
      </w:tblGrid>
      <w:tr w:rsidR="00C84391" w:rsidRPr="00BD7EBA" w:rsidTr="00380659">
        <w:trPr>
          <w:trHeight w:val="300"/>
        </w:trPr>
        <w:tc>
          <w:tcPr>
            <w:tcW w:w="9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1C6B0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BD7EB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eastAsia="en-US"/>
              </w:rPr>
              <w:t>עסקאות במט"ח עם הבנקים המקומיים לפי מכשירים ומגזרים (במיליוני דולרים)</w:t>
            </w:r>
          </w:p>
          <w:tbl>
            <w:tblPr>
              <w:bidiVisual/>
              <w:tblW w:w="9440" w:type="dxa"/>
              <w:tblLook w:val="04A0" w:firstRow="1" w:lastRow="0" w:firstColumn="1" w:lastColumn="0" w:noHBand="0" w:noVBand="1"/>
            </w:tblPr>
            <w:tblGrid>
              <w:gridCol w:w="961"/>
              <w:gridCol w:w="3291"/>
              <w:gridCol w:w="895"/>
              <w:gridCol w:w="866"/>
              <w:gridCol w:w="1223"/>
              <w:gridCol w:w="901"/>
              <w:gridCol w:w="1303"/>
            </w:tblGrid>
            <w:tr w:rsidR="003C6780" w:rsidRPr="00BD7EBA" w:rsidTr="00AF52DF">
              <w:trPr>
                <w:trHeight w:val="795"/>
              </w:trPr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C6780" w:rsidRPr="00BD7EBA" w:rsidRDefault="003C6780" w:rsidP="003C6780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עסקאות המרה (1) 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עסקאות החלף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vertAlign w:val="superscript"/>
                      <w:rtl/>
                    </w:rPr>
                    <w:t>1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(</w:t>
                  </w:r>
                  <w:proofErr w:type="spellStart"/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סוופ</w:t>
                  </w:r>
                  <w:proofErr w:type="spellEnd"/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) (2)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עסקאות החלף 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vertAlign w:val="superscript"/>
                      <w:rtl/>
                    </w:rPr>
                    <w:t>2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Cross Currency Swap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(3)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עסקאות באופציות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vertAlign w:val="superscript"/>
                      <w:rtl/>
                    </w:rPr>
                    <w:t>3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(4)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נפח המסחר הכולל (1)+(2)+(3)+(4)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רבעון ראשון 2026  (נתון ארעי)</w:t>
                  </w: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סה"כ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257,639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692,727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2,952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33,382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986,700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סה"כ (ממוצע יומי לפי 61 ימי מסחר)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4,224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11,356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bookmarkStart w:id="1" w:name="RANGE!F7"/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547 </w:t>
                  </w:r>
                  <w:bookmarkEnd w:id="1"/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16,175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תושבי חוץ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97,643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293,218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1,050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9,052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400,963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מזה: מוסדות פיננסיים זרים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96,922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293,218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1,050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9,052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400,242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תושבי ישראל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159,996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399,509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1,902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24,330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585,736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מזה: סקטור ריאלי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51,658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55,606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324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13,547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121,135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סקטור פיננסי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45,569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155,294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212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659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201,735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מוסדיים (כולל חברות ביטוח)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33,001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141,842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6,295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181,137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יחידים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5,902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622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114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6,638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אחרים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vertAlign w:val="superscript"/>
                      <w:rtl/>
                    </w:rPr>
                    <w:t>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722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722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בנקים מקומיים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vertAlign w:val="superscript"/>
                      <w:rtl/>
                    </w:rPr>
                    <w:t>5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12,031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20,475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280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2,482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35,268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רבעון רביעי 2025</w:t>
                  </w: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סה"כ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</w:pPr>
                  <w:bookmarkStart w:id="2" w:name="RANGE!C17"/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235,829 </w:t>
                  </w:r>
                  <w:bookmarkEnd w:id="2"/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633,218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3,880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21,521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894,448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סה"כ (ממוצע יומי לפי 60 ימי מסחר)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bookmarkStart w:id="3" w:name="RANGE!C18"/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3,930 </w:t>
                  </w:r>
                  <w:bookmarkEnd w:id="3"/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10,554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65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359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14,907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תושבי חוץ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71,724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291,710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1,199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7,220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371,853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מזה: מוסדות פיננסיים זרים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70,972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291,710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1,199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7,220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371,101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תושבי ישראל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164,105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341,508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2,681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14,301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522,595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>מזה: סקטור ריאלי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44,612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41,680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242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7,497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94,030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סקטור פיננסי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35,947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134,076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1,970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1,114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173,107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מוסדיים (כולל חברות ביטוח)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59,067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127,552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3,148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189,767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יחידים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5,941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483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6,477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אחרים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vertAlign w:val="superscript"/>
                      <w:rtl/>
                    </w:rPr>
                    <w:t>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752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752 </w:t>
                  </w:r>
                </w:p>
              </w:tc>
            </w:tr>
            <w:tr w:rsidR="003C6780" w:rsidRPr="00BD7EBA" w:rsidTr="00E16B79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rtl/>
                    </w:rPr>
                    <w:t xml:space="preserve">         בנקים מקומיים</w:t>
                  </w:r>
                  <w:r w:rsidRPr="00BD7EB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vertAlign w:val="superscript"/>
                      <w:rtl/>
                    </w:rPr>
                    <w:t>5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8,857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17,111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285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1,544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6780" w:rsidRPr="00BD7EBA" w:rsidRDefault="003C6780" w:rsidP="003C678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7E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27,796 </w:t>
                  </w:r>
                </w:p>
              </w:tc>
            </w:tr>
          </w:tbl>
          <w:p w:rsidR="00853663" w:rsidRPr="00BD7EBA" w:rsidRDefault="00853663" w:rsidP="00853663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84391" w:rsidRPr="00BD7EBA" w:rsidTr="00853663">
        <w:trPr>
          <w:trHeight w:val="4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4391" w:rsidRPr="00BD7EBA" w:rsidTr="00853663">
        <w:trPr>
          <w:trHeight w:val="4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4391" w:rsidRPr="00BD7EBA" w:rsidRDefault="00C84391" w:rsidP="00C8439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4391" w:rsidRPr="00BD7EBA" w:rsidRDefault="00C84391" w:rsidP="00C84391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4391" w:rsidRPr="00BD7EBA" w:rsidRDefault="00C84391" w:rsidP="00C84391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4391" w:rsidRPr="00BD7EBA" w:rsidRDefault="00C84391" w:rsidP="00C84391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4391" w:rsidRPr="00BD7EBA" w:rsidRDefault="00C84391" w:rsidP="00C84391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4391" w:rsidRPr="00BD7EBA" w:rsidRDefault="00C84391" w:rsidP="00C84391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4391" w:rsidRPr="00BD7EBA" w:rsidRDefault="00C84391" w:rsidP="00C84391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4391" w:rsidRPr="00BD7EBA" w:rsidTr="00853663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sz w:val="12"/>
                <w:szCs w:val="12"/>
                <w:vertAlign w:val="superscript"/>
                <w:rtl/>
                <w:lang w:eastAsia="en-US"/>
              </w:rPr>
              <w:t>1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 xml:space="preserve"> רגל אחת בלבד של עסקת החלף, כלומר הערך הנומינאלי של העסקה (בהתאם להגדרות ה- 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lang w:eastAsia="en-US"/>
              </w:rPr>
              <w:t>BIS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>).</w:t>
            </w:r>
          </w:p>
        </w:tc>
      </w:tr>
      <w:tr w:rsidR="00C84391" w:rsidRPr="00BD7EBA" w:rsidTr="00853663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rPr>
                <w:rFonts w:asciiTheme="minorHAnsi" w:hAnsiTheme="minorHAnsi" w:cstheme="minorHAnsi"/>
                <w:sz w:val="12"/>
                <w:szCs w:val="12"/>
                <w:lang w:eastAsia="en-US"/>
              </w:rPr>
            </w:pPr>
            <w:r w:rsidRPr="00BD7EBA">
              <w:rPr>
                <w:rFonts w:asciiTheme="minorHAnsi" w:hAnsiTheme="minorHAnsi" w:cstheme="minorHAnsi"/>
                <w:sz w:val="12"/>
                <w:szCs w:val="12"/>
                <w:vertAlign w:val="superscript"/>
                <w:rtl/>
                <w:lang w:eastAsia="en-US"/>
              </w:rPr>
              <w:t>2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 xml:space="preserve">הקרנות המוחלפות בעסקות 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lang w:eastAsia="en-US"/>
              </w:rPr>
              <w:t>Cross Currency Swap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 xml:space="preserve"> יחושבו לצורך הנפח כרגל אחת בלבד, במקרים בהם הרגליים מקזזות זו את זו.</w:t>
            </w:r>
          </w:p>
        </w:tc>
      </w:tr>
      <w:tr w:rsidR="00C84391" w:rsidRPr="00BD7EBA" w:rsidTr="00853663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rPr>
                <w:rFonts w:asciiTheme="minorHAnsi" w:hAnsiTheme="minorHAnsi" w:cstheme="minorHAnsi"/>
                <w:sz w:val="12"/>
                <w:szCs w:val="12"/>
                <w:lang w:eastAsia="en-US"/>
              </w:rPr>
            </w:pPr>
            <w:bookmarkStart w:id="4" w:name="RANGE!B31"/>
            <w:r w:rsidRPr="00BD7EBA">
              <w:rPr>
                <w:rFonts w:asciiTheme="minorHAnsi" w:hAnsiTheme="minorHAnsi" w:cstheme="minorHAnsi"/>
                <w:sz w:val="12"/>
                <w:szCs w:val="12"/>
                <w:vertAlign w:val="superscript"/>
                <w:rtl/>
                <w:lang w:eastAsia="en-US"/>
              </w:rPr>
              <w:t>3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 xml:space="preserve"> ה- 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lang w:eastAsia="en-US"/>
              </w:rPr>
              <w:t>National value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 xml:space="preserve"> הכולל של עסקות קנייה ומכירה של 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lang w:eastAsia="en-US"/>
              </w:rPr>
              <w:t>Call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 xml:space="preserve"> ו- 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lang w:eastAsia="en-US"/>
              </w:rPr>
              <w:t>Put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>.</w:t>
            </w:r>
            <w:bookmarkEnd w:id="4"/>
          </w:p>
        </w:tc>
      </w:tr>
      <w:tr w:rsidR="00C84391" w:rsidRPr="00BD7EBA" w:rsidTr="00853663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rPr>
                <w:rFonts w:asciiTheme="minorHAnsi" w:hAnsiTheme="minorHAnsi" w:cstheme="minorHAnsi"/>
                <w:sz w:val="12"/>
                <w:szCs w:val="12"/>
                <w:lang w:eastAsia="en-US"/>
              </w:rPr>
            </w:pPr>
            <w:bookmarkStart w:id="5" w:name="RANGE!B32"/>
            <w:r w:rsidRPr="00BD7EBA">
              <w:rPr>
                <w:rFonts w:asciiTheme="minorHAnsi" w:hAnsiTheme="minorHAnsi" w:cstheme="minorHAnsi"/>
                <w:sz w:val="12"/>
                <w:szCs w:val="12"/>
                <w:vertAlign w:val="superscript"/>
                <w:rtl/>
                <w:lang w:eastAsia="en-US"/>
              </w:rPr>
              <w:t xml:space="preserve">4 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>כולל גופים כמו מנהלי תיקים, מלכ"רים, מוסדות לאומיים וכאלו שלא נכללים ביתר הסעיפים.</w:t>
            </w:r>
            <w:bookmarkEnd w:id="5"/>
          </w:p>
        </w:tc>
      </w:tr>
      <w:tr w:rsidR="00C84391" w:rsidRPr="00BD7EBA" w:rsidTr="00853663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391" w:rsidRPr="00BD7EBA" w:rsidRDefault="00C84391" w:rsidP="00C84391">
            <w:pPr>
              <w:bidi/>
              <w:rPr>
                <w:rFonts w:asciiTheme="minorHAnsi" w:hAnsiTheme="minorHAnsi" w:cstheme="minorHAnsi"/>
                <w:sz w:val="12"/>
                <w:szCs w:val="12"/>
                <w:lang w:eastAsia="en-US"/>
              </w:rPr>
            </w:pPr>
            <w:bookmarkStart w:id="6" w:name="RANGE!B33"/>
            <w:r w:rsidRPr="00BD7EBA">
              <w:rPr>
                <w:rFonts w:asciiTheme="minorHAnsi" w:hAnsiTheme="minorHAnsi" w:cstheme="minorHAnsi"/>
                <w:b/>
                <w:bCs/>
                <w:sz w:val="12"/>
                <w:szCs w:val="12"/>
                <w:vertAlign w:val="superscript"/>
                <w:rtl/>
                <w:lang w:eastAsia="en-US"/>
              </w:rPr>
              <w:t>5</w:t>
            </w:r>
            <w:r w:rsidRPr="00BD7EBA">
              <w:rPr>
                <w:rFonts w:asciiTheme="minorHAnsi" w:hAnsiTheme="minorHAnsi" w:cstheme="minorHAnsi"/>
                <w:sz w:val="12"/>
                <w:szCs w:val="12"/>
                <w:rtl/>
                <w:lang w:eastAsia="en-US"/>
              </w:rPr>
              <w:t xml:space="preserve"> סך המסחר הבין בנקאי מחולק בשניים.</w:t>
            </w:r>
            <w:bookmarkEnd w:id="6"/>
          </w:p>
        </w:tc>
      </w:tr>
    </w:tbl>
    <w:p w:rsidR="001C6B0D" w:rsidRPr="00BD7EBA" w:rsidRDefault="001C6B0D" w:rsidP="001C6B0D">
      <w:pPr>
        <w:pStyle w:val="2"/>
        <w:bidi/>
        <w:rPr>
          <w:rFonts w:asciiTheme="minorHAnsi" w:hAnsiTheme="minorHAnsi" w:cstheme="minorHAnsi"/>
          <w:sz w:val="24"/>
          <w:szCs w:val="24"/>
          <w:rtl/>
        </w:rPr>
      </w:pPr>
    </w:p>
    <w:p w:rsidR="001C6B0D" w:rsidRPr="00BD7EBA" w:rsidRDefault="001C6B0D" w:rsidP="001C6B0D">
      <w:pPr>
        <w:bidi/>
        <w:rPr>
          <w:rFonts w:asciiTheme="minorHAnsi" w:hAnsiTheme="minorHAnsi" w:cstheme="minorHAnsi"/>
          <w:rtl/>
        </w:rPr>
      </w:pPr>
    </w:p>
    <w:p w:rsidR="001E2650" w:rsidRPr="00BD7EBA" w:rsidRDefault="001E2650" w:rsidP="00F03596">
      <w:pPr>
        <w:pStyle w:val="2"/>
        <w:bidi/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rtl/>
        </w:rPr>
      </w:pPr>
    </w:p>
    <w:p w:rsidR="00764568" w:rsidRPr="00BD7EBA" w:rsidRDefault="00764568" w:rsidP="00764568">
      <w:pPr>
        <w:bidi/>
        <w:rPr>
          <w:rFonts w:asciiTheme="minorHAnsi" w:hAnsiTheme="minorHAnsi" w:cstheme="minorHAnsi"/>
          <w:rtl/>
        </w:rPr>
      </w:pPr>
    </w:p>
    <w:p w:rsidR="00764568" w:rsidRPr="00BD7EBA" w:rsidRDefault="00764568" w:rsidP="00764568">
      <w:pPr>
        <w:bidi/>
        <w:rPr>
          <w:rFonts w:asciiTheme="minorHAnsi" w:hAnsiTheme="minorHAnsi" w:cstheme="minorHAnsi"/>
          <w:rtl/>
        </w:rPr>
      </w:pPr>
    </w:p>
    <w:p w:rsidR="00764568" w:rsidRPr="00BD7EBA" w:rsidRDefault="00764568" w:rsidP="00764568">
      <w:pPr>
        <w:bidi/>
        <w:rPr>
          <w:rFonts w:asciiTheme="minorHAnsi" w:hAnsiTheme="minorHAnsi" w:cstheme="minorHAnsi"/>
          <w:rtl/>
        </w:rPr>
      </w:pPr>
    </w:p>
    <w:p w:rsidR="00E93529" w:rsidRPr="00BD7EBA" w:rsidRDefault="00E93529" w:rsidP="00E93529">
      <w:pPr>
        <w:bidi/>
        <w:rPr>
          <w:rFonts w:asciiTheme="minorHAnsi" w:hAnsiTheme="minorHAnsi" w:cstheme="minorHAnsi"/>
          <w:rtl/>
        </w:rPr>
      </w:pPr>
    </w:p>
    <w:p w:rsidR="00E93529" w:rsidRPr="00BD7EBA" w:rsidRDefault="00E93529" w:rsidP="00E93529">
      <w:pPr>
        <w:bidi/>
        <w:rPr>
          <w:rFonts w:asciiTheme="minorHAnsi" w:hAnsiTheme="minorHAnsi" w:cstheme="minorHAnsi"/>
        </w:rPr>
      </w:pPr>
    </w:p>
    <w:p w:rsidR="00E93529" w:rsidRPr="00BD7EBA" w:rsidRDefault="00E93529" w:rsidP="00E93529">
      <w:pPr>
        <w:bidi/>
        <w:rPr>
          <w:rFonts w:asciiTheme="minorHAnsi" w:hAnsiTheme="minorHAnsi" w:cstheme="minorHAnsi"/>
        </w:rPr>
      </w:pPr>
    </w:p>
    <w:p w:rsidR="00E93529" w:rsidRPr="00BD7EBA" w:rsidRDefault="00E93529" w:rsidP="00E93529">
      <w:pPr>
        <w:bidi/>
        <w:rPr>
          <w:rFonts w:asciiTheme="minorHAnsi" w:hAnsiTheme="minorHAnsi" w:cstheme="minorHAnsi"/>
        </w:rPr>
      </w:pPr>
    </w:p>
    <w:p w:rsidR="00E93529" w:rsidRPr="00BD7EBA" w:rsidRDefault="00E93529" w:rsidP="00E93529">
      <w:pPr>
        <w:bidi/>
        <w:rPr>
          <w:rFonts w:asciiTheme="minorHAnsi" w:hAnsiTheme="minorHAnsi" w:cstheme="minorHAnsi"/>
        </w:rPr>
      </w:pPr>
    </w:p>
    <w:p w:rsidR="00E93529" w:rsidRPr="00BD7EBA" w:rsidRDefault="00E93529" w:rsidP="00E93529">
      <w:pPr>
        <w:bidi/>
        <w:rPr>
          <w:rFonts w:asciiTheme="minorHAnsi" w:hAnsiTheme="minorHAnsi" w:cstheme="minorHAnsi"/>
        </w:rPr>
      </w:pPr>
    </w:p>
    <w:p w:rsidR="00E93529" w:rsidRPr="00BD7EBA" w:rsidRDefault="00E93529" w:rsidP="00E93529">
      <w:pPr>
        <w:bidi/>
        <w:rPr>
          <w:rFonts w:asciiTheme="minorHAnsi" w:hAnsiTheme="minorHAnsi" w:cstheme="minorHAnsi"/>
          <w:rtl/>
        </w:rPr>
      </w:pPr>
    </w:p>
    <w:p w:rsidR="00764568" w:rsidRPr="00BD7EBA" w:rsidRDefault="00764568" w:rsidP="00764568">
      <w:pPr>
        <w:bidi/>
        <w:rPr>
          <w:rFonts w:asciiTheme="minorHAnsi" w:hAnsiTheme="minorHAnsi" w:cstheme="minorHAnsi"/>
          <w:rtl/>
        </w:rPr>
      </w:pPr>
    </w:p>
    <w:p w:rsidR="00764568" w:rsidRPr="00BD7EBA" w:rsidRDefault="00764568" w:rsidP="00764568">
      <w:pPr>
        <w:bidi/>
        <w:rPr>
          <w:rFonts w:asciiTheme="minorHAnsi" w:hAnsiTheme="minorHAnsi" w:cstheme="minorHAnsi"/>
          <w:rtl/>
        </w:rPr>
      </w:pPr>
    </w:p>
    <w:p w:rsidR="007306CA" w:rsidRPr="00BD7EBA" w:rsidRDefault="007306CA" w:rsidP="001E2650">
      <w:pPr>
        <w:pStyle w:val="2"/>
        <w:bidi/>
        <w:rPr>
          <w:rFonts w:asciiTheme="minorHAnsi" w:hAnsiTheme="minorHAnsi" w:cstheme="minorHAnsi"/>
          <w:sz w:val="24"/>
          <w:szCs w:val="24"/>
          <w:rtl/>
        </w:rPr>
      </w:pPr>
      <w:r w:rsidRPr="00BD7EBA">
        <w:rPr>
          <w:rFonts w:asciiTheme="minorHAnsi" w:hAnsiTheme="minorHAnsi" w:cstheme="minorHAnsi"/>
          <w:sz w:val="24"/>
          <w:szCs w:val="24"/>
          <w:rtl/>
        </w:rPr>
        <w:t>אומדן של נפח המסחר הכולל</w:t>
      </w:r>
      <w:r w:rsidRPr="00BD7EBA">
        <w:rPr>
          <w:rStyle w:val="ab"/>
          <w:rFonts w:asciiTheme="minorHAnsi" w:hAnsiTheme="minorHAnsi" w:cstheme="minorHAnsi"/>
          <w:sz w:val="24"/>
          <w:szCs w:val="24"/>
          <w:rtl/>
        </w:rPr>
        <w:footnoteReference w:id="4"/>
      </w:r>
      <w:r w:rsidRPr="00BD7EBA">
        <w:rPr>
          <w:rFonts w:asciiTheme="minorHAnsi" w:hAnsiTheme="minorHAnsi" w:cstheme="minorHAnsi"/>
          <w:sz w:val="24"/>
          <w:szCs w:val="24"/>
          <w:rtl/>
        </w:rPr>
        <w:t xml:space="preserve"> - מערכת הבנקאות המקומית ומדווחים זרים</w:t>
      </w:r>
    </w:p>
    <w:p w:rsidR="007306CA" w:rsidRPr="00BD7EBA" w:rsidRDefault="007306CA" w:rsidP="007306CA">
      <w:p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AC78F7" w:rsidRPr="00BD7EBA" w:rsidRDefault="007306CA" w:rsidP="000F45D4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מאמידת הפעילות הכוללת בעסקאות מול השקל המשתקפת בדיווחי מערכת הבנקאות המקומית ומדווחים זרים עולה כי חלקם היחסי של תושבי חוץ בנפח המסחר בעסקאות המרה  (ללא עסקאות החלף ואופציות) עמד ב</w:t>
      </w:r>
      <w:r w:rsidR="0021091A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רבעון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  <w:r w:rsidR="000F45D4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הראשון</w:t>
      </w:r>
      <w:r w:rsidR="00491C52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  <w:r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על </w:t>
      </w:r>
      <w:r w:rsidR="007656B5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כ-</w:t>
      </w:r>
      <w:r w:rsidR="000F45D4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88</w:t>
      </w:r>
      <w:r w:rsidR="007656B5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%</w:t>
      </w:r>
      <w:r w:rsidR="00AE755B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,</w:t>
      </w:r>
      <w:r w:rsidR="00AE755B" w:rsidRPr="00BD7EB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rtl/>
        </w:rPr>
        <w:t xml:space="preserve"> </w:t>
      </w:r>
      <w:r w:rsidR="00AE755B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כאשר המסחר בין זרים מהווה </w:t>
      </w:r>
      <w:r w:rsidR="001110A9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כ-7</w:t>
      </w:r>
      <w:r w:rsidR="000F45D4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9</w:t>
      </w:r>
      <w:r w:rsidR="001F450A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%</w:t>
      </w:r>
      <w:r w:rsidR="00AE755B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מהנפח</w:t>
      </w:r>
      <w:r w:rsidR="00162F2C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, שעמד על ממוצע יומי של </w:t>
      </w:r>
      <w:r w:rsidR="009412F2" w:rsidRPr="00BD7E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30C46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כ-</w:t>
      </w:r>
      <w:r w:rsidR="000F45D4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21.3 </w:t>
      </w:r>
      <w:r w:rsidR="006657A5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מיליארדי דולרים</w:t>
      </w:r>
      <w:r w:rsidR="00AE755B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>.</w:t>
      </w:r>
      <w:r w:rsidR="00AC78F7" w:rsidRPr="00BD7EBA">
        <w:rPr>
          <w:rFonts w:asciiTheme="minorHAnsi" w:hAnsiTheme="minorHAnsi" w:cstheme="minorHAnsi"/>
          <w:color w:val="000000" w:themeColor="text1"/>
          <w:sz w:val="24"/>
          <w:szCs w:val="24"/>
          <w:rtl/>
        </w:rPr>
        <w:t xml:space="preserve"> </w:t>
      </w:r>
    </w:p>
    <w:p w:rsidR="000E66ED" w:rsidRPr="00BD7EBA" w:rsidRDefault="000E66ED" w:rsidP="000E66ED">
      <w:pPr>
        <w:bidi/>
        <w:spacing w:line="360" w:lineRule="auto"/>
        <w:jc w:val="both"/>
        <w:rPr>
          <w:rFonts w:asciiTheme="minorHAnsi" w:hAnsiTheme="minorHAnsi" w:cstheme="minorHAnsi"/>
          <w:sz w:val="22"/>
          <w:szCs w:val="22"/>
          <w:rtl/>
        </w:rPr>
      </w:pPr>
    </w:p>
    <w:tbl>
      <w:tblPr>
        <w:bidiVisual/>
        <w:tblW w:w="10160" w:type="dxa"/>
        <w:tblLook w:val="04A0" w:firstRow="1" w:lastRow="0" w:firstColumn="1" w:lastColumn="0" w:noHBand="0" w:noVBand="1"/>
      </w:tblPr>
      <w:tblGrid>
        <w:gridCol w:w="3428"/>
        <w:gridCol w:w="996"/>
        <w:gridCol w:w="995"/>
        <w:gridCol w:w="997"/>
        <w:gridCol w:w="1038"/>
        <w:gridCol w:w="1412"/>
        <w:gridCol w:w="1294"/>
      </w:tblGrid>
      <w:tr w:rsidR="00A36F7D" w:rsidRPr="00BD7EBA" w:rsidTr="00C246E7">
        <w:trPr>
          <w:trHeight w:val="315"/>
        </w:trPr>
        <w:tc>
          <w:tcPr>
            <w:tcW w:w="3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3A2C16" w:rsidRPr="00BD7EBA" w:rsidRDefault="003A2C16" w:rsidP="003A2C1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BD7EB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3A2C16" w:rsidRPr="00BD7EBA" w:rsidRDefault="003A2C16" w:rsidP="003A2C1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  <w:t> </w:t>
            </w:r>
          </w:p>
        </w:tc>
        <w:tc>
          <w:tcPr>
            <w:tcW w:w="303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3A2C16" w:rsidRPr="00BD7EBA" w:rsidRDefault="003A2C16" w:rsidP="003A2C1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</w:pPr>
            <w:bookmarkStart w:id="7" w:name="RANGE!C1"/>
            <w:r w:rsidRPr="00BD7EB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  <w:t>החלק היחסי בנפח המסחר הכולל</w:t>
            </w:r>
            <w:bookmarkEnd w:id="7"/>
          </w:p>
        </w:tc>
        <w:tc>
          <w:tcPr>
            <w:tcW w:w="14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3A2C16" w:rsidRPr="00BD7EBA" w:rsidRDefault="003A2C16" w:rsidP="003A2C1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  <w:t>סך הנפח (במיליוני $)</w:t>
            </w:r>
          </w:p>
        </w:tc>
        <w:tc>
          <w:tcPr>
            <w:tcW w:w="129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3A2C16" w:rsidRPr="00BD7EBA" w:rsidRDefault="003A2C16" w:rsidP="003A2C1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  <w:t>ממוצע יומי (במיליוני $)</w:t>
            </w:r>
          </w:p>
        </w:tc>
      </w:tr>
      <w:tr w:rsidR="00A36F7D" w:rsidRPr="00BD7EBA" w:rsidTr="00C246E7">
        <w:trPr>
          <w:trHeight w:val="1515"/>
        </w:trPr>
        <w:tc>
          <w:tcPr>
            <w:tcW w:w="342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3A2C16" w:rsidRPr="00BD7EBA" w:rsidRDefault="003A2C16" w:rsidP="003A2C1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3A2C16" w:rsidRPr="00BD7EBA" w:rsidRDefault="003A2C16" w:rsidP="003A2C1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3A2C16" w:rsidRPr="00BD7EBA" w:rsidRDefault="003A2C16" w:rsidP="003A2C1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  <w:t>מסחר בין זרים</w:t>
            </w:r>
          </w:p>
        </w:tc>
        <w:tc>
          <w:tcPr>
            <w:tcW w:w="997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3A2C16" w:rsidRPr="00BD7EBA" w:rsidRDefault="0085691B" w:rsidP="00A36F7D">
            <w:pPr>
              <w:bidi/>
              <w:jc w:val="center"/>
              <w:rPr>
                <w:rFonts w:asciiTheme="minorHAnsi" w:hAnsiTheme="minorHAnsi" w:cstheme="minorHAnsi"/>
                <w:color w:val="0000FF"/>
                <w:u w:val="single"/>
                <w:rtl/>
                <w:lang w:eastAsia="en-US"/>
              </w:rPr>
            </w:pPr>
            <w:hyperlink r:id="rId17" w:anchor="RANGE!_ftn1" w:history="1">
              <w:r w:rsidR="00A36F7D" w:rsidRPr="00BD7EBA">
                <w:rPr>
                  <w:rFonts w:asciiTheme="minorHAnsi" w:hAnsiTheme="minorHAnsi" w:cstheme="minorHAnsi"/>
                  <w:b/>
                  <w:bCs/>
                  <w:color w:val="FFFFFF"/>
                  <w:sz w:val="22"/>
                  <w:szCs w:val="22"/>
                  <w:rtl/>
                  <w:lang w:eastAsia="en-US"/>
                </w:rPr>
                <w:t>מסחר בין זר למקומי</w:t>
              </w:r>
            </w:hyperlink>
          </w:p>
        </w:tc>
        <w:tc>
          <w:tcPr>
            <w:tcW w:w="1038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3A2C16" w:rsidRPr="00BD7EBA" w:rsidRDefault="003A2C16" w:rsidP="003A2C1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  <w:lang w:eastAsia="en-US"/>
              </w:rPr>
              <w:t>מסחר בין מערכת הבנקאות המקומית למקומיים</w:t>
            </w:r>
          </w:p>
        </w:tc>
        <w:tc>
          <w:tcPr>
            <w:tcW w:w="14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3A2C16" w:rsidRPr="00BD7EBA" w:rsidRDefault="003A2C16" w:rsidP="003A2C16">
            <w:pPr>
              <w:bidi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  <w:hideMark/>
          </w:tcPr>
          <w:p w:rsidR="003A2C16" w:rsidRPr="00BD7EBA" w:rsidRDefault="003A2C16" w:rsidP="003A2C16">
            <w:pPr>
              <w:bidi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</w:p>
        </w:tc>
      </w:tr>
      <w:tr w:rsidR="000F45D4" w:rsidRPr="00BD7EBA" w:rsidTr="00C246E7">
        <w:trPr>
          <w:trHeight w:val="1215"/>
        </w:trPr>
        <w:tc>
          <w:tcPr>
            <w:tcW w:w="3428" w:type="dxa"/>
            <w:vMerge w:val="restart"/>
            <w:tcBorders>
              <w:top w:val="nil"/>
              <w:left w:val="single" w:sz="8" w:space="0" w:color="9CC2E5"/>
              <w:bottom w:val="single" w:sz="12" w:space="0" w:color="000000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D7EBA">
              <w:rPr>
                <w:rFonts w:asciiTheme="minorHAnsi" w:hAnsiTheme="minorHAnsi" w:cstheme="minorHAnsi"/>
                <w:sz w:val="18"/>
                <w:szCs w:val="18"/>
                <w:rtl/>
              </w:rPr>
              <w:t>רבעון ראשון 2026</w:t>
            </w: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נפח המסחר בעסקאות המרה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78.8%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9.2%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12.0%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                1,296,658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            21,257 </w:t>
            </w:r>
          </w:p>
        </w:tc>
      </w:tr>
      <w:tr w:rsidR="000F45D4" w:rsidRPr="00BD7EBA" w:rsidTr="00C246E7">
        <w:trPr>
          <w:trHeight w:val="1515"/>
        </w:trPr>
        <w:tc>
          <w:tcPr>
            <w:tcW w:w="3428" w:type="dxa"/>
            <w:vMerge/>
            <w:tcBorders>
              <w:top w:val="nil"/>
              <w:left w:val="single" w:sz="8" w:space="0" w:color="9CC2E5"/>
              <w:bottom w:val="single" w:sz="12" w:space="0" w:color="000000"/>
              <w:right w:val="single" w:sz="8" w:space="0" w:color="9CC2E5"/>
            </w:tcBorders>
            <w:vAlign w:val="center"/>
            <w:hideMark/>
          </w:tcPr>
          <w:p w:rsidR="000F45D4" w:rsidRPr="00BD7EBA" w:rsidRDefault="000F45D4" w:rsidP="000F45D4">
            <w:pPr>
              <w:bidi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נפח המסחר בעסקאות החלף ואופציות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56.2%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20.1%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23.7%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                1,779,516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            29,172 </w:t>
            </w:r>
          </w:p>
        </w:tc>
      </w:tr>
      <w:tr w:rsidR="000F45D4" w:rsidRPr="00BD7EBA" w:rsidTr="00C246E7">
        <w:trPr>
          <w:trHeight w:val="1230"/>
        </w:trPr>
        <w:tc>
          <w:tcPr>
            <w:tcW w:w="3428" w:type="dxa"/>
            <w:vMerge w:val="restart"/>
            <w:tcBorders>
              <w:top w:val="nil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BD7EBA">
              <w:rPr>
                <w:rFonts w:asciiTheme="minorHAnsi" w:hAnsiTheme="minorHAnsi" w:cstheme="minorHAnsi"/>
                <w:sz w:val="18"/>
                <w:szCs w:val="18"/>
                <w:rtl/>
              </w:rPr>
              <w:t>רבעון רביעי  2025</w:t>
            </w: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נפח המסחר בעסקאות המרה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77.0%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8.1%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14.9%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                1,070,592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            17,843 </w:t>
            </w:r>
          </w:p>
        </w:tc>
      </w:tr>
      <w:tr w:rsidR="000F45D4" w:rsidRPr="00BD7EBA" w:rsidTr="00C246E7">
        <w:trPr>
          <w:trHeight w:val="1500"/>
        </w:trPr>
        <w:tc>
          <w:tcPr>
            <w:tcW w:w="3428" w:type="dxa"/>
            <w:vMerge/>
            <w:tcBorders>
              <w:top w:val="nil"/>
              <w:left w:val="single" w:sz="8" w:space="0" w:color="9CC2E5"/>
              <w:bottom w:val="nil"/>
              <w:right w:val="single" w:sz="8" w:space="0" w:color="9CC2E5"/>
            </w:tcBorders>
            <w:vAlign w:val="center"/>
            <w:hideMark/>
          </w:tcPr>
          <w:p w:rsidR="000F45D4" w:rsidRPr="00BD7EBA" w:rsidRDefault="000F45D4" w:rsidP="000F45D4">
            <w:pPr>
              <w:bidi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  <w:lang w:eastAsia="en-US"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נפח המסחר בעסקאות החלף ואופציות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55.5%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21.7%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>22.8%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                1,563,946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0F45D4" w:rsidRPr="00BD7EBA" w:rsidRDefault="000F45D4" w:rsidP="000F45D4">
            <w:pPr>
              <w:bidi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BD7EB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            26,066 </w:t>
            </w:r>
          </w:p>
        </w:tc>
      </w:tr>
    </w:tbl>
    <w:p w:rsidR="00AE755B" w:rsidRPr="00BD7EBA" w:rsidRDefault="00491CBE" w:rsidP="00491CBE">
      <w:pPr>
        <w:tabs>
          <w:tab w:val="left" w:pos="2649"/>
        </w:tabs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sectPr w:rsidR="00AE755B" w:rsidRPr="00BD7EBA" w:rsidSect="004E549D">
      <w:type w:val="continuous"/>
      <w:pgSz w:w="11906" w:h="16838"/>
      <w:pgMar w:top="624" w:right="107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91B" w:rsidRDefault="0085691B" w:rsidP="00C04A6B">
      <w:r>
        <w:separator/>
      </w:r>
    </w:p>
  </w:endnote>
  <w:endnote w:type="continuationSeparator" w:id="0">
    <w:p w:rsidR="0085691B" w:rsidRDefault="0085691B" w:rsidP="00C0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David"/>
        <w:rtl/>
        <w:lang w:val="he-IL"/>
      </w:rPr>
      <w:id w:val="-916242249"/>
      <w:docPartObj>
        <w:docPartGallery w:val="Page Numbers (Bottom of Page)"/>
        <w:docPartUnique/>
      </w:docPartObj>
    </w:sdtPr>
    <w:sdtEndPr>
      <w:rPr>
        <w:cs/>
        <w:lang w:val="en-US"/>
      </w:rPr>
    </w:sdtEndPr>
    <w:sdtContent>
      <w:sdt>
        <w:sdtPr>
          <w:rPr>
            <w:rFonts w:cs="David"/>
            <w:rtl/>
            <w:lang w:val="he-IL"/>
          </w:rPr>
          <w:id w:val="2712275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:rsidR="00C04A6B" w:rsidRPr="002168C6" w:rsidRDefault="006E1923" w:rsidP="004F7549">
            <w:pPr>
              <w:pStyle w:val="a7"/>
              <w:bidi/>
              <w:rPr>
                <w:rFonts w:cs="David"/>
                <w:rtl/>
              </w:rPr>
            </w:pPr>
            <w:r w:rsidRPr="002168C6">
              <w:rPr>
                <w:rFonts w:cs="David" w:hint="cs"/>
                <w:rtl/>
                <w:lang w:val="he-IL"/>
              </w:rPr>
              <w:t>בנק ישראל - המסחר בשוק מטבע החוץ ב</w:t>
            </w:r>
            <w:r w:rsidR="0021091A">
              <w:rPr>
                <w:rFonts w:cs="David" w:hint="cs"/>
                <w:rtl/>
                <w:lang w:val="he-IL"/>
              </w:rPr>
              <w:t>רבעון</w:t>
            </w:r>
            <w:r w:rsidR="001B6F9F" w:rsidRPr="002168C6">
              <w:rPr>
                <w:rFonts w:cs="David" w:hint="cs"/>
                <w:rtl/>
                <w:lang w:val="he-IL"/>
              </w:rPr>
              <w:t xml:space="preserve"> </w:t>
            </w:r>
            <w:r w:rsidR="00E16E05">
              <w:rPr>
                <w:rFonts w:cs="David" w:hint="cs"/>
                <w:rtl/>
                <w:lang w:val="he-IL"/>
              </w:rPr>
              <w:t>ה</w:t>
            </w:r>
            <w:r w:rsidR="004C7951">
              <w:rPr>
                <w:rFonts w:cs="David" w:hint="cs"/>
                <w:rtl/>
                <w:lang w:val="he-IL"/>
              </w:rPr>
              <w:t>רביע</w:t>
            </w:r>
            <w:r w:rsidR="00005843">
              <w:rPr>
                <w:rFonts w:cs="David" w:hint="cs"/>
                <w:rtl/>
                <w:lang w:val="he-IL"/>
              </w:rPr>
              <w:t>י</w:t>
            </w:r>
            <w:r w:rsidR="007A1EC6">
              <w:rPr>
                <w:rFonts w:cs="David" w:hint="cs"/>
                <w:rtl/>
                <w:lang w:val="he-IL"/>
              </w:rPr>
              <w:t xml:space="preserve"> </w:t>
            </w:r>
            <w:r w:rsidR="002168C6">
              <w:rPr>
                <w:rFonts w:cs="David" w:hint="cs"/>
                <w:rtl/>
                <w:lang w:val="he-IL"/>
              </w:rPr>
              <w:t>של שנת</w:t>
            </w:r>
            <w:r w:rsidRPr="002168C6">
              <w:rPr>
                <w:rFonts w:cs="David" w:hint="cs"/>
                <w:rtl/>
                <w:lang w:val="he-IL"/>
              </w:rPr>
              <w:t xml:space="preserve"> </w:t>
            </w:r>
            <w:r w:rsidR="007A1EC6">
              <w:rPr>
                <w:rFonts w:cs="David" w:hint="cs"/>
                <w:rtl/>
                <w:lang w:val="he-IL"/>
              </w:rPr>
              <w:t>202</w:t>
            </w:r>
            <w:r w:rsidR="00875863">
              <w:rPr>
                <w:rFonts w:cs="David" w:hint="cs"/>
                <w:rtl/>
                <w:lang w:val="he-IL"/>
              </w:rPr>
              <w:t>4</w:t>
            </w:r>
            <w:r w:rsidRPr="002168C6">
              <w:rPr>
                <w:rFonts w:cs="David" w:hint="cs"/>
                <w:rtl/>
                <w:cs/>
                <w:lang w:val="he-IL"/>
              </w:rPr>
              <w:tab/>
            </w:r>
            <w:r w:rsidRPr="002168C6">
              <w:rPr>
                <w:rFonts w:cs="David"/>
                <w:rtl/>
                <w:cs/>
                <w:lang w:val="he-IL"/>
              </w:rPr>
              <w:t xml:space="preserve">עמוד </w:t>
            </w:r>
            <w:r w:rsidRPr="002168C6">
              <w:rPr>
                <w:rFonts w:cs="David"/>
                <w:b/>
                <w:bCs/>
              </w:rPr>
              <w:fldChar w:fldCharType="begin"/>
            </w:r>
            <w:r w:rsidRPr="002168C6">
              <w:rPr>
                <w:rFonts w:cs="David"/>
                <w:b/>
                <w:bCs/>
                <w:rtl/>
                <w:cs/>
              </w:rPr>
              <w:instrText>PAGE</w:instrText>
            </w:r>
            <w:r w:rsidRPr="002168C6">
              <w:rPr>
                <w:rFonts w:cs="David"/>
                <w:b/>
                <w:bCs/>
              </w:rPr>
              <w:fldChar w:fldCharType="separate"/>
            </w:r>
            <w:r w:rsidR="00243E4D">
              <w:rPr>
                <w:rFonts w:cs="David"/>
                <w:b/>
                <w:bCs/>
                <w:noProof/>
                <w:rtl/>
              </w:rPr>
              <w:t>4</w:t>
            </w:r>
            <w:r w:rsidRPr="002168C6">
              <w:rPr>
                <w:rFonts w:cs="David"/>
                <w:b/>
                <w:bCs/>
              </w:rPr>
              <w:fldChar w:fldCharType="end"/>
            </w:r>
            <w:r w:rsidRPr="002168C6">
              <w:rPr>
                <w:rFonts w:cs="David"/>
                <w:rtl/>
                <w:cs/>
                <w:lang w:val="he-IL"/>
              </w:rPr>
              <w:t xml:space="preserve"> מתוך </w:t>
            </w:r>
            <w:r w:rsidRPr="002168C6">
              <w:rPr>
                <w:rFonts w:cs="David"/>
                <w:b/>
                <w:bCs/>
              </w:rPr>
              <w:fldChar w:fldCharType="begin"/>
            </w:r>
            <w:r w:rsidRPr="002168C6">
              <w:rPr>
                <w:rFonts w:cs="David"/>
                <w:b/>
                <w:bCs/>
                <w:rtl/>
                <w:cs/>
              </w:rPr>
              <w:instrText>NUMPAGES</w:instrText>
            </w:r>
            <w:r w:rsidRPr="002168C6">
              <w:rPr>
                <w:rFonts w:cs="David"/>
                <w:b/>
                <w:bCs/>
              </w:rPr>
              <w:fldChar w:fldCharType="separate"/>
            </w:r>
            <w:r w:rsidR="00243E4D">
              <w:rPr>
                <w:rFonts w:cs="David"/>
                <w:b/>
                <w:bCs/>
                <w:noProof/>
                <w:rtl/>
              </w:rPr>
              <w:t>7</w:t>
            </w:r>
            <w:r w:rsidRPr="002168C6">
              <w:rPr>
                <w:rFonts w:cs="David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91B" w:rsidRDefault="0085691B" w:rsidP="00C04A6B">
      <w:r>
        <w:separator/>
      </w:r>
    </w:p>
  </w:footnote>
  <w:footnote w:type="continuationSeparator" w:id="0">
    <w:p w:rsidR="0085691B" w:rsidRDefault="0085691B" w:rsidP="00C04A6B">
      <w:r>
        <w:continuationSeparator/>
      </w:r>
    </w:p>
  </w:footnote>
  <w:footnote w:id="1">
    <w:p w:rsidR="00292C1D" w:rsidRPr="00855677" w:rsidRDefault="00292C1D" w:rsidP="006A5495">
      <w:pPr>
        <w:pStyle w:val="a9"/>
        <w:bidi/>
        <w:rPr>
          <w:rFonts w:cstheme="minorBidi"/>
          <w:rtl/>
        </w:rPr>
      </w:pPr>
      <w:r w:rsidRPr="00855677">
        <w:rPr>
          <w:rStyle w:val="ab"/>
        </w:rPr>
        <w:footnoteRef/>
      </w:r>
      <w:r w:rsidRPr="00855677">
        <w:t xml:space="preserve"> </w:t>
      </w:r>
      <w:r w:rsidRPr="00855677">
        <w:rPr>
          <w:rFonts w:ascii="David" w:hAnsi="David" w:cs="David" w:hint="eastAsia"/>
          <w:rtl/>
        </w:rPr>
        <w:t>למידע</w:t>
      </w:r>
      <w:r w:rsidRPr="00855677">
        <w:rPr>
          <w:rFonts w:ascii="David" w:hAnsi="David" w:cs="David"/>
          <w:rtl/>
        </w:rPr>
        <w:t xml:space="preserve"> נוסף על פעילות המגזרים בשוק מטבע חוץ ראה את "מבט סטטיסטי 2024 – פרק ד" : </w:t>
      </w:r>
      <w:hyperlink r:id="rId1" w:tgtFrame="_blank" w:tooltip="https://www.boi.org.il/publications/regularpublications/statistic_bulletin/bulletin2024/" w:history="1">
        <w:r w:rsidRPr="00855677">
          <w:rPr>
            <w:rStyle w:val="Hyperlink"/>
            <w:rFonts w:ascii="David" w:hAnsi="David" w:cs="David"/>
          </w:rPr>
          <w:t>https://www.boi.org.il/publications/regularpublications/statistic_bulletin/bulletin2024/</w:t>
        </w:r>
      </w:hyperlink>
    </w:p>
  </w:footnote>
  <w:footnote w:id="2">
    <w:p w:rsidR="00193994" w:rsidRPr="00855677" w:rsidRDefault="00193994" w:rsidP="00E72E16">
      <w:pPr>
        <w:pStyle w:val="a9"/>
        <w:bidi/>
        <w:rPr>
          <w:rFonts w:ascii="David" w:hAnsi="David" w:cs="David"/>
          <w:rtl/>
        </w:rPr>
      </w:pPr>
      <w:r w:rsidRPr="00855677">
        <w:rPr>
          <w:rStyle w:val="ab"/>
        </w:rPr>
        <w:footnoteRef/>
      </w:r>
      <w:r w:rsidRPr="00855677">
        <w:t xml:space="preserve"> </w:t>
      </w:r>
      <w:r w:rsidR="002B417B" w:rsidRPr="00855677">
        <w:rPr>
          <w:rFonts w:ascii="David" w:hAnsi="David" w:cs="David"/>
          <w:rtl/>
        </w:rPr>
        <w:t xml:space="preserve">המגזרים העיקריים המוצגים אינם מהווים את כל השוק - למידע נוסף ראה את" מערכת הנתונים על פעילות השוק שקל/מטבע חוץ" בפרסום מבט סטטיסטי </w:t>
      </w:r>
      <w:r w:rsidR="00E72E16" w:rsidRPr="00855677">
        <w:rPr>
          <w:rFonts w:ascii="David" w:hAnsi="David" w:cs="David"/>
        </w:rPr>
        <w:t>2024</w:t>
      </w:r>
    </w:p>
    <w:p w:rsidR="00193994" w:rsidRPr="00FC3FED" w:rsidRDefault="0085691B" w:rsidP="00193994">
      <w:pPr>
        <w:pStyle w:val="a9"/>
        <w:bidi/>
        <w:rPr>
          <w:rFonts w:ascii="David" w:hAnsi="David" w:cs="David"/>
          <w:rtl/>
        </w:rPr>
      </w:pPr>
      <w:hyperlink r:id="rId2" w:history="1">
        <w:r w:rsidR="00FC3FED" w:rsidRPr="00855677">
          <w:rPr>
            <w:rStyle w:val="Hyperlink"/>
            <w:rFonts w:ascii="David" w:hAnsi="David" w:cs="David"/>
          </w:rPr>
          <w:t>https://www.boi.org.il/publications/regularpublications/statistic_bulletin/bulletin2024</w:t>
        </w:r>
        <w:r w:rsidR="00FC3FED" w:rsidRPr="00855677">
          <w:rPr>
            <w:rStyle w:val="Hyperlink"/>
            <w:rFonts w:ascii="David" w:hAnsi="David" w:cs="David"/>
            <w:rtl/>
          </w:rPr>
          <w:t>/</w:t>
        </w:r>
      </w:hyperlink>
    </w:p>
  </w:footnote>
  <w:footnote w:id="3">
    <w:p w:rsidR="00024BD1" w:rsidRPr="004372A2" w:rsidRDefault="00024BD1" w:rsidP="002B2903">
      <w:pPr>
        <w:pStyle w:val="a9"/>
        <w:bidi/>
        <w:rPr>
          <w:rFonts w:ascii="David" w:hAnsi="David" w:cs="David"/>
          <w:rtl/>
        </w:rPr>
      </w:pPr>
      <w:r w:rsidRPr="00256361">
        <w:rPr>
          <w:rStyle w:val="ab"/>
          <w:rFonts w:ascii="David" w:hAnsi="David" w:cs="David"/>
        </w:rPr>
        <w:footnoteRef/>
      </w:r>
      <w:r w:rsidRPr="00256361"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החל משנת 2020, הנתונים לא כוללים סניפים של בנקים זרים בישראל. </w:t>
      </w:r>
    </w:p>
  </w:footnote>
  <w:footnote w:id="4">
    <w:p w:rsidR="007306CA" w:rsidRPr="005534E9" w:rsidRDefault="007306CA" w:rsidP="007306CA">
      <w:pPr>
        <w:bidi/>
        <w:rPr>
          <w:rFonts w:ascii="David" w:hAnsi="David" w:cs="David"/>
          <w:sz w:val="22"/>
          <w:szCs w:val="22"/>
          <w:rtl/>
          <w:lang w:eastAsia="en-US"/>
        </w:rPr>
      </w:pPr>
      <w:r>
        <w:rPr>
          <w:rStyle w:val="ab"/>
        </w:rPr>
        <w:footnoteRef/>
      </w:r>
      <w:r>
        <w:t xml:space="preserve"> </w:t>
      </w:r>
      <w:r w:rsidRPr="005534E9">
        <w:rPr>
          <w:rFonts w:ascii="David" w:eastAsiaTheme="minorHAnsi" w:hAnsi="David" w:cs="David"/>
          <w:rtl/>
        </w:rPr>
        <w:t xml:space="preserve">נפח המסחר הכולל </w:t>
      </w:r>
      <w:r w:rsidRPr="005534E9">
        <w:rPr>
          <w:rFonts w:ascii="David" w:eastAsiaTheme="minorHAnsi" w:hAnsi="David" w:cs="David" w:hint="cs"/>
          <w:rtl/>
        </w:rPr>
        <w:t xml:space="preserve">הוא אומדן לפעילות הכוללת </w:t>
      </w:r>
      <w:r w:rsidRPr="00D2268D">
        <w:rPr>
          <w:rFonts w:ascii="David" w:eastAsiaTheme="minorHAnsi" w:hAnsi="David" w:cs="David" w:hint="cs"/>
          <w:rtl/>
        </w:rPr>
        <w:t>בעסקאות מול השקל</w:t>
      </w:r>
      <w:r w:rsidRPr="005534E9">
        <w:rPr>
          <w:rFonts w:ascii="David" w:eastAsiaTheme="minorHAnsi" w:hAnsi="David" w:cs="David" w:hint="cs"/>
          <w:rtl/>
        </w:rPr>
        <w:t xml:space="preserve">, מבוסס על דיווחים של </w:t>
      </w:r>
      <w:r w:rsidRPr="005534E9">
        <w:rPr>
          <w:rFonts w:ascii="David" w:eastAsiaTheme="minorHAnsi" w:hAnsi="David" w:cs="David"/>
          <w:rtl/>
        </w:rPr>
        <w:t xml:space="preserve">מערכת הבנקאות המקומית </w:t>
      </w:r>
      <w:r w:rsidRPr="005534E9">
        <w:rPr>
          <w:rFonts w:ascii="David" w:eastAsiaTheme="minorHAnsi" w:hAnsi="David" w:cs="David" w:hint="cs"/>
          <w:rtl/>
        </w:rPr>
        <w:t>ושל מדווחים זר</w:t>
      </w:r>
      <w:r w:rsidRPr="005534E9">
        <w:rPr>
          <w:rFonts w:ascii="David" w:eastAsiaTheme="minorHAnsi" w:hAnsi="David" w:cs="David"/>
          <w:rtl/>
        </w:rPr>
        <w:t>ים</w:t>
      </w:r>
      <w:r w:rsidRPr="005534E9">
        <w:rPr>
          <w:rFonts w:ascii="David" w:eastAsiaTheme="minorHAnsi" w:hAnsi="David" w:cs="David"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42136"/>
    <w:multiLevelType w:val="multilevel"/>
    <w:tmpl w:val="B900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801FF"/>
    <w:multiLevelType w:val="hybridMultilevel"/>
    <w:tmpl w:val="66204CEC"/>
    <w:lvl w:ilvl="0" w:tplc="FB906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1531"/>
    <w:rsid w:val="000035A1"/>
    <w:rsid w:val="000038D4"/>
    <w:rsid w:val="00004644"/>
    <w:rsid w:val="00005843"/>
    <w:rsid w:val="00007757"/>
    <w:rsid w:val="00007D99"/>
    <w:rsid w:val="00010FC5"/>
    <w:rsid w:val="00011B0D"/>
    <w:rsid w:val="0001222D"/>
    <w:rsid w:val="000133CD"/>
    <w:rsid w:val="00014BDC"/>
    <w:rsid w:val="00015825"/>
    <w:rsid w:val="00016D86"/>
    <w:rsid w:val="000214DB"/>
    <w:rsid w:val="0002175A"/>
    <w:rsid w:val="00023ADB"/>
    <w:rsid w:val="00024BD1"/>
    <w:rsid w:val="00025140"/>
    <w:rsid w:val="000261BE"/>
    <w:rsid w:val="00027065"/>
    <w:rsid w:val="00027C8A"/>
    <w:rsid w:val="00027F15"/>
    <w:rsid w:val="00030347"/>
    <w:rsid w:val="000329CD"/>
    <w:rsid w:val="00032A75"/>
    <w:rsid w:val="000346A8"/>
    <w:rsid w:val="00034E2A"/>
    <w:rsid w:val="000355D0"/>
    <w:rsid w:val="000401B1"/>
    <w:rsid w:val="00040540"/>
    <w:rsid w:val="00045EEC"/>
    <w:rsid w:val="0004655A"/>
    <w:rsid w:val="00046872"/>
    <w:rsid w:val="00046FD3"/>
    <w:rsid w:val="00050D65"/>
    <w:rsid w:val="000511E7"/>
    <w:rsid w:val="0005353F"/>
    <w:rsid w:val="00053D76"/>
    <w:rsid w:val="000578C8"/>
    <w:rsid w:val="00060CD7"/>
    <w:rsid w:val="00063ACA"/>
    <w:rsid w:val="00064655"/>
    <w:rsid w:val="00065FC6"/>
    <w:rsid w:val="0007040B"/>
    <w:rsid w:val="00071CA9"/>
    <w:rsid w:val="00073A6E"/>
    <w:rsid w:val="00075BC2"/>
    <w:rsid w:val="000771B6"/>
    <w:rsid w:val="00077867"/>
    <w:rsid w:val="00080CDA"/>
    <w:rsid w:val="0008243A"/>
    <w:rsid w:val="00085271"/>
    <w:rsid w:val="000863E5"/>
    <w:rsid w:val="0008664F"/>
    <w:rsid w:val="00090558"/>
    <w:rsid w:val="0009068D"/>
    <w:rsid w:val="00090B40"/>
    <w:rsid w:val="00090D2F"/>
    <w:rsid w:val="000916E4"/>
    <w:rsid w:val="00094325"/>
    <w:rsid w:val="00095A9E"/>
    <w:rsid w:val="00096E44"/>
    <w:rsid w:val="0009769A"/>
    <w:rsid w:val="00097EFB"/>
    <w:rsid w:val="000A1C56"/>
    <w:rsid w:val="000A3731"/>
    <w:rsid w:val="000A3F1A"/>
    <w:rsid w:val="000A4006"/>
    <w:rsid w:val="000A4E46"/>
    <w:rsid w:val="000A624C"/>
    <w:rsid w:val="000A72C5"/>
    <w:rsid w:val="000B0E16"/>
    <w:rsid w:val="000B11B7"/>
    <w:rsid w:val="000B1ABF"/>
    <w:rsid w:val="000B1F50"/>
    <w:rsid w:val="000B589C"/>
    <w:rsid w:val="000B7847"/>
    <w:rsid w:val="000C032A"/>
    <w:rsid w:val="000C2489"/>
    <w:rsid w:val="000C2635"/>
    <w:rsid w:val="000C2B2A"/>
    <w:rsid w:val="000C3B85"/>
    <w:rsid w:val="000D098E"/>
    <w:rsid w:val="000D10F8"/>
    <w:rsid w:val="000D1783"/>
    <w:rsid w:val="000D178B"/>
    <w:rsid w:val="000D2936"/>
    <w:rsid w:val="000D3D94"/>
    <w:rsid w:val="000D5480"/>
    <w:rsid w:val="000D7291"/>
    <w:rsid w:val="000D7DB9"/>
    <w:rsid w:val="000E4486"/>
    <w:rsid w:val="000E4B36"/>
    <w:rsid w:val="000E5483"/>
    <w:rsid w:val="000E57E1"/>
    <w:rsid w:val="000E58BB"/>
    <w:rsid w:val="000E66ED"/>
    <w:rsid w:val="000E6BDB"/>
    <w:rsid w:val="000F1DAD"/>
    <w:rsid w:val="000F3FC4"/>
    <w:rsid w:val="000F45D4"/>
    <w:rsid w:val="000F5CC1"/>
    <w:rsid w:val="000F7954"/>
    <w:rsid w:val="001015EF"/>
    <w:rsid w:val="00104D01"/>
    <w:rsid w:val="001057E6"/>
    <w:rsid w:val="0010713B"/>
    <w:rsid w:val="0010755F"/>
    <w:rsid w:val="00110C5E"/>
    <w:rsid w:val="001110A9"/>
    <w:rsid w:val="00112D81"/>
    <w:rsid w:val="001135D3"/>
    <w:rsid w:val="00114BCD"/>
    <w:rsid w:val="00115086"/>
    <w:rsid w:val="001159FC"/>
    <w:rsid w:val="00115A82"/>
    <w:rsid w:val="00117379"/>
    <w:rsid w:val="00117E8C"/>
    <w:rsid w:val="00121A45"/>
    <w:rsid w:val="00121A5F"/>
    <w:rsid w:val="00121F12"/>
    <w:rsid w:val="001230E3"/>
    <w:rsid w:val="00123388"/>
    <w:rsid w:val="001245F9"/>
    <w:rsid w:val="00124668"/>
    <w:rsid w:val="00124D6B"/>
    <w:rsid w:val="001256D3"/>
    <w:rsid w:val="001268F4"/>
    <w:rsid w:val="00126A4A"/>
    <w:rsid w:val="0012789E"/>
    <w:rsid w:val="00131D80"/>
    <w:rsid w:val="00132055"/>
    <w:rsid w:val="001322CA"/>
    <w:rsid w:val="001329EF"/>
    <w:rsid w:val="00132F14"/>
    <w:rsid w:val="00133905"/>
    <w:rsid w:val="00133AB1"/>
    <w:rsid w:val="00133C19"/>
    <w:rsid w:val="00134A61"/>
    <w:rsid w:val="00137BFC"/>
    <w:rsid w:val="00137E9D"/>
    <w:rsid w:val="00140E0F"/>
    <w:rsid w:val="0014375A"/>
    <w:rsid w:val="00145575"/>
    <w:rsid w:val="00147AE2"/>
    <w:rsid w:val="00147DC7"/>
    <w:rsid w:val="00150F6A"/>
    <w:rsid w:val="0015310E"/>
    <w:rsid w:val="0015520E"/>
    <w:rsid w:val="00156760"/>
    <w:rsid w:val="00157061"/>
    <w:rsid w:val="001577DC"/>
    <w:rsid w:val="00157EDF"/>
    <w:rsid w:val="00160B94"/>
    <w:rsid w:val="001613D3"/>
    <w:rsid w:val="00162E06"/>
    <w:rsid w:val="00162F2C"/>
    <w:rsid w:val="00163979"/>
    <w:rsid w:val="0016558C"/>
    <w:rsid w:val="0016750A"/>
    <w:rsid w:val="00167A3A"/>
    <w:rsid w:val="00170228"/>
    <w:rsid w:val="00171A02"/>
    <w:rsid w:val="00171F4D"/>
    <w:rsid w:val="001723F1"/>
    <w:rsid w:val="00172C22"/>
    <w:rsid w:val="00175EA4"/>
    <w:rsid w:val="00176750"/>
    <w:rsid w:val="00177241"/>
    <w:rsid w:val="00177686"/>
    <w:rsid w:val="001778D8"/>
    <w:rsid w:val="00180E8A"/>
    <w:rsid w:val="001819DD"/>
    <w:rsid w:val="0018269F"/>
    <w:rsid w:val="001843E5"/>
    <w:rsid w:val="00187BA8"/>
    <w:rsid w:val="0019011E"/>
    <w:rsid w:val="00190AA2"/>
    <w:rsid w:val="00190E7A"/>
    <w:rsid w:val="0019133B"/>
    <w:rsid w:val="00191526"/>
    <w:rsid w:val="00191A2A"/>
    <w:rsid w:val="00192212"/>
    <w:rsid w:val="001922D1"/>
    <w:rsid w:val="00192BA0"/>
    <w:rsid w:val="00193994"/>
    <w:rsid w:val="001948E0"/>
    <w:rsid w:val="00196AEE"/>
    <w:rsid w:val="00197611"/>
    <w:rsid w:val="001A155A"/>
    <w:rsid w:val="001A29D0"/>
    <w:rsid w:val="001A2C93"/>
    <w:rsid w:val="001A3C78"/>
    <w:rsid w:val="001A3E11"/>
    <w:rsid w:val="001A678C"/>
    <w:rsid w:val="001A7635"/>
    <w:rsid w:val="001B11A5"/>
    <w:rsid w:val="001B39FB"/>
    <w:rsid w:val="001B4831"/>
    <w:rsid w:val="001B6C5E"/>
    <w:rsid w:val="001B6F9F"/>
    <w:rsid w:val="001C0D6E"/>
    <w:rsid w:val="001C23DB"/>
    <w:rsid w:val="001C2BC2"/>
    <w:rsid w:val="001C3A2E"/>
    <w:rsid w:val="001C43B2"/>
    <w:rsid w:val="001C582B"/>
    <w:rsid w:val="001C6B0D"/>
    <w:rsid w:val="001C6F3D"/>
    <w:rsid w:val="001C7AF4"/>
    <w:rsid w:val="001D2425"/>
    <w:rsid w:val="001D2795"/>
    <w:rsid w:val="001D4055"/>
    <w:rsid w:val="001D578A"/>
    <w:rsid w:val="001D7646"/>
    <w:rsid w:val="001E2650"/>
    <w:rsid w:val="001E47BB"/>
    <w:rsid w:val="001E4F8E"/>
    <w:rsid w:val="001E5A00"/>
    <w:rsid w:val="001E5D7D"/>
    <w:rsid w:val="001E6258"/>
    <w:rsid w:val="001E7D3F"/>
    <w:rsid w:val="001E7E23"/>
    <w:rsid w:val="001F1151"/>
    <w:rsid w:val="001F11D7"/>
    <w:rsid w:val="001F19E7"/>
    <w:rsid w:val="001F2946"/>
    <w:rsid w:val="001F3D99"/>
    <w:rsid w:val="001F40C2"/>
    <w:rsid w:val="001F450A"/>
    <w:rsid w:val="001F5829"/>
    <w:rsid w:val="001F623A"/>
    <w:rsid w:val="001F795D"/>
    <w:rsid w:val="00200A5B"/>
    <w:rsid w:val="00201BF6"/>
    <w:rsid w:val="00201ECB"/>
    <w:rsid w:val="002022E3"/>
    <w:rsid w:val="00203888"/>
    <w:rsid w:val="002044D2"/>
    <w:rsid w:val="00207C36"/>
    <w:rsid w:val="002101D4"/>
    <w:rsid w:val="00210869"/>
    <w:rsid w:val="0021091A"/>
    <w:rsid w:val="00211627"/>
    <w:rsid w:val="00212C3E"/>
    <w:rsid w:val="00214A25"/>
    <w:rsid w:val="002168C6"/>
    <w:rsid w:val="00217436"/>
    <w:rsid w:val="00217697"/>
    <w:rsid w:val="002203F7"/>
    <w:rsid w:val="00222765"/>
    <w:rsid w:val="00225121"/>
    <w:rsid w:val="002271CD"/>
    <w:rsid w:val="00231270"/>
    <w:rsid w:val="00231720"/>
    <w:rsid w:val="00232FC1"/>
    <w:rsid w:val="0023343E"/>
    <w:rsid w:val="0023501E"/>
    <w:rsid w:val="0023547E"/>
    <w:rsid w:val="00235952"/>
    <w:rsid w:val="00236048"/>
    <w:rsid w:val="002360BD"/>
    <w:rsid w:val="002435C1"/>
    <w:rsid w:val="002438E2"/>
    <w:rsid w:val="00243E4D"/>
    <w:rsid w:val="00244B81"/>
    <w:rsid w:val="002455A4"/>
    <w:rsid w:val="0024679B"/>
    <w:rsid w:val="002473F2"/>
    <w:rsid w:val="00251B18"/>
    <w:rsid w:val="00253DB1"/>
    <w:rsid w:val="0025601B"/>
    <w:rsid w:val="00256361"/>
    <w:rsid w:val="00260180"/>
    <w:rsid w:val="002603C3"/>
    <w:rsid w:val="00262224"/>
    <w:rsid w:val="002636D1"/>
    <w:rsid w:val="002646A1"/>
    <w:rsid w:val="00265CDB"/>
    <w:rsid w:val="0026668A"/>
    <w:rsid w:val="00266A17"/>
    <w:rsid w:val="00272A95"/>
    <w:rsid w:val="00273A91"/>
    <w:rsid w:val="00273B38"/>
    <w:rsid w:val="00274D7A"/>
    <w:rsid w:val="002806D2"/>
    <w:rsid w:val="002811E6"/>
    <w:rsid w:val="0028134B"/>
    <w:rsid w:val="00281E65"/>
    <w:rsid w:val="00282C17"/>
    <w:rsid w:val="00283F56"/>
    <w:rsid w:val="00285A84"/>
    <w:rsid w:val="00286F6D"/>
    <w:rsid w:val="0029270D"/>
    <w:rsid w:val="00292718"/>
    <w:rsid w:val="00292B14"/>
    <w:rsid w:val="00292C1D"/>
    <w:rsid w:val="002A4BDC"/>
    <w:rsid w:val="002A5C19"/>
    <w:rsid w:val="002A5E79"/>
    <w:rsid w:val="002A6574"/>
    <w:rsid w:val="002B0707"/>
    <w:rsid w:val="002B0808"/>
    <w:rsid w:val="002B1C21"/>
    <w:rsid w:val="002B263E"/>
    <w:rsid w:val="002B2903"/>
    <w:rsid w:val="002B3FB0"/>
    <w:rsid w:val="002B4161"/>
    <w:rsid w:val="002B417B"/>
    <w:rsid w:val="002B4D76"/>
    <w:rsid w:val="002B57EF"/>
    <w:rsid w:val="002B6B7C"/>
    <w:rsid w:val="002B7BF9"/>
    <w:rsid w:val="002C0E72"/>
    <w:rsid w:val="002C36B1"/>
    <w:rsid w:val="002D01AB"/>
    <w:rsid w:val="002D11B6"/>
    <w:rsid w:val="002D11F1"/>
    <w:rsid w:val="002D2268"/>
    <w:rsid w:val="002D368D"/>
    <w:rsid w:val="002D50AA"/>
    <w:rsid w:val="002D6BFC"/>
    <w:rsid w:val="002E1AC6"/>
    <w:rsid w:val="002E1D11"/>
    <w:rsid w:val="002E1E36"/>
    <w:rsid w:val="002E4CFF"/>
    <w:rsid w:val="002E50F6"/>
    <w:rsid w:val="002E7747"/>
    <w:rsid w:val="002F0F35"/>
    <w:rsid w:val="002F2100"/>
    <w:rsid w:val="002F2B3C"/>
    <w:rsid w:val="002F41C3"/>
    <w:rsid w:val="002F6DB8"/>
    <w:rsid w:val="002F7CDC"/>
    <w:rsid w:val="00300B3A"/>
    <w:rsid w:val="00303916"/>
    <w:rsid w:val="003044F6"/>
    <w:rsid w:val="00304746"/>
    <w:rsid w:val="003102B4"/>
    <w:rsid w:val="003132E4"/>
    <w:rsid w:val="00313810"/>
    <w:rsid w:val="00315053"/>
    <w:rsid w:val="003159CD"/>
    <w:rsid w:val="003159CF"/>
    <w:rsid w:val="0031697F"/>
    <w:rsid w:val="00317F88"/>
    <w:rsid w:val="00321209"/>
    <w:rsid w:val="00322023"/>
    <w:rsid w:val="00322500"/>
    <w:rsid w:val="00323FCE"/>
    <w:rsid w:val="003241A7"/>
    <w:rsid w:val="003270FE"/>
    <w:rsid w:val="00327B60"/>
    <w:rsid w:val="00327EF5"/>
    <w:rsid w:val="003309FD"/>
    <w:rsid w:val="0033209D"/>
    <w:rsid w:val="003329C4"/>
    <w:rsid w:val="00332CFE"/>
    <w:rsid w:val="003331B9"/>
    <w:rsid w:val="0033595D"/>
    <w:rsid w:val="003364E6"/>
    <w:rsid w:val="00337E33"/>
    <w:rsid w:val="00342586"/>
    <w:rsid w:val="00342EDF"/>
    <w:rsid w:val="003433C9"/>
    <w:rsid w:val="00343917"/>
    <w:rsid w:val="00344613"/>
    <w:rsid w:val="00344E3D"/>
    <w:rsid w:val="00345033"/>
    <w:rsid w:val="00345945"/>
    <w:rsid w:val="003477B4"/>
    <w:rsid w:val="003505DD"/>
    <w:rsid w:val="003516BF"/>
    <w:rsid w:val="00351C9A"/>
    <w:rsid w:val="003537B9"/>
    <w:rsid w:val="003544E1"/>
    <w:rsid w:val="00355BA0"/>
    <w:rsid w:val="00357823"/>
    <w:rsid w:val="00357F2D"/>
    <w:rsid w:val="00361581"/>
    <w:rsid w:val="0036171D"/>
    <w:rsid w:val="003642F7"/>
    <w:rsid w:val="003655B1"/>
    <w:rsid w:val="00365D01"/>
    <w:rsid w:val="0036708A"/>
    <w:rsid w:val="00367B73"/>
    <w:rsid w:val="00367FFD"/>
    <w:rsid w:val="0037062A"/>
    <w:rsid w:val="0037098C"/>
    <w:rsid w:val="00374070"/>
    <w:rsid w:val="00374271"/>
    <w:rsid w:val="00374756"/>
    <w:rsid w:val="0037499F"/>
    <w:rsid w:val="003752B3"/>
    <w:rsid w:val="00375D59"/>
    <w:rsid w:val="00376120"/>
    <w:rsid w:val="003773AA"/>
    <w:rsid w:val="0038002F"/>
    <w:rsid w:val="00380659"/>
    <w:rsid w:val="00380894"/>
    <w:rsid w:val="003822B2"/>
    <w:rsid w:val="00382320"/>
    <w:rsid w:val="00382716"/>
    <w:rsid w:val="00384807"/>
    <w:rsid w:val="00386BAD"/>
    <w:rsid w:val="00387695"/>
    <w:rsid w:val="003901E0"/>
    <w:rsid w:val="0039036B"/>
    <w:rsid w:val="00393094"/>
    <w:rsid w:val="0039453F"/>
    <w:rsid w:val="00395A19"/>
    <w:rsid w:val="00397697"/>
    <w:rsid w:val="00397D52"/>
    <w:rsid w:val="003A2C16"/>
    <w:rsid w:val="003A37E6"/>
    <w:rsid w:val="003A4403"/>
    <w:rsid w:val="003A5253"/>
    <w:rsid w:val="003A584D"/>
    <w:rsid w:val="003A5A52"/>
    <w:rsid w:val="003A6531"/>
    <w:rsid w:val="003B5057"/>
    <w:rsid w:val="003B5C7A"/>
    <w:rsid w:val="003C19EB"/>
    <w:rsid w:val="003C5812"/>
    <w:rsid w:val="003C638D"/>
    <w:rsid w:val="003C6780"/>
    <w:rsid w:val="003C74AE"/>
    <w:rsid w:val="003D0678"/>
    <w:rsid w:val="003D1221"/>
    <w:rsid w:val="003D208A"/>
    <w:rsid w:val="003D2574"/>
    <w:rsid w:val="003D2BF8"/>
    <w:rsid w:val="003D770A"/>
    <w:rsid w:val="003D7A36"/>
    <w:rsid w:val="003D7D42"/>
    <w:rsid w:val="003E0C33"/>
    <w:rsid w:val="003E1908"/>
    <w:rsid w:val="003E3051"/>
    <w:rsid w:val="003E4452"/>
    <w:rsid w:val="003F13D5"/>
    <w:rsid w:val="003F163D"/>
    <w:rsid w:val="003F1E6B"/>
    <w:rsid w:val="003F43EE"/>
    <w:rsid w:val="003F4C15"/>
    <w:rsid w:val="003F6E3A"/>
    <w:rsid w:val="003F7838"/>
    <w:rsid w:val="00401ADB"/>
    <w:rsid w:val="004024FA"/>
    <w:rsid w:val="00403161"/>
    <w:rsid w:val="004031B1"/>
    <w:rsid w:val="00403F8A"/>
    <w:rsid w:val="00404881"/>
    <w:rsid w:val="0040770C"/>
    <w:rsid w:val="00411332"/>
    <w:rsid w:val="00411CD8"/>
    <w:rsid w:val="00411F9C"/>
    <w:rsid w:val="0041202F"/>
    <w:rsid w:val="00412AF2"/>
    <w:rsid w:val="00412EA5"/>
    <w:rsid w:val="00413158"/>
    <w:rsid w:val="0041439D"/>
    <w:rsid w:val="00414E02"/>
    <w:rsid w:val="00415416"/>
    <w:rsid w:val="00416426"/>
    <w:rsid w:val="0041796A"/>
    <w:rsid w:val="00420F93"/>
    <w:rsid w:val="00422B0F"/>
    <w:rsid w:val="00424756"/>
    <w:rsid w:val="00426FE4"/>
    <w:rsid w:val="00431FE4"/>
    <w:rsid w:val="004327FD"/>
    <w:rsid w:val="004330A6"/>
    <w:rsid w:val="00433323"/>
    <w:rsid w:val="004341A0"/>
    <w:rsid w:val="00436D8C"/>
    <w:rsid w:val="004372A2"/>
    <w:rsid w:val="004404CD"/>
    <w:rsid w:val="00440CA2"/>
    <w:rsid w:val="00441A4E"/>
    <w:rsid w:val="0044467D"/>
    <w:rsid w:val="004467A1"/>
    <w:rsid w:val="00446CA1"/>
    <w:rsid w:val="0044713E"/>
    <w:rsid w:val="00447E2D"/>
    <w:rsid w:val="00450DA7"/>
    <w:rsid w:val="0045117B"/>
    <w:rsid w:val="004566C7"/>
    <w:rsid w:val="00456771"/>
    <w:rsid w:val="00456EC0"/>
    <w:rsid w:val="00456FB5"/>
    <w:rsid w:val="0045705A"/>
    <w:rsid w:val="00457614"/>
    <w:rsid w:val="00457D76"/>
    <w:rsid w:val="004625EB"/>
    <w:rsid w:val="00465A54"/>
    <w:rsid w:val="00466063"/>
    <w:rsid w:val="00470746"/>
    <w:rsid w:val="00470947"/>
    <w:rsid w:val="004709B4"/>
    <w:rsid w:val="00470A3C"/>
    <w:rsid w:val="00471F70"/>
    <w:rsid w:val="004726DB"/>
    <w:rsid w:val="00473858"/>
    <w:rsid w:val="00473F72"/>
    <w:rsid w:val="00474B79"/>
    <w:rsid w:val="00475264"/>
    <w:rsid w:val="00480E67"/>
    <w:rsid w:val="00481245"/>
    <w:rsid w:val="00481515"/>
    <w:rsid w:val="00481BD8"/>
    <w:rsid w:val="00482C1F"/>
    <w:rsid w:val="00482F53"/>
    <w:rsid w:val="00491C52"/>
    <w:rsid w:val="00491CBE"/>
    <w:rsid w:val="004935CD"/>
    <w:rsid w:val="00493822"/>
    <w:rsid w:val="00493B40"/>
    <w:rsid w:val="00497843"/>
    <w:rsid w:val="004A0170"/>
    <w:rsid w:val="004A09F6"/>
    <w:rsid w:val="004A3B32"/>
    <w:rsid w:val="004A59C4"/>
    <w:rsid w:val="004B07EA"/>
    <w:rsid w:val="004B0DF2"/>
    <w:rsid w:val="004B0F95"/>
    <w:rsid w:val="004B18B7"/>
    <w:rsid w:val="004B1BE7"/>
    <w:rsid w:val="004B212B"/>
    <w:rsid w:val="004B3C97"/>
    <w:rsid w:val="004B5D8D"/>
    <w:rsid w:val="004B62BC"/>
    <w:rsid w:val="004B62EF"/>
    <w:rsid w:val="004B6E5B"/>
    <w:rsid w:val="004B74BD"/>
    <w:rsid w:val="004C0E5D"/>
    <w:rsid w:val="004C1866"/>
    <w:rsid w:val="004C2C18"/>
    <w:rsid w:val="004C386E"/>
    <w:rsid w:val="004C46FB"/>
    <w:rsid w:val="004C4C02"/>
    <w:rsid w:val="004C4CE6"/>
    <w:rsid w:val="004C5FB1"/>
    <w:rsid w:val="004C7344"/>
    <w:rsid w:val="004C7951"/>
    <w:rsid w:val="004D0131"/>
    <w:rsid w:val="004D208D"/>
    <w:rsid w:val="004D2F5D"/>
    <w:rsid w:val="004D3B85"/>
    <w:rsid w:val="004D42AB"/>
    <w:rsid w:val="004D68CC"/>
    <w:rsid w:val="004D6C65"/>
    <w:rsid w:val="004E21FD"/>
    <w:rsid w:val="004E2A39"/>
    <w:rsid w:val="004E549D"/>
    <w:rsid w:val="004E5DC4"/>
    <w:rsid w:val="004E6F2F"/>
    <w:rsid w:val="004F06E0"/>
    <w:rsid w:val="004F3747"/>
    <w:rsid w:val="004F3E2A"/>
    <w:rsid w:val="004F4553"/>
    <w:rsid w:val="004F4E1C"/>
    <w:rsid w:val="004F7549"/>
    <w:rsid w:val="00502068"/>
    <w:rsid w:val="00502803"/>
    <w:rsid w:val="005028FF"/>
    <w:rsid w:val="00503F17"/>
    <w:rsid w:val="005044A0"/>
    <w:rsid w:val="005047EF"/>
    <w:rsid w:val="005054D8"/>
    <w:rsid w:val="0050666E"/>
    <w:rsid w:val="00507811"/>
    <w:rsid w:val="00511ADE"/>
    <w:rsid w:val="00511C28"/>
    <w:rsid w:val="00511CED"/>
    <w:rsid w:val="00512BDD"/>
    <w:rsid w:val="00514351"/>
    <w:rsid w:val="0051453C"/>
    <w:rsid w:val="00515A13"/>
    <w:rsid w:val="00521505"/>
    <w:rsid w:val="00530D48"/>
    <w:rsid w:val="00531A5D"/>
    <w:rsid w:val="00532368"/>
    <w:rsid w:val="005332FA"/>
    <w:rsid w:val="00533D14"/>
    <w:rsid w:val="00534660"/>
    <w:rsid w:val="005346CA"/>
    <w:rsid w:val="005356A3"/>
    <w:rsid w:val="00535E2E"/>
    <w:rsid w:val="005366CB"/>
    <w:rsid w:val="005411C6"/>
    <w:rsid w:val="00541291"/>
    <w:rsid w:val="005414DC"/>
    <w:rsid w:val="00541D5A"/>
    <w:rsid w:val="00541E3F"/>
    <w:rsid w:val="00541FB3"/>
    <w:rsid w:val="00542D66"/>
    <w:rsid w:val="00543C49"/>
    <w:rsid w:val="00543F25"/>
    <w:rsid w:val="00544963"/>
    <w:rsid w:val="00544C37"/>
    <w:rsid w:val="00546ACF"/>
    <w:rsid w:val="00550E8E"/>
    <w:rsid w:val="005534E9"/>
    <w:rsid w:val="0055353D"/>
    <w:rsid w:val="00553CEB"/>
    <w:rsid w:val="0056091C"/>
    <w:rsid w:val="0056122A"/>
    <w:rsid w:val="0056149E"/>
    <w:rsid w:val="0056248C"/>
    <w:rsid w:val="005634B3"/>
    <w:rsid w:val="005658A9"/>
    <w:rsid w:val="00565C6D"/>
    <w:rsid w:val="00567E09"/>
    <w:rsid w:val="0057040C"/>
    <w:rsid w:val="005709DB"/>
    <w:rsid w:val="00571DD3"/>
    <w:rsid w:val="00572B8D"/>
    <w:rsid w:val="005738B9"/>
    <w:rsid w:val="00574CCA"/>
    <w:rsid w:val="00575E00"/>
    <w:rsid w:val="00577CFF"/>
    <w:rsid w:val="005808C9"/>
    <w:rsid w:val="00582935"/>
    <w:rsid w:val="00582D1F"/>
    <w:rsid w:val="0059148B"/>
    <w:rsid w:val="00591BE8"/>
    <w:rsid w:val="00592303"/>
    <w:rsid w:val="00592639"/>
    <w:rsid w:val="00593A56"/>
    <w:rsid w:val="00593C3C"/>
    <w:rsid w:val="00593FDD"/>
    <w:rsid w:val="00595552"/>
    <w:rsid w:val="005962B4"/>
    <w:rsid w:val="005A042E"/>
    <w:rsid w:val="005A1DD7"/>
    <w:rsid w:val="005A2BB4"/>
    <w:rsid w:val="005A3184"/>
    <w:rsid w:val="005A42A6"/>
    <w:rsid w:val="005A5F55"/>
    <w:rsid w:val="005A7E39"/>
    <w:rsid w:val="005B0E08"/>
    <w:rsid w:val="005B3926"/>
    <w:rsid w:val="005B790C"/>
    <w:rsid w:val="005C0976"/>
    <w:rsid w:val="005C19FF"/>
    <w:rsid w:val="005C1FFD"/>
    <w:rsid w:val="005C3454"/>
    <w:rsid w:val="005C3888"/>
    <w:rsid w:val="005C480F"/>
    <w:rsid w:val="005C4BF8"/>
    <w:rsid w:val="005C509D"/>
    <w:rsid w:val="005C5996"/>
    <w:rsid w:val="005C6CC2"/>
    <w:rsid w:val="005C6F0A"/>
    <w:rsid w:val="005D1B42"/>
    <w:rsid w:val="005D39CA"/>
    <w:rsid w:val="005D4298"/>
    <w:rsid w:val="005D42C8"/>
    <w:rsid w:val="005D4477"/>
    <w:rsid w:val="005D474E"/>
    <w:rsid w:val="005D694B"/>
    <w:rsid w:val="005E1369"/>
    <w:rsid w:val="005E143B"/>
    <w:rsid w:val="005E37F8"/>
    <w:rsid w:val="005E6556"/>
    <w:rsid w:val="005E7897"/>
    <w:rsid w:val="005F19C3"/>
    <w:rsid w:val="005F35EF"/>
    <w:rsid w:val="005F3BF8"/>
    <w:rsid w:val="005F4635"/>
    <w:rsid w:val="005F4984"/>
    <w:rsid w:val="005F5D4E"/>
    <w:rsid w:val="005F662C"/>
    <w:rsid w:val="005F68BE"/>
    <w:rsid w:val="00601689"/>
    <w:rsid w:val="00605DEA"/>
    <w:rsid w:val="00606812"/>
    <w:rsid w:val="00610022"/>
    <w:rsid w:val="0061061F"/>
    <w:rsid w:val="006123F9"/>
    <w:rsid w:val="00613EBF"/>
    <w:rsid w:val="00614095"/>
    <w:rsid w:val="00614732"/>
    <w:rsid w:val="00614B30"/>
    <w:rsid w:val="00614C05"/>
    <w:rsid w:val="00616C24"/>
    <w:rsid w:val="00620631"/>
    <w:rsid w:val="006251C8"/>
    <w:rsid w:val="00625314"/>
    <w:rsid w:val="0062534F"/>
    <w:rsid w:val="00625A1B"/>
    <w:rsid w:val="00626326"/>
    <w:rsid w:val="006263F2"/>
    <w:rsid w:val="00630CFB"/>
    <w:rsid w:val="006311E4"/>
    <w:rsid w:val="006312BB"/>
    <w:rsid w:val="00631C9E"/>
    <w:rsid w:val="00635904"/>
    <w:rsid w:val="00635936"/>
    <w:rsid w:val="00635EAE"/>
    <w:rsid w:val="00636040"/>
    <w:rsid w:val="00636E68"/>
    <w:rsid w:val="00640DE1"/>
    <w:rsid w:val="00640FA2"/>
    <w:rsid w:val="00641006"/>
    <w:rsid w:val="00642C25"/>
    <w:rsid w:val="0064335A"/>
    <w:rsid w:val="00643919"/>
    <w:rsid w:val="00643D21"/>
    <w:rsid w:val="00644959"/>
    <w:rsid w:val="00645148"/>
    <w:rsid w:val="00646E30"/>
    <w:rsid w:val="006472EE"/>
    <w:rsid w:val="0064747B"/>
    <w:rsid w:val="00651335"/>
    <w:rsid w:val="006527B4"/>
    <w:rsid w:val="006545E0"/>
    <w:rsid w:val="006554DF"/>
    <w:rsid w:val="00655E8F"/>
    <w:rsid w:val="00656520"/>
    <w:rsid w:val="00660C5A"/>
    <w:rsid w:val="00661451"/>
    <w:rsid w:val="00662271"/>
    <w:rsid w:val="00664A34"/>
    <w:rsid w:val="006657A5"/>
    <w:rsid w:val="00665937"/>
    <w:rsid w:val="00665A54"/>
    <w:rsid w:val="00666126"/>
    <w:rsid w:val="0066659D"/>
    <w:rsid w:val="00666CC6"/>
    <w:rsid w:val="006671F9"/>
    <w:rsid w:val="006704C8"/>
    <w:rsid w:val="00670EB5"/>
    <w:rsid w:val="0067168F"/>
    <w:rsid w:val="00672EAD"/>
    <w:rsid w:val="00675031"/>
    <w:rsid w:val="00675922"/>
    <w:rsid w:val="006771A5"/>
    <w:rsid w:val="006800B3"/>
    <w:rsid w:val="006805BD"/>
    <w:rsid w:val="00684AFE"/>
    <w:rsid w:val="00685174"/>
    <w:rsid w:val="00686123"/>
    <w:rsid w:val="0068614B"/>
    <w:rsid w:val="00686C5E"/>
    <w:rsid w:val="0068710B"/>
    <w:rsid w:val="00687747"/>
    <w:rsid w:val="00692A43"/>
    <w:rsid w:val="00692CDF"/>
    <w:rsid w:val="006939D7"/>
    <w:rsid w:val="00693CD9"/>
    <w:rsid w:val="00694AA0"/>
    <w:rsid w:val="0069531F"/>
    <w:rsid w:val="006956C5"/>
    <w:rsid w:val="00697808"/>
    <w:rsid w:val="006A1A59"/>
    <w:rsid w:val="006A31F0"/>
    <w:rsid w:val="006A3211"/>
    <w:rsid w:val="006A4210"/>
    <w:rsid w:val="006A503C"/>
    <w:rsid w:val="006A5495"/>
    <w:rsid w:val="006A56AC"/>
    <w:rsid w:val="006A59BC"/>
    <w:rsid w:val="006A5E38"/>
    <w:rsid w:val="006A6A5A"/>
    <w:rsid w:val="006A6BEE"/>
    <w:rsid w:val="006B06E8"/>
    <w:rsid w:val="006B1087"/>
    <w:rsid w:val="006B314F"/>
    <w:rsid w:val="006B48A9"/>
    <w:rsid w:val="006B4D7D"/>
    <w:rsid w:val="006B4F6C"/>
    <w:rsid w:val="006B6158"/>
    <w:rsid w:val="006B7530"/>
    <w:rsid w:val="006B7C5E"/>
    <w:rsid w:val="006B7D34"/>
    <w:rsid w:val="006B7E33"/>
    <w:rsid w:val="006C01FB"/>
    <w:rsid w:val="006C039C"/>
    <w:rsid w:val="006C0A5C"/>
    <w:rsid w:val="006C138C"/>
    <w:rsid w:val="006C19B2"/>
    <w:rsid w:val="006C1C1F"/>
    <w:rsid w:val="006C1D47"/>
    <w:rsid w:val="006C3931"/>
    <w:rsid w:val="006C4942"/>
    <w:rsid w:val="006C5C49"/>
    <w:rsid w:val="006C5E66"/>
    <w:rsid w:val="006C5FAA"/>
    <w:rsid w:val="006C6D8A"/>
    <w:rsid w:val="006D10B5"/>
    <w:rsid w:val="006D10C4"/>
    <w:rsid w:val="006D1880"/>
    <w:rsid w:val="006D21DD"/>
    <w:rsid w:val="006D6FBD"/>
    <w:rsid w:val="006E1923"/>
    <w:rsid w:val="006E2CBE"/>
    <w:rsid w:val="006E2EAE"/>
    <w:rsid w:val="006E5623"/>
    <w:rsid w:val="006E6015"/>
    <w:rsid w:val="006E672B"/>
    <w:rsid w:val="006F09A7"/>
    <w:rsid w:val="006F3306"/>
    <w:rsid w:val="006F3E39"/>
    <w:rsid w:val="006F406C"/>
    <w:rsid w:val="006F6337"/>
    <w:rsid w:val="006F7631"/>
    <w:rsid w:val="0070231A"/>
    <w:rsid w:val="0070423F"/>
    <w:rsid w:val="0070530B"/>
    <w:rsid w:val="00705F07"/>
    <w:rsid w:val="00706BD4"/>
    <w:rsid w:val="007073D5"/>
    <w:rsid w:val="00707E14"/>
    <w:rsid w:val="007134EE"/>
    <w:rsid w:val="0071361C"/>
    <w:rsid w:val="00713751"/>
    <w:rsid w:val="007224B8"/>
    <w:rsid w:val="00722F23"/>
    <w:rsid w:val="00722FF8"/>
    <w:rsid w:val="0072395F"/>
    <w:rsid w:val="00723C59"/>
    <w:rsid w:val="00724CD4"/>
    <w:rsid w:val="00726672"/>
    <w:rsid w:val="0072782F"/>
    <w:rsid w:val="007306CA"/>
    <w:rsid w:val="00730C46"/>
    <w:rsid w:val="00730F17"/>
    <w:rsid w:val="00732F95"/>
    <w:rsid w:val="0073315E"/>
    <w:rsid w:val="00733263"/>
    <w:rsid w:val="00733497"/>
    <w:rsid w:val="00736E4D"/>
    <w:rsid w:val="00740010"/>
    <w:rsid w:val="00741A31"/>
    <w:rsid w:val="00742138"/>
    <w:rsid w:val="00743C50"/>
    <w:rsid w:val="007449B9"/>
    <w:rsid w:val="0074502E"/>
    <w:rsid w:val="00745544"/>
    <w:rsid w:val="007510C2"/>
    <w:rsid w:val="0075204C"/>
    <w:rsid w:val="00752657"/>
    <w:rsid w:val="00754284"/>
    <w:rsid w:val="00754444"/>
    <w:rsid w:val="0075492D"/>
    <w:rsid w:val="00754DCC"/>
    <w:rsid w:val="007551BC"/>
    <w:rsid w:val="00755825"/>
    <w:rsid w:val="00756180"/>
    <w:rsid w:val="007614EB"/>
    <w:rsid w:val="00761DFD"/>
    <w:rsid w:val="00762D5A"/>
    <w:rsid w:val="00764568"/>
    <w:rsid w:val="007656B5"/>
    <w:rsid w:val="00771420"/>
    <w:rsid w:val="00772CD4"/>
    <w:rsid w:val="00773BFD"/>
    <w:rsid w:val="0077472D"/>
    <w:rsid w:val="00775B21"/>
    <w:rsid w:val="007774BC"/>
    <w:rsid w:val="00781B8F"/>
    <w:rsid w:val="00785889"/>
    <w:rsid w:val="00785941"/>
    <w:rsid w:val="00786429"/>
    <w:rsid w:val="007901B5"/>
    <w:rsid w:val="00792855"/>
    <w:rsid w:val="00792F22"/>
    <w:rsid w:val="00793CBD"/>
    <w:rsid w:val="007978A1"/>
    <w:rsid w:val="007A1EC6"/>
    <w:rsid w:val="007A1FC2"/>
    <w:rsid w:val="007A32FD"/>
    <w:rsid w:val="007A3B7F"/>
    <w:rsid w:val="007A4FEC"/>
    <w:rsid w:val="007A7632"/>
    <w:rsid w:val="007A7D8A"/>
    <w:rsid w:val="007B1767"/>
    <w:rsid w:val="007B1DEB"/>
    <w:rsid w:val="007B2648"/>
    <w:rsid w:val="007B4829"/>
    <w:rsid w:val="007B5574"/>
    <w:rsid w:val="007B7991"/>
    <w:rsid w:val="007C017E"/>
    <w:rsid w:val="007C0EB0"/>
    <w:rsid w:val="007C21A5"/>
    <w:rsid w:val="007C2318"/>
    <w:rsid w:val="007C2E0A"/>
    <w:rsid w:val="007C2E4A"/>
    <w:rsid w:val="007C377F"/>
    <w:rsid w:val="007C7DA6"/>
    <w:rsid w:val="007D09CA"/>
    <w:rsid w:val="007D2EA5"/>
    <w:rsid w:val="007D2F1C"/>
    <w:rsid w:val="007D368D"/>
    <w:rsid w:val="007D4019"/>
    <w:rsid w:val="007D6AFB"/>
    <w:rsid w:val="007D7A30"/>
    <w:rsid w:val="007D7B34"/>
    <w:rsid w:val="007E0104"/>
    <w:rsid w:val="007E0BAA"/>
    <w:rsid w:val="007E18EE"/>
    <w:rsid w:val="007E2554"/>
    <w:rsid w:val="007E29F7"/>
    <w:rsid w:val="007E3024"/>
    <w:rsid w:val="007E38FF"/>
    <w:rsid w:val="007E4473"/>
    <w:rsid w:val="007E56C5"/>
    <w:rsid w:val="007F4B87"/>
    <w:rsid w:val="007F4F34"/>
    <w:rsid w:val="007F530A"/>
    <w:rsid w:val="007F5705"/>
    <w:rsid w:val="007F7205"/>
    <w:rsid w:val="008006AD"/>
    <w:rsid w:val="008015A8"/>
    <w:rsid w:val="00801FEF"/>
    <w:rsid w:val="00802B68"/>
    <w:rsid w:val="0080325A"/>
    <w:rsid w:val="00803983"/>
    <w:rsid w:val="00804DD2"/>
    <w:rsid w:val="00804DEE"/>
    <w:rsid w:val="00805001"/>
    <w:rsid w:val="0080544A"/>
    <w:rsid w:val="00807D58"/>
    <w:rsid w:val="00814A80"/>
    <w:rsid w:val="00815E62"/>
    <w:rsid w:val="0082256D"/>
    <w:rsid w:val="00822681"/>
    <w:rsid w:val="00822FE9"/>
    <w:rsid w:val="00825944"/>
    <w:rsid w:val="00826810"/>
    <w:rsid w:val="00827F42"/>
    <w:rsid w:val="0083050C"/>
    <w:rsid w:val="00830628"/>
    <w:rsid w:val="008315E7"/>
    <w:rsid w:val="00832014"/>
    <w:rsid w:val="00832042"/>
    <w:rsid w:val="00832E90"/>
    <w:rsid w:val="00834222"/>
    <w:rsid w:val="00834420"/>
    <w:rsid w:val="00834569"/>
    <w:rsid w:val="00842B93"/>
    <w:rsid w:val="00845196"/>
    <w:rsid w:val="008459EE"/>
    <w:rsid w:val="00846BA1"/>
    <w:rsid w:val="00846F03"/>
    <w:rsid w:val="008515DC"/>
    <w:rsid w:val="00851D49"/>
    <w:rsid w:val="00852D44"/>
    <w:rsid w:val="00853663"/>
    <w:rsid w:val="00854CC0"/>
    <w:rsid w:val="00855677"/>
    <w:rsid w:val="0085615E"/>
    <w:rsid w:val="0085644D"/>
    <w:rsid w:val="0085691B"/>
    <w:rsid w:val="00856D64"/>
    <w:rsid w:val="00856F3E"/>
    <w:rsid w:val="008572E6"/>
    <w:rsid w:val="0085777D"/>
    <w:rsid w:val="0086330B"/>
    <w:rsid w:val="00864100"/>
    <w:rsid w:val="008705CC"/>
    <w:rsid w:val="00870E8D"/>
    <w:rsid w:val="008715D5"/>
    <w:rsid w:val="00875863"/>
    <w:rsid w:val="0087595B"/>
    <w:rsid w:val="00875D41"/>
    <w:rsid w:val="008778E5"/>
    <w:rsid w:val="00881DB9"/>
    <w:rsid w:val="00881EF7"/>
    <w:rsid w:val="008821FD"/>
    <w:rsid w:val="00882C4C"/>
    <w:rsid w:val="00884CAD"/>
    <w:rsid w:val="00884DD6"/>
    <w:rsid w:val="00885243"/>
    <w:rsid w:val="008855F0"/>
    <w:rsid w:val="008869A9"/>
    <w:rsid w:val="00890103"/>
    <w:rsid w:val="008901E5"/>
    <w:rsid w:val="008918CC"/>
    <w:rsid w:val="008930B2"/>
    <w:rsid w:val="00893E00"/>
    <w:rsid w:val="00895DD5"/>
    <w:rsid w:val="00896B26"/>
    <w:rsid w:val="00896CB8"/>
    <w:rsid w:val="00897AA2"/>
    <w:rsid w:val="008A065A"/>
    <w:rsid w:val="008A0A44"/>
    <w:rsid w:val="008A0B63"/>
    <w:rsid w:val="008A182F"/>
    <w:rsid w:val="008A1D1C"/>
    <w:rsid w:val="008A2598"/>
    <w:rsid w:val="008A492B"/>
    <w:rsid w:val="008A5898"/>
    <w:rsid w:val="008A7D86"/>
    <w:rsid w:val="008B0A72"/>
    <w:rsid w:val="008B42F8"/>
    <w:rsid w:val="008B4349"/>
    <w:rsid w:val="008B55E9"/>
    <w:rsid w:val="008B60BF"/>
    <w:rsid w:val="008B7CEE"/>
    <w:rsid w:val="008C11CB"/>
    <w:rsid w:val="008C1D87"/>
    <w:rsid w:val="008C25D0"/>
    <w:rsid w:val="008C2C27"/>
    <w:rsid w:val="008C31B4"/>
    <w:rsid w:val="008C412E"/>
    <w:rsid w:val="008C50B4"/>
    <w:rsid w:val="008C753C"/>
    <w:rsid w:val="008D01C5"/>
    <w:rsid w:val="008D3E93"/>
    <w:rsid w:val="008D4236"/>
    <w:rsid w:val="008D6323"/>
    <w:rsid w:val="008D6BA1"/>
    <w:rsid w:val="008D78DF"/>
    <w:rsid w:val="008D7E14"/>
    <w:rsid w:val="008E0D64"/>
    <w:rsid w:val="008E259A"/>
    <w:rsid w:val="008E59BA"/>
    <w:rsid w:val="008E64CD"/>
    <w:rsid w:val="008F1125"/>
    <w:rsid w:val="008F1C78"/>
    <w:rsid w:val="008F3402"/>
    <w:rsid w:val="008F4740"/>
    <w:rsid w:val="008F5DDF"/>
    <w:rsid w:val="008F6E3C"/>
    <w:rsid w:val="008F7270"/>
    <w:rsid w:val="008F7B5E"/>
    <w:rsid w:val="008F7BEA"/>
    <w:rsid w:val="00901C3E"/>
    <w:rsid w:val="00902668"/>
    <w:rsid w:val="00902867"/>
    <w:rsid w:val="00905C1D"/>
    <w:rsid w:val="0091030B"/>
    <w:rsid w:val="00910D2D"/>
    <w:rsid w:val="00916014"/>
    <w:rsid w:val="009164C6"/>
    <w:rsid w:val="009172CF"/>
    <w:rsid w:val="00917BC0"/>
    <w:rsid w:val="00920B10"/>
    <w:rsid w:val="00920B7B"/>
    <w:rsid w:val="00923437"/>
    <w:rsid w:val="00924D3E"/>
    <w:rsid w:val="00926282"/>
    <w:rsid w:val="00930322"/>
    <w:rsid w:val="00931246"/>
    <w:rsid w:val="00932376"/>
    <w:rsid w:val="009338DB"/>
    <w:rsid w:val="00934F2F"/>
    <w:rsid w:val="00935F4F"/>
    <w:rsid w:val="009412F2"/>
    <w:rsid w:val="009415E1"/>
    <w:rsid w:val="00941794"/>
    <w:rsid w:val="00942098"/>
    <w:rsid w:val="0094220E"/>
    <w:rsid w:val="00942809"/>
    <w:rsid w:val="009450DE"/>
    <w:rsid w:val="00953147"/>
    <w:rsid w:val="009533C0"/>
    <w:rsid w:val="009550D7"/>
    <w:rsid w:val="00956534"/>
    <w:rsid w:val="00956E25"/>
    <w:rsid w:val="009607F6"/>
    <w:rsid w:val="00961D05"/>
    <w:rsid w:val="00961EFC"/>
    <w:rsid w:val="00962B48"/>
    <w:rsid w:val="009648B0"/>
    <w:rsid w:val="009659C9"/>
    <w:rsid w:val="00965EB1"/>
    <w:rsid w:val="00970D94"/>
    <w:rsid w:val="009723C5"/>
    <w:rsid w:val="00972F84"/>
    <w:rsid w:val="009732F4"/>
    <w:rsid w:val="009743A2"/>
    <w:rsid w:val="00975999"/>
    <w:rsid w:val="009759C2"/>
    <w:rsid w:val="00975B9B"/>
    <w:rsid w:val="00975DB4"/>
    <w:rsid w:val="00976AAD"/>
    <w:rsid w:val="009806AC"/>
    <w:rsid w:val="009818C2"/>
    <w:rsid w:val="009829BE"/>
    <w:rsid w:val="00982BF2"/>
    <w:rsid w:val="00986B50"/>
    <w:rsid w:val="0099148F"/>
    <w:rsid w:val="00992969"/>
    <w:rsid w:val="0099339C"/>
    <w:rsid w:val="00993A0F"/>
    <w:rsid w:val="00994548"/>
    <w:rsid w:val="009948F6"/>
    <w:rsid w:val="00996E2A"/>
    <w:rsid w:val="00997F0F"/>
    <w:rsid w:val="009A095D"/>
    <w:rsid w:val="009A1430"/>
    <w:rsid w:val="009A1B95"/>
    <w:rsid w:val="009A1CA7"/>
    <w:rsid w:val="009A1E41"/>
    <w:rsid w:val="009A2B25"/>
    <w:rsid w:val="009A3C32"/>
    <w:rsid w:val="009A52F2"/>
    <w:rsid w:val="009A5C72"/>
    <w:rsid w:val="009A656E"/>
    <w:rsid w:val="009A6BF9"/>
    <w:rsid w:val="009A7651"/>
    <w:rsid w:val="009A7F72"/>
    <w:rsid w:val="009B019E"/>
    <w:rsid w:val="009B38CF"/>
    <w:rsid w:val="009B3C2A"/>
    <w:rsid w:val="009B4BDA"/>
    <w:rsid w:val="009B6280"/>
    <w:rsid w:val="009B6920"/>
    <w:rsid w:val="009B6D22"/>
    <w:rsid w:val="009B6EA0"/>
    <w:rsid w:val="009C16BD"/>
    <w:rsid w:val="009C1CC8"/>
    <w:rsid w:val="009C2E01"/>
    <w:rsid w:val="009C48BC"/>
    <w:rsid w:val="009C4F37"/>
    <w:rsid w:val="009C5AB0"/>
    <w:rsid w:val="009D0471"/>
    <w:rsid w:val="009D113D"/>
    <w:rsid w:val="009D15FB"/>
    <w:rsid w:val="009D1F98"/>
    <w:rsid w:val="009D2400"/>
    <w:rsid w:val="009D2543"/>
    <w:rsid w:val="009D5237"/>
    <w:rsid w:val="009D730B"/>
    <w:rsid w:val="009D757B"/>
    <w:rsid w:val="009E0F7F"/>
    <w:rsid w:val="009E2546"/>
    <w:rsid w:val="009E2D60"/>
    <w:rsid w:val="009E6006"/>
    <w:rsid w:val="009E62A7"/>
    <w:rsid w:val="009E6E91"/>
    <w:rsid w:val="009E7412"/>
    <w:rsid w:val="009E7C6B"/>
    <w:rsid w:val="009F1015"/>
    <w:rsid w:val="009F31C2"/>
    <w:rsid w:val="009F44A0"/>
    <w:rsid w:val="009F5723"/>
    <w:rsid w:val="009F5787"/>
    <w:rsid w:val="009F5F72"/>
    <w:rsid w:val="009F7689"/>
    <w:rsid w:val="009F789B"/>
    <w:rsid w:val="00A01673"/>
    <w:rsid w:val="00A01960"/>
    <w:rsid w:val="00A01C63"/>
    <w:rsid w:val="00A027E1"/>
    <w:rsid w:val="00A0368E"/>
    <w:rsid w:val="00A041AE"/>
    <w:rsid w:val="00A04228"/>
    <w:rsid w:val="00A0458F"/>
    <w:rsid w:val="00A07211"/>
    <w:rsid w:val="00A128EA"/>
    <w:rsid w:val="00A13BE5"/>
    <w:rsid w:val="00A147D6"/>
    <w:rsid w:val="00A16070"/>
    <w:rsid w:val="00A16391"/>
    <w:rsid w:val="00A16A9F"/>
    <w:rsid w:val="00A175C0"/>
    <w:rsid w:val="00A21471"/>
    <w:rsid w:val="00A22075"/>
    <w:rsid w:val="00A2207D"/>
    <w:rsid w:val="00A2328D"/>
    <w:rsid w:val="00A266DE"/>
    <w:rsid w:val="00A26B40"/>
    <w:rsid w:val="00A279B0"/>
    <w:rsid w:val="00A31FDF"/>
    <w:rsid w:val="00A33480"/>
    <w:rsid w:val="00A34539"/>
    <w:rsid w:val="00A34DCD"/>
    <w:rsid w:val="00A35DB3"/>
    <w:rsid w:val="00A3605D"/>
    <w:rsid w:val="00A3630B"/>
    <w:rsid w:val="00A36F7D"/>
    <w:rsid w:val="00A41537"/>
    <w:rsid w:val="00A41EEC"/>
    <w:rsid w:val="00A4292A"/>
    <w:rsid w:val="00A436A3"/>
    <w:rsid w:val="00A44734"/>
    <w:rsid w:val="00A47477"/>
    <w:rsid w:val="00A51404"/>
    <w:rsid w:val="00A51F28"/>
    <w:rsid w:val="00A52080"/>
    <w:rsid w:val="00A5350F"/>
    <w:rsid w:val="00A53978"/>
    <w:rsid w:val="00A549B4"/>
    <w:rsid w:val="00A5638B"/>
    <w:rsid w:val="00A57161"/>
    <w:rsid w:val="00A57984"/>
    <w:rsid w:val="00A61403"/>
    <w:rsid w:val="00A650B1"/>
    <w:rsid w:val="00A728BF"/>
    <w:rsid w:val="00A73465"/>
    <w:rsid w:val="00A73862"/>
    <w:rsid w:val="00A74E2F"/>
    <w:rsid w:val="00A77163"/>
    <w:rsid w:val="00A81199"/>
    <w:rsid w:val="00A8180D"/>
    <w:rsid w:val="00A81BCB"/>
    <w:rsid w:val="00A826BB"/>
    <w:rsid w:val="00A8511A"/>
    <w:rsid w:val="00A860A0"/>
    <w:rsid w:val="00A9009D"/>
    <w:rsid w:val="00A93232"/>
    <w:rsid w:val="00A9385F"/>
    <w:rsid w:val="00A93ACC"/>
    <w:rsid w:val="00A943A8"/>
    <w:rsid w:val="00A94AEC"/>
    <w:rsid w:val="00A97DCA"/>
    <w:rsid w:val="00AA0BBA"/>
    <w:rsid w:val="00AA1546"/>
    <w:rsid w:val="00AA2EF8"/>
    <w:rsid w:val="00AA36EE"/>
    <w:rsid w:val="00AA51B0"/>
    <w:rsid w:val="00AA54CE"/>
    <w:rsid w:val="00AA5C25"/>
    <w:rsid w:val="00AA7988"/>
    <w:rsid w:val="00AB09AE"/>
    <w:rsid w:val="00AB2B74"/>
    <w:rsid w:val="00AB409F"/>
    <w:rsid w:val="00AB4F79"/>
    <w:rsid w:val="00AB68FB"/>
    <w:rsid w:val="00AB71AF"/>
    <w:rsid w:val="00AC06FA"/>
    <w:rsid w:val="00AC136D"/>
    <w:rsid w:val="00AC22D8"/>
    <w:rsid w:val="00AC366B"/>
    <w:rsid w:val="00AC426B"/>
    <w:rsid w:val="00AC5CDC"/>
    <w:rsid w:val="00AC6D66"/>
    <w:rsid w:val="00AC78F7"/>
    <w:rsid w:val="00AD332C"/>
    <w:rsid w:val="00AD38D3"/>
    <w:rsid w:val="00AD689A"/>
    <w:rsid w:val="00AD759C"/>
    <w:rsid w:val="00AE0D75"/>
    <w:rsid w:val="00AE1287"/>
    <w:rsid w:val="00AE1D53"/>
    <w:rsid w:val="00AE4ED6"/>
    <w:rsid w:val="00AE4FD2"/>
    <w:rsid w:val="00AE591E"/>
    <w:rsid w:val="00AE5B9A"/>
    <w:rsid w:val="00AE6B84"/>
    <w:rsid w:val="00AE755B"/>
    <w:rsid w:val="00AF044D"/>
    <w:rsid w:val="00AF1C72"/>
    <w:rsid w:val="00AF4F58"/>
    <w:rsid w:val="00AF52DF"/>
    <w:rsid w:val="00AF6CFB"/>
    <w:rsid w:val="00AF72E2"/>
    <w:rsid w:val="00B01DCE"/>
    <w:rsid w:val="00B0223B"/>
    <w:rsid w:val="00B031B2"/>
    <w:rsid w:val="00B04233"/>
    <w:rsid w:val="00B058F3"/>
    <w:rsid w:val="00B05BF3"/>
    <w:rsid w:val="00B12910"/>
    <w:rsid w:val="00B14508"/>
    <w:rsid w:val="00B16DD8"/>
    <w:rsid w:val="00B17A25"/>
    <w:rsid w:val="00B20869"/>
    <w:rsid w:val="00B2503D"/>
    <w:rsid w:val="00B256C5"/>
    <w:rsid w:val="00B26A11"/>
    <w:rsid w:val="00B30E2F"/>
    <w:rsid w:val="00B314FC"/>
    <w:rsid w:val="00B3162F"/>
    <w:rsid w:val="00B334F4"/>
    <w:rsid w:val="00B3364B"/>
    <w:rsid w:val="00B357CE"/>
    <w:rsid w:val="00B35FF2"/>
    <w:rsid w:val="00B3631A"/>
    <w:rsid w:val="00B37331"/>
    <w:rsid w:val="00B40A3F"/>
    <w:rsid w:val="00B40C5C"/>
    <w:rsid w:val="00B42417"/>
    <w:rsid w:val="00B42504"/>
    <w:rsid w:val="00B435C0"/>
    <w:rsid w:val="00B44088"/>
    <w:rsid w:val="00B440E6"/>
    <w:rsid w:val="00B44BDD"/>
    <w:rsid w:val="00B45525"/>
    <w:rsid w:val="00B45BCD"/>
    <w:rsid w:val="00B47955"/>
    <w:rsid w:val="00B50A27"/>
    <w:rsid w:val="00B53E37"/>
    <w:rsid w:val="00B5525D"/>
    <w:rsid w:val="00B57289"/>
    <w:rsid w:val="00B5756B"/>
    <w:rsid w:val="00B62325"/>
    <w:rsid w:val="00B62BD4"/>
    <w:rsid w:val="00B646D1"/>
    <w:rsid w:val="00B64CFD"/>
    <w:rsid w:val="00B66150"/>
    <w:rsid w:val="00B67407"/>
    <w:rsid w:val="00B70501"/>
    <w:rsid w:val="00B70977"/>
    <w:rsid w:val="00B71590"/>
    <w:rsid w:val="00B71C5A"/>
    <w:rsid w:val="00B71E71"/>
    <w:rsid w:val="00B726F7"/>
    <w:rsid w:val="00B741C0"/>
    <w:rsid w:val="00B76254"/>
    <w:rsid w:val="00B76F37"/>
    <w:rsid w:val="00B77226"/>
    <w:rsid w:val="00B81117"/>
    <w:rsid w:val="00B8170E"/>
    <w:rsid w:val="00B82B8D"/>
    <w:rsid w:val="00B830A0"/>
    <w:rsid w:val="00B84370"/>
    <w:rsid w:val="00B84BD7"/>
    <w:rsid w:val="00B855E7"/>
    <w:rsid w:val="00B85EDB"/>
    <w:rsid w:val="00B8616E"/>
    <w:rsid w:val="00B87681"/>
    <w:rsid w:val="00B8770C"/>
    <w:rsid w:val="00B907E8"/>
    <w:rsid w:val="00B90F2C"/>
    <w:rsid w:val="00B92795"/>
    <w:rsid w:val="00B92C5B"/>
    <w:rsid w:val="00B94945"/>
    <w:rsid w:val="00B94EF2"/>
    <w:rsid w:val="00B95C8B"/>
    <w:rsid w:val="00B95C9B"/>
    <w:rsid w:val="00BA19E5"/>
    <w:rsid w:val="00BA1ADB"/>
    <w:rsid w:val="00BA3D2E"/>
    <w:rsid w:val="00BA4B74"/>
    <w:rsid w:val="00BA5425"/>
    <w:rsid w:val="00BA637B"/>
    <w:rsid w:val="00BA6A3F"/>
    <w:rsid w:val="00BA7350"/>
    <w:rsid w:val="00BB12B6"/>
    <w:rsid w:val="00BB17CB"/>
    <w:rsid w:val="00BB1AAE"/>
    <w:rsid w:val="00BB23A9"/>
    <w:rsid w:val="00BB3EDB"/>
    <w:rsid w:val="00BB4339"/>
    <w:rsid w:val="00BB5416"/>
    <w:rsid w:val="00BB754E"/>
    <w:rsid w:val="00BB7637"/>
    <w:rsid w:val="00BC0626"/>
    <w:rsid w:val="00BC18F8"/>
    <w:rsid w:val="00BC22A6"/>
    <w:rsid w:val="00BC2528"/>
    <w:rsid w:val="00BC2A5D"/>
    <w:rsid w:val="00BC2FC6"/>
    <w:rsid w:val="00BC56AF"/>
    <w:rsid w:val="00BC5C64"/>
    <w:rsid w:val="00BC7A9B"/>
    <w:rsid w:val="00BD0358"/>
    <w:rsid w:val="00BD239F"/>
    <w:rsid w:val="00BD2BDD"/>
    <w:rsid w:val="00BD378E"/>
    <w:rsid w:val="00BD4188"/>
    <w:rsid w:val="00BD5F9E"/>
    <w:rsid w:val="00BD6620"/>
    <w:rsid w:val="00BD6A20"/>
    <w:rsid w:val="00BD73BD"/>
    <w:rsid w:val="00BD7EBA"/>
    <w:rsid w:val="00BE0AE1"/>
    <w:rsid w:val="00BE0C49"/>
    <w:rsid w:val="00BE17CB"/>
    <w:rsid w:val="00BE235C"/>
    <w:rsid w:val="00BE2681"/>
    <w:rsid w:val="00BE388F"/>
    <w:rsid w:val="00BE49A2"/>
    <w:rsid w:val="00BE6206"/>
    <w:rsid w:val="00BE65E9"/>
    <w:rsid w:val="00BE761C"/>
    <w:rsid w:val="00BE7BEF"/>
    <w:rsid w:val="00BE7C6B"/>
    <w:rsid w:val="00BF0EDE"/>
    <w:rsid w:val="00BF10B0"/>
    <w:rsid w:val="00BF182C"/>
    <w:rsid w:val="00BF2A5A"/>
    <w:rsid w:val="00BF2E1D"/>
    <w:rsid w:val="00BF2FDD"/>
    <w:rsid w:val="00BF45D8"/>
    <w:rsid w:val="00BF513C"/>
    <w:rsid w:val="00BF5C86"/>
    <w:rsid w:val="00BF5F48"/>
    <w:rsid w:val="00BF7669"/>
    <w:rsid w:val="00C0103A"/>
    <w:rsid w:val="00C0119B"/>
    <w:rsid w:val="00C02309"/>
    <w:rsid w:val="00C02BDE"/>
    <w:rsid w:val="00C02C4B"/>
    <w:rsid w:val="00C02DCF"/>
    <w:rsid w:val="00C04A6B"/>
    <w:rsid w:val="00C11F4D"/>
    <w:rsid w:val="00C13B0B"/>
    <w:rsid w:val="00C15CD6"/>
    <w:rsid w:val="00C238AF"/>
    <w:rsid w:val="00C246E7"/>
    <w:rsid w:val="00C25C1C"/>
    <w:rsid w:val="00C25FBA"/>
    <w:rsid w:val="00C26789"/>
    <w:rsid w:val="00C27F6F"/>
    <w:rsid w:val="00C335E7"/>
    <w:rsid w:val="00C33B17"/>
    <w:rsid w:val="00C369EE"/>
    <w:rsid w:val="00C37591"/>
    <w:rsid w:val="00C37694"/>
    <w:rsid w:val="00C4391C"/>
    <w:rsid w:val="00C43EBE"/>
    <w:rsid w:val="00C45C9C"/>
    <w:rsid w:val="00C50240"/>
    <w:rsid w:val="00C50FB8"/>
    <w:rsid w:val="00C540BD"/>
    <w:rsid w:val="00C55186"/>
    <w:rsid w:val="00C56D32"/>
    <w:rsid w:val="00C576B7"/>
    <w:rsid w:val="00C57DFD"/>
    <w:rsid w:val="00C6112D"/>
    <w:rsid w:val="00C611DE"/>
    <w:rsid w:val="00C63209"/>
    <w:rsid w:val="00C64385"/>
    <w:rsid w:val="00C656C3"/>
    <w:rsid w:val="00C657DA"/>
    <w:rsid w:val="00C65DA9"/>
    <w:rsid w:val="00C71727"/>
    <w:rsid w:val="00C73107"/>
    <w:rsid w:val="00C735F3"/>
    <w:rsid w:val="00C74C10"/>
    <w:rsid w:val="00C752E4"/>
    <w:rsid w:val="00C7679A"/>
    <w:rsid w:val="00C77FA0"/>
    <w:rsid w:val="00C803E7"/>
    <w:rsid w:val="00C81270"/>
    <w:rsid w:val="00C8314D"/>
    <w:rsid w:val="00C84391"/>
    <w:rsid w:val="00C84ACF"/>
    <w:rsid w:val="00C84B20"/>
    <w:rsid w:val="00C85E3B"/>
    <w:rsid w:val="00C872C2"/>
    <w:rsid w:val="00C91239"/>
    <w:rsid w:val="00C924BA"/>
    <w:rsid w:val="00C925E7"/>
    <w:rsid w:val="00C9548A"/>
    <w:rsid w:val="00C9582F"/>
    <w:rsid w:val="00C961BC"/>
    <w:rsid w:val="00C97753"/>
    <w:rsid w:val="00CA0C29"/>
    <w:rsid w:val="00CA231E"/>
    <w:rsid w:val="00CA2B23"/>
    <w:rsid w:val="00CA3982"/>
    <w:rsid w:val="00CA4FF3"/>
    <w:rsid w:val="00CA6285"/>
    <w:rsid w:val="00CA6619"/>
    <w:rsid w:val="00CA67B2"/>
    <w:rsid w:val="00CA6C36"/>
    <w:rsid w:val="00CB00DB"/>
    <w:rsid w:val="00CB044C"/>
    <w:rsid w:val="00CB194F"/>
    <w:rsid w:val="00CB1B2B"/>
    <w:rsid w:val="00CB1D5F"/>
    <w:rsid w:val="00CB2E57"/>
    <w:rsid w:val="00CB41FB"/>
    <w:rsid w:val="00CB558E"/>
    <w:rsid w:val="00CB66B3"/>
    <w:rsid w:val="00CC017B"/>
    <w:rsid w:val="00CC0E6F"/>
    <w:rsid w:val="00CC11C9"/>
    <w:rsid w:val="00CC25B8"/>
    <w:rsid w:val="00CC2B6B"/>
    <w:rsid w:val="00CC52F8"/>
    <w:rsid w:val="00CC559E"/>
    <w:rsid w:val="00CC7597"/>
    <w:rsid w:val="00CD2631"/>
    <w:rsid w:val="00CD331B"/>
    <w:rsid w:val="00CD3584"/>
    <w:rsid w:val="00CD41D6"/>
    <w:rsid w:val="00CD6462"/>
    <w:rsid w:val="00CD6ECD"/>
    <w:rsid w:val="00CE0BD3"/>
    <w:rsid w:val="00CE125D"/>
    <w:rsid w:val="00CE15BB"/>
    <w:rsid w:val="00CE2913"/>
    <w:rsid w:val="00CF29E8"/>
    <w:rsid w:val="00CF2D90"/>
    <w:rsid w:val="00CF38C0"/>
    <w:rsid w:val="00CF5C90"/>
    <w:rsid w:val="00CF6A1A"/>
    <w:rsid w:val="00D02C1F"/>
    <w:rsid w:val="00D02F1F"/>
    <w:rsid w:val="00D02F5D"/>
    <w:rsid w:val="00D0417B"/>
    <w:rsid w:val="00D12E26"/>
    <w:rsid w:val="00D1317F"/>
    <w:rsid w:val="00D13D93"/>
    <w:rsid w:val="00D146B9"/>
    <w:rsid w:val="00D14CF8"/>
    <w:rsid w:val="00D173FE"/>
    <w:rsid w:val="00D1781B"/>
    <w:rsid w:val="00D213F0"/>
    <w:rsid w:val="00D214B0"/>
    <w:rsid w:val="00D219C7"/>
    <w:rsid w:val="00D21D49"/>
    <w:rsid w:val="00D2268D"/>
    <w:rsid w:val="00D233E4"/>
    <w:rsid w:val="00D24BD7"/>
    <w:rsid w:val="00D2525F"/>
    <w:rsid w:val="00D25FD8"/>
    <w:rsid w:val="00D261B5"/>
    <w:rsid w:val="00D26344"/>
    <w:rsid w:val="00D27CC4"/>
    <w:rsid w:val="00D302EC"/>
    <w:rsid w:val="00D31ABB"/>
    <w:rsid w:val="00D340F8"/>
    <w:rsid w:val="00D36E45"/>
    <w:rsid w:val="00D3721C"/>
    <w:rsid w:val="00D372D1"/>
    <w:rsid w:val="00D37995"/>
    <w:rsid w:val="00D4096E"/>
    <w:rsid w:val="00D42586"/>
    <w:rsid w:val="00D4271A"/>
    <w:rsid w:val="00D451FC"/>
    <w:rsid w:val="00D53F48"/>
    <w:rsid w:val="00D54D90"/>
    <w:rsid w:val="00D57149"/>
    <w:rsid w:val="00D61539"/>
    <w:rsid w:val="00D62BB4"/>
    <w:rsid w:val="00D63B93"/>
    <w:rsid w:val="00D63CFD"/>
    <w:rsid w:val="00D663D6"/>
    <w:rsid w:val="00D700FA"/>
    <w:rsid w:val="00D7079C"/>
    <w:rsid w:val="00D72614"/>
    <w:rsid w:val="00D72975"/>
    <w:rsid w:val="00D72D6B"/>
    <w:rsid w:val="00D73CAF"/>
    <w:rsid w:val="00D7597F"/>
    <w:rsid w:val="00D75CAC"/>
    <w:rsid w:val="00D76516"/>
    <w:rsid w:val="00D76860"/>
    <w:rsid w:val="00D77E8D"/>
    <w:rsid w:val="00D80703"/>
    <w:rsid w:val="00D8107E"/>
    <w:rsid w:val="00D81864"/>
    <w:rsid w:val="00D81D74"/>
    <w:rsid w:val="00D833B7"/>
    <w:rsid w:val="00D83BA2"/>
    <w:rsid w:val="00D84EC0"/>
    <w:rsid w:val="00D85235"/>
    <w:rsid w:val="00D85776"/>
    <w:rsid w:val="00D85B79"/>
    <w:rsid w:val="00D85C31"/>
    <w:rsid w:val="00D87DC1"/>
    <w:rsid w:val="00D91ED3"/>
    <w:rsid w:val="00D92009"/>
    <w:rsid w:val="00D92383"/>
    <w:rsid w:val="00D94ABF"/>
    <w:rsid w:val="00D95617"/>
    <w:rsid w:val="00D95A1A"/>
    <w:rsid w:val="00D9772D"/>
    <w:rsid w:val="00DA2721"/>
    <w:rsid w:val="00DA3011"/>
    <w:rsid w:val="00DA50B7"/>
    <w:rsid w:val="00DA5820"/>
    <w:rsid w:val="00DA59D2"/>
    <w:rsid w:val="00DB061C"/>
    <w:rsid w:val="00DB0B68"/>
    <w:rsid w:val="00DB28EA"/>
    <w:rsid w:val="00DB3BCF"/>
    <w:rsid w:val="00DB419E"/>
    <w:rsid w:val="00DB4215"/>
    <w:rsid w:val="00DB4B88"/>
    <w:rsid w:val="00DB5096"/>
    <w:rsid w:val="00DB53CE"/>
    <w:rsid w:val="00DB625F"/>
    <w:rsid w:val="00DB6496"/>
    <w:rsid w:val="00DB64D6"/>
    <w:rsid w:val="00DB7252"/>
    <w:rsid w:val="00DB73BD"/>
    <w:rsid w:val="00DC3D1B"/>
    <w:rsid w:val="00DD0FD9"/>
    <w:rsid w:val="00DD1996"/>
    <w:rsid w:val="00DD21B3"/>
    <w:rsid w:val="00DD2482"/>
    <w:rsid w:val="00DD27BE"/>
    <w:rsid w:val="00DD507F"/>
    <w:rsid w:val="00DD5333"/>
    <w:rsid w:val="00DD57F6"/>
    <w:rsid w:val="00DD5923"/>
    <w:rsid w:val="00DD6573"/>
    <w:rsid w:val="00DD7ADF"/>
    <w:rsid w:val="00DD7F5E"/>
    <w:rsid w:val="00DE0714"/>
    <w:rsid w:val="00DE545D"/>
    <w:rsid w:val="00DE6DE5"/>
    <w:rsid w:val="00DF058B"/>
    <w:rsid w:val="00DF18EA"/>
    <w:rsid w:val="00DF1D28"/>
    <w:rsid w:val="00DF4747"/>
    <w:rsid w:val="00DF4781"/>
    <w:rsid w:val="00E00192"/>
    <w:rsid w:val="00E02548"/>
    <w:rsid w:val="00E044B5"/>
    <w:rsid w:val="00E04653"/>
    <w:rsid w:val="00E047F7"/>
    <w:rsid w:val="00E06451"/>
    <w:rsid w:val="00E06E83"/>
    <w:rsid w:val="00E07706"/>
    <w:rsid w:val="00E144A0"/>
    <w:rsid w:val="00E15CB5"/>
    <w:rsid w:val="00E1617B"/>
    <w:rsid w:val="00E16B95"/>
    <w:rsid w:val="00E16E05"/>
    <w:rsid w:val="00E20502"/>
    <w:rsid w:val="00E25FAD"/>
    <w:rsid w:val="00E3024C"/>
    <w:rsid w:val="00E31C27"/>
    <w:rsid w:val="00E33AFB"/>
    <w:rsid w:val="00E35E72"/>
    <w:rsid w:val="00E35EBF"/>
    <w:rsid w:val="00E36D95"/>
    <w:rsid w:val="00E37509"/>
    <w:rsid w:val="00E37C62"/>
    <w:rsid w:val="00E403A3"/>
    <w:rsid w:val="00E4090A"/>
    <w:rsid w:val="00E44207"/>
    <w:rsid w:val="00E45513"/>
    <w:rsid w:val="00E47202"/>
    <w:rsid w:val="00E474AB"/>
    <w:rsid w:val="00E47793"/>
    <w:rsid w:val="00E51023"/>
    <w:rsid w:val="00E52E4B"/>
    <w:rsid w:val="00E53653"/>
    <w:rsid w:val="00E53E39"/>
    <w:rsid w:val="00E54C04"/>
    <w:rsid w:val="00E55F96"/>
    <w:rsid w:val="00E616AE"/>
    <w:rsid w:val="00E6191A"/>
    <w:rsid w:val="00E61FB7"/>
    <w:rsid w:val="00E62567"/>
    <w:rsid w:val="00E62C87"/>
    <w:rsid w:val="00E64B16"/>
    <w:rsid w:val="00E65120"/>
    <w:rsid w:val="00E66007"/>
    <w:rsid w:val="00E700D6"/>
    <w:rsid w:val="00E70911"/>
    <w:rsid w:val="00E71394"/>
    <w:rsid w:val="00E72E16"/>
    <w:rsid w:val="00E7363D"/>
    <w:rsid w:val="00E74E26"/>
    <w:rsid w:val="00E759FD"/>
    <w:rsid w:val="00E76EF7"/>
    <w:rsid w:val="00E77E99"/>
    <w:rsid w:val="00E81DE9"/>
    <w:rsid w:val="00E829B5"/>
    <w:rsid w:val="00E832BA"/>
    <w:rsid w:val="00E83D62"/>
    <w:rsid w:val="00E85527"/>
    <w:rsid w:val="00E85E11"/>
    <w:rsid w:val="00E86BC1"/>
    <w:rsid w:val="00E879AA"/>
    <w:rsid w:val="00E91AAF"/>
    <w:rsid w:val="00E93529"/>
    <w:rsid w:val="00E93C63"/>
    <w:rsid w:val="00E96DE5"/>
    <w:rsid w:val="00E976E3"/>
    <w:rsid w:val="00EA31AB"/>
    <w:rsid w:val="00EA3630"/>
    <w:rsid w:val="00EA4E0D"/>
    <w:rsid w:val="00EA5BFB"/>
    <w:rsid w:val="00EA5CFD"/>
    <w:rsid w:val="00EA7894"/>
    <w:rsid w:val="00EA79B2"/>
    <w:rsid w:val="00EB2021"/>
    <w:rsid w:val="00EB3D67"/>
    <w:rsid w:val="00EB3F25"/>
    <w:rsid w:val="00EB44E5"/>
    <w:rsid w:val="00EB62C2"/>
    <w:rsid w:val="00EB6B70"/>
    <w:rsid w:val="00EC034D"/>
    <w:rsid w:val="00EC1B42"/>
    <w:rsid w:val="00EC2EE4"/>
    <w:rsid w:val="00EC3344"/>
    <w:rsid w:val="00EC3994"/>
    <w:rsid w:val="00EC44BF"/>
    <w:rsid w:val="00EC65E2"/>
    <w:rsid w:val="00EC6657"/>
    <w:rsid w:val="00EC7226"/>
    <w:rsid w:val="00EC74F9"/>
    <w:rsid w:val="00ED153D"/>
    <w:rsid w:val="00ED1AA1"/>
    <w:rsid w:val="00ED28BA"/>
    <w:rsid w:val="00ED3227"/>
    <w:rsid w:val="00ED3B20"/>
    <w:rsid w:val="00ED3B7F"/>
    <w:rsid w:val="00ED6D62"/>
    <w:rsid w:val="00ED7248"/>
    <w:rsid w:val="00EE0431"/>
    <w:rsid w:val="00EE0853"/>
    <w:rsid w:val="00EE2315"/>
    <w:rsid w:val="00EE33B1"/>
    <w:rsid w:val="00EE3854"/>
    <w:rsid w:val="00EE453E"/>
    <w:rsid w:val="00EE4624"/>
    <w:rsid w:val="00EE5D7A"/>
    <w:rsid w:val="00EE6E6B"/>
    <w:rsid w:val="00EE7552"/>
    <w:rsid w:val="00EE7D99"/>
    <w:rsid w:val="00EF040B"/>
    <w:rsid w:val="00EF0616"/>
    <w:rsid w:val="00EF073D"/>
    <w:rsid w:val="00EF2076"/>
    <w:rsid w:val="00EF3FCC"/>
    <w:rsid w:val="00EF410B"/>
    <w:rsid w:val="00EF488B"/>
    <w:rsid w:val="00EF5051"/>
    <w:rsid w:val="00EF53F6"/>
    <w:rsid w:val="00F02399"/>
    <w:rsid w:val="00F02678"/>
    <w:rsid w:val="00F0276F"/>
    <w:rsid w:val="00F0301D"/>
    <w:rsid w:val="00F0327D"/>
    <w:rsid w:val="00F03596"/>
    <w:rsid w:val="00F040DC"/>
    <w:rsid w:val="00F072E9"/>
    <w:rsid w:val="00F113EE"/>
    <w:rsid w:val="00F1355B"/>
    <w:rsid w:val="00F13D11"/>
    <w:rsid w:val="00F142F9"/>
    <w:rsid w:val="00F23E0D"/>
    <w:rsid w:val="00F24661"/>
    <w:rsid w:val="00F25A4B"/>
    <w:rsid w:val="00F27354"/>
    <w:rsid w:val="00F27EA0"/>
    <w:rsid w:val="00F31E90"/>
    <w:rsid w:val="00F32B8D"/>
    <w:rsid w:val="00F35525"/>
    <w:rsid w:val="00F357D6"/>
    <w:rsid w:val="00F41883"/>
    <w:rsid w:val="00F41A72"/>
    <w:rsid w:val="00F43330"/>
    <w:rsid w:val="00F43F2B"/>
    <w:rsid w:val="00F44585"/>
    <w:rsid w:val="00F44ED4"/>
    <w:rsid w:val="00F47204"/>
    <w:rsid w:val="00F50DC6"/>
    <w:rsid w:val="00F5190F"/>
    <w:rsid w:val="00F51E2F"/>
    <w:rsid w:val="00F528CC"/>
    <w:rsid w:val="00F52EFA"/>
    <w:rsid w:val="00F538A8"/>
    <w:rsid w:val="00F54079"/>
    <w:rsid w:val="00F60346"/>
    <w:rsid w:val="00F62748"/>
    <w:rsid w:val="00F62FE9"/>
    <w:rsid w:val="00F64F25"/>
    <w:rsid w:val="00F658A8"/>
    <w:rsid w:val="00F66303"/>
    <w:rsid w:val="00F66DDC"/>
    <w:rsid w:val="00F67236"/>
    <w:rsid w:val="00F729C7"/>
    <w:rsid w:val="00F7313A"/>
    <w:rsid w:val="00F7568A"/>
    <w:rsid w:val="00F76404"/>
    <w:rsid w:val="00F76B4B"/>
    <w:rsid w:val="00F801C8"/>
    <w:rsid w:val="00F80BE7"/>
    <w:rsid w:val="00F81138"/>
    <w:rsid w:val="00F82884"/>
    <w:rsid w:val="00F82F27"/>
    <w:rsid w:val="00F8397F"/>
    <w:rsid w:val="00F83DC8"/>
    <w:rsid w:val="00F85199"/>
    <w:rsid w:val="00F91F52"/>
    <w:rsid w:val="00F92226"/>
    <w:rsid w:val="00F92452"/>
    <w:rsid w:val="00F92DFC"/>
    <w:rsid w:val="00F940EB"/>
    <w:rsid w:val="00F94EC2"/>
    <w:rsid w:val="00F96916"/>
    <w:rsid w:val="00F971DA"/>
    <w:rsid w:val="00F9738B"/>
    <w:rsid w:val="00FA1BB2"/>
    <w:rsid w:val="00FA255C"/>
    <w:rsid w:val="00FA270F"/>
    <w:rsid w:val="00FA348D"/>
    <w:rsid w:val="00FA433E"/>
    <w:rsid w:val="00FA6893"/>
    <w:rsid w:val="00FB032D"/>
    <w:rsid w:val="00FB03D1"/>
    <w:rsid w:val="00FB1D08"/>
    <w:rsid w:val="00FB23D4"/>
    <w:rsid w:val="00FB2CE3"/>
    <w:rsid w:val="00FB3590"/>
    <w:rsid w:val="00FB36DE"/>
    <w:rsid w:val="00FB4A95"/>
    <w:rsid w:val="00FB4C31"/>
    <w:rsid w:val="00FB4D5A"/>
    <w:rsid w:val="00FB5B76"/>
    <w:rsid w:val="00FB697B"/>
    <w:rsid w:val="00FB6A87"/>
    <w:rsid w:val="00FB6B68"/>
    <w:rsid w:val="00FB7A9E"/>
    <w:rsid w:val="00FB7FE2"/>
    <w:rsid w:val="00FC311A"/>
    <w:rsid w:val="00FC3FED"/>
    <w:rsid w:val="00FC572C"/>
    <w:rsid w:val="00FC6D59"/>
    <w:rsid w:val="00FC6F21"/>
    <w:rsid w:val="00FC7068"/>
    <w:rsid w:val="00FD07F8"/>
    <w:rsid w:val="00FD1EA7"/>
    <w:rsid w:val="00FD45F7"/>
    <w:rsid w:val="00FD4DC2"/>
    <w:rsid w:val="00FD5F30"/>
    <w:rsid w:val="00FD6790"/>
    <w:rsid w:val="00FD7522"/>
    <w:rsid w:val="00FE034E"/>
    <w:rsid w:val="00FE4176"/>
    <w:rsid w:val="00FE421A"/>
    <w:rsid w:val="00FE49E1"/>
    <w:rsid w:val="00FE565A"/>
    <w:rsid w:val="00FE6BD9"/>
    <w:rsid w:val="00FF1116"/>
    <w:rsid w:val="00FF1634"/>
    <w:rsid w:val="00FF1AF5"/>
    <w:rsid w:val="00FF30A7"/>
    <w:rsid w:val="00FF3586"/>
    <w:rsid w:val="00FF4461"/>
    <w:rsid w:val="00FF467E"/>
    <w:rsid w:val="00FF4929"/>
    <w:rsid w:val="00FF71CD"/>
    <w:rsid w:val="00FF728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ED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62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2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5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A15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a5">
    <w:name w:val="header"/>
    <w:basedOn w:val="a"/>
    <w:link w:val="a6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7">
    <w:name w:val="footer"/>
    <w:basedOn w:val="a"/>
    <w:link w:val="a8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9">
    <w:name w:val="footnote text"/>
    <w:basedOn w:val="a"/>
    <w:link w:val="aa"/>
    <w:uiPriority w:val="99"/>
    <w:unhideWhenUsed/>
    <w:rsid w:val="00482F53"/>
  </w:style>
  <w:style w:type="character" w:customStyle="1" w:styleId="aa">
    <w:name w:val="טקסט הערת שוליים תו"/>
    <w:basedOn w:val="a0"/>
    <w:link w:val="a9"/>
    <w:uiPriority w:val="99"/>
    <w:rsid w:val="00482F53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b">
    <w:name w:val="footnote reference"/>
    <w:basedOn w:val="a0"/>
    <w:uiPriority w:val="99"/>
    <w:semiHidden/>
    <w:unhideWhenUsed/>
    <w:rsid w:val="00482F5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C7226"/>
  </w:style>
  <w:style w:type="character" w:customStyle="1" w:styleId="ad">
    <w:name w:val="טקסט הערת סיום תו"/>
    <w:basedOn w:val="a0"/>
    <w:link w:val="ac"/>
    <w:uiPriority w:val="99"/>
    <w:semiHidden/>
    <w:rsid w:val="00EC7226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e">
    <w:name w:val="endnote reference"/>
    <w:basedOn w:val="a0"/>
    <w:uiPriority w:val="99"/>
    <w:semiHidden/>
    <w:unhideWhenUsed/>
    <w:rsid w:val="00EC7226"/>
    <w:rPr>
      <w:vertAlign w:val="superscript"/>
    </w:rPr>
  </w:style>
  <w:style w:type="table" w:styleId="af">
    <w:name w:val="Table Grid"/>
    <w:basedOn w:val="a1"/>
    <w:uiPriority w:val="59"/>
    <w:rsid w:val="00DD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709D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62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customStyle="1" w:styleId="20">
    <w:name w:val="כותרת 2 תו"/>
    <w:basedOn w:val="a0"/>
    <w:link w:val="2"/>
    <w:uiPriority w:val="9"/>
    <w:rsid w:val="00E62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character" w:customStyle="1" w:styleId="30">
    <w:name w:val="כותרת 3 תו"/>
    <w:basedOn w:val="a0"/>
    <w:link w:val="3"/>
    <w:uiPriority w:val="9"/>
    <w:rsid w:val="00EF53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e-IL"/>
    </w:rPr>
  </w:style>
  <w:style w:type="character" w:customStyle="1" w:styleId="40">
    <w:name w:val="כותרת 4 תו"/>
    <w:basedOn w:val="a0"/>
    <w:link w:val="4"/>
    <w:uiPriority w:val="9"/>
    <w:rsid w:val="001A15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he-IL"/>
    </w:rPr>
  </w:style>
  <w:style w:type="paragraph" w:styleId="af1">
    <w:name w:val="Title"/>
    <w:basedOn w:val="a"/>
    <w:next w:val="a"/>
    <w:link w:val="af2"/>
    <w:uiPriority w:val="10"/>
    <w:qFormat/>
    <w:rsid w:val="00F27E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כותרת טקסט תו"/>
    <w:basedOn w:val="a0"/>
    <w:link w:val="af1"/>
    <w:uiPriority w:val="10"/>
    <w:rsid w:val="00F27E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e-IL"/>
    </w:rPr>
  </w:style>
  <w:style w:type="character" w:styleId="af3">
    <w:name w:val="annotation reference"/>
    <w:basedOn w:val="a0"/>
    <w:uiPriority w:val="99"/>
    <w:semiHidden/>
    <w:unhideWhenUsed/>
    <w:rsid w:val="00DB6496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DB6496"/>
  </w:style>
  <w:style w:type="character" w:customStyle="1" w:styleId="af5">
    <w:name w:val="טקסט הערה תו"/>
    <w:basedOn w:val="a0"/>
    <w:link w:val="af4"/>
    <w:uiPriority w:val="99"/>
    <w:rsid w:val="00DB6496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B6496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DB6496"/>
    <w:rPr>
      <w:rFonts w:ascii="Times New Roman" w:eastAsia="Times New Roman" w:hAnsi="Times New Roman" w:cs="Miriam"/>
      <w:b/>
      <w:bCs/>
      <w:sz w:val="20"/>
      <w:szCs w:val="20"/>
      <w:lang w:eastAsia="he-IL"/>
    </w:rPr>
  </w:style>
  <w:style w:type="character" w:styleId="Hyperlink">
    <w:name w:val="Hyperlink"/>
    <w:basedOn w:val="a0"/>
    <w:uiPriority w:val="99"/>
    <w:unhideWhenUsed/>
    <w:rsid w:val="00404881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5638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638B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f"/>
    <w:uiPriority w:val="59"/>
    <w:rsid w:val="00E4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292C1D"/>
  </w:style>
  <w:style w:type="paragraph" w:styleId="NormalWeb">
    <w:name w:val="Normal (Web)"/>
    <w:basedOn w:val="a"/>
    <w:uiPriority w:val="99"/>
    <w:unhideWhenUsed/>
    <w:rsid w:val="00897AA2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af8">
    <w:name w:val="Strong"/>
    <w:basedOn w:val="a0"/>
    <w:uiPriority w:val="22"/>
    <w:qFormat/>
    <w:rsid w:val="00814A80"/>
    <w:rPr>
      <w:b/>
      <w:bCs/>
    </w:rPr>
  </w:style>
  <w:style w:type="paragraph" w:styleId="af9">
    <w:name w:val="No Spacing"/>
    <w:uiPriority w:val="1"/>
    <w:qFormat/>
    <w:rsid w:val="006A5E38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file:///C:\Users\u987\AppData\Local\Microsoft\Windows\INetCache\Content.MSO\4867AE6D.xls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i.org.il/publications/regularpublications/statistic_bulletin/bulletin2024/" TargetMode="External"/><Relationship Id="rId1" Type="http://schemas.openxmlformats.org/officeDocument/2006/relationships/hyperlink" Target="https://www.boi.org.il/publications/regularpublications/statistic_bulletin/bulletin2024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326D-6532-4752-BDAD-116880A8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905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2026-05-04T08:22:00Z</dcterms:created>
  <dcterms:modified xsi:type="dcterms:W3CDTF">2026-05-04T08:35:00Z</dcterms:modified>
</cp:coreProperties>
</file>