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6752" w:rsidRPr="00D06752" w:rsidRDefault="00D06752" w:rsidP="00E06FD8">
      <w:pPr>
        <w:autoSpaceDE w:val="0"/>
        <w:autoSpaceDN w:val="0"/>
        <w:adjustRightInd w:val="0"/>
        <w:spacing w:after="0" w:line="360" w:lineRule="auto"/>
        <w:jc w:val="center"/>
        <w:rPr>
          <w:rFonts w:cstheme="minorHAnsi"/>
          <w:sz w:val="24"/>
          <w:szCs w:val="24"/>
          <w:rtl/>
        </w:rPr>
      </w:pPr>
    </w:p>
    <w:tbl>
      <w:tblPr>
        <w:tblStyle w:val="a9"/>
        <w:tblpPr w:leftFromText="180" w:rightFromText="180" w:vertAnchor="page" w:horzAnchor="margin" w:tblpY="950"/>
        <w:bidiVisual/>
        <w:tblW w:w="0" w:type="auto"/>
        <w:tblLook w:val="04A0" w:firstRow="1" w:lastRow="0" w:firstColumn="1" w:lastColumn="0" w:noHBand="0" w:noVBand="1"/>
      </w:tblPr>
      <w:tblGrid>
        <w:gridCol w:w="2733"/>
        <w:gridCol w:w="2831"/>
        <w:gridCol w:w="2742"/>
      </w:tblGrid>
      <w:tr w:rsidR="00D06752" w:rsidRPr="00D06752" w:rsidTr="003E4CA2">
        <w:tc>
          <w:tcPr>
            <w:tcW w:w="3005" w:type="dxa"/>
          </w:tcPr>
          <w:p w:rsidR="00D06752" w:rsidRPr="00D06752" w:rsidRDefault="00D06752" w:rsidP="003E4CA2">
            <w:pPr>
              <w:spacing w:after="120" w:line="360" w:lineRule="auto"/>
              <w:rPr>
                <w:rFonts w:cstheme="minorHAnsi"/>
                <w:b/>
                <w:bCs/>
                <w:sz w:val="24"/>
                <w:szCs w:val="24"/>
                <w:rtl/>
              </w:rPr>
            </w:pPr>
            <w:r w:rsidRPr="00D06752">
              <w:rPr>
                <w:rFonts w:cstheme="minorHAnsi"/>
                <w:b/>
                <w:bCs/>
                <w:sz w:val="24"/>
                <w:szCs w:val="24"/>
                <w:rtl/>
              </w:rPr>
              <w:t>בנק ישראל</w:t>
            </w:r>
          </w:p>
          <w:p w:rsidR="00D06752" w:rsidRPr="00D06752" w:rsidRDefault="00D06752" w:rsidP="003E4CA2">
            <w:pPr>
              <w:spacing w:after="120" w:line="360" w:lineRule="auto"/>
              <w:rPr>
                <w:rFonts w:cstheme="minorHAnsi"/>
                <w:sz w:val="24"/>
                <w:szCs w:val="24"/>
                <w:rtl/>
              </w:rPr>
            </w:pPr>
            <w:r w:rsidRPr="00D06752">
              <w:rPr>
                <w:rFonts w:cstheme="minorHAnsi"/>
                <w:sz w:val="24"/>
                <w:szCs w:val="24"/>
                <w:rtl/>
              </w:rPr>
              <w:t>דוברות והסברה כללית</w:t>
            </w:r>
          </w:p>
        </w:tc>
        <w:tc>
          <w:tcPr>
            <w:tcW w:w="3005" w:type="dxa"/>
          </w:tcPr>
          <w:p w:rsidR="00D06752" w:rsidRPr="00D06752" w:rsidRDefault="00D06752" w:rsidP="003E4CA2">
            <w:pPr>
              <w:spacing w:after="120" w:line="360" w:lineRule="auto"/>
              <w:jc w:val="center"/>
              <w:rPr>
                <w:rFonts w:cstheme="minorHAnsi"/>
                <w:sz w:val="24"/>
                <w:szCs w:val="24"/>
                <w:rtl/>
              </w:rPr>
            </w:pPr>
            <w:r w:rsidRPr="00D06752">
              <w:rPr>
                <w:rFonts w:cstheme="minorHAnsi"/>
                <w:noProof/>
                <w:sz w:val="24"/>
                <w:szCs w:val="24"/>
              </w:rPr>
              <w:drawing>
                <wp:inline distT="0" distB="0" distL="0" distR="0" wp14:anchorId="3BE69711" wp14:editId="183E4BA9">
                  <wp:extent cx="914400" cy="914400"/>
                  <wp:effectExtent l="0" t="0" r="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inline>
              </w:drawing>
            </w:r>
          </w:p>
        </w:tc>
        <w:tc>
          <w:tcPr>
            <w:tcW w:w="3006" w:type="dxa"/>
          </w:tcPr>
          <w:p w:rsidR="00D06752" w:rsidRPr="00D06752" w:rsidRDefault="00D06752" w:rsidP="003E4CA2">
            <w:pPr>
              <w:spacing w:after="120" w:line="360" w:lineRule="auto"/>
              <w:jc w:val="right"/>
              <w:rPr>
                <w:rFonts w:cstheme="minorHAnsi"/>
                <w:sz w:val="24"/>
                <w:szCs w:val="24"/>
                <w:rtl/>
              </w:rPr>
            </w:pPr>
            <w:r w:rsidRPr="00D06752">
              <w:rPr>
                <w:rFonts w:cstheme="minorHAnsi"/>
                <w:sz w:val="24"/>
                <w:szCs w:val="24"/>
                <w:rtl/>
              </w:rPr>
              <w:t xml:space="preserve">ירושלים, </w:t>
            </w:r>
            <w:r w:rsidRPr="00D06752">
              <w:rPr>
                <w:rFonts w:cstheme="minorHAnsi"/>
                <w:sz w:val="24"/>
                <w:szCs w:val="24"/>
                <w:rtl/>
              </w:rPr>
              <w:fldChar w:fldCharType="begin"/>
            </w:r>
            <w:r w:rsidRPr="00D06752">
              <w:rPr>
                <w:rFonts w:cstheme="minorHAnsi"/>
                <w:sz w:val="24"/>
                <w:szCs w:val="24"/>
              </w:rPr>
              <w:instrText>DATE</w:instrText>
            </w:r>
            <w:r w:rsidRPr="00D06752">
              <w:rPr>
                <w:rFonts w:cstheme="minorHAnsi"/>
                <w:sz w:val="24"/>
                <w:szCs w:val="24"/>
                <w:rtl/>
              </w:rPr>
              <w:instrText xml:space="preserve"> \@ "</w:instrText>
            </w:r>
            <w:r w:rsidRPr="00D06752">
              <w:rPr>
                <w:rFonts w:cstheme="minorHAnsi"/>
                <w:sz w:val="24"/>
                <w:szCs w:val="24"/>
              </w:rPr>
              <w:instrText>d MMMM, yyyy" \h</w:instrText>
            </w:r>
            <w:r w:rsidRPr="00D06752">
              <w:rPr>
                <w:rFonts w:cstheme="minorHAnsi"/>
                <w:sz w:val="24"/>
                <w:szCs w:val="24"/>
                <w:rtl/>
              </w:rPr>
              <w:fldChar w:fldCharType="separate"/>
            </w:r>
            <w:r w:rsidRPr="00D06752">
              <w:rPr>
                <w:rFonts w:cstheme="minorHAnsi"/>
                <w:noProof/>
                <w:sz w:val="24"/>
                <w:szCs w:val="24"/>
                <w:rtl/>
              </w:rPr>
              <w:t xml:space="preserve">‏ט"ו </w:t>
            </w:r>
            <w:r w:rsidRPr="00D06752">
              <w:rPr>
                <w:rFonts w:cstheme="minorHAnsi"/>
                <w:noProof/>
                <w:sz w:val="24"/>
                <w:szCs w:val="24"/>
                <w:rtl/>
              </w:rPr>
              <w:t>ב</w:t>
            </w:r>
            <w:r w:rsidRPr="00D06752">
              <w:rPr>
                <w:rFonts w:cstheme="minorHAnsi"/>
                <w:noProof/>
                <w:sz w:val="24"/>
                <w:szCs w:val="24"/>
                <w:rtl/>
              </w:rPr>
              <w:t>אב, תשפ"ו</w:t>
            </w:r>
            <w:r w:rsidRPr="00D06752">
              <w:rPr>
                <w:rFonts w:cstheme="minorHAnsi"/>
                <w:sz w:val="24"/>
                <w:szCs w:val="24"/>
                <w:rtl/>
              </w:rPr>
              <w:fldChar w:fldCharType="end"/>
            </w:r>
          </w:p>
          <w:p w:rsidR="00D06752" w:rsidRPr="00D06752" w:rsidRDefault="00D06752" w:rsidP="003E4CA2">
            <w:pPr>
              <w:spacing w:after="120" w:line="360" w:lineRule="auto"/>
              <w:jc w:val="right"/>
              <w:rPr>
                <w:rFonts w:cstheme="minorHAnsi"/>
                <w:sz w:val="24"/>
                <w:szCs w:val="24"/>
                <w:rtl/>
              </w:rPr>
            </w:pPr>
            <w:r w:rsidRPr="00D06752">
              <w:rPr>
                <w:rFonts w:cstheme="minorHAnsi"/>
                <w:sz w:val="24"/>
                <w:szCs w:val="24"/>
                <w:rtl/>
              </w:rPr>
              <w:fldChar w:fldCharType="begin"/>
            </w:r>
            <w:r w:rsidRPr="00D06752">
              <w:rPr>
                <w:rFonts w:cstheme="minorHAnsi"/>
                <w:sz w:val="24"/>
                <w:szCs w:val="24"/>
              </w:rPr>
              <w:instrText>DATE</w:instrText>
            </w:r>
            <w:r w:rsidRPr="00D06752">
              <w:rPr>
                <w:rFonts w:cstheme="minorHAnsi"/>
                <w:sz w:val="24"/>
                <w:szCs w:val="24"/>
                <w:rtl/>
              </w:rPr>
              <w:instrText xml:space="preserve"> \@ "</w:instrText>
            </w:r>
            <w:r w:rsidRPr="00D06752">
              <w:rPr>
                <w:rFonts w:cstheme="minorHAnsi"/>
                <w:sz w:val="24"/>
                <w:szCs w:val="24"/>
              </w:rPr>
              <w:instrText>d MMMM, yyyy</w:instrText>
            </w:r>
            <w:r w:rsidRPr="00D06752">
              <w:rPr>
                <w:rFonts w:cstheme="minorHAnsi"/>
                <w:sz w:val="24"/>
                <w:szCs w:val="24"/>
                <w:rtl/>
              </w:rPr>
              <w:instrText xml:space="preserve">" </w:instrText>
            </w:r>
            <w:r w:rsidRPr="00D06752">
              <w:rPr>
                <w:rFonts w:cstheme="minorHAnsi"/>
                <w:sz w:val="24"/>
                <w:szCs w:val="24"/>
                <w:rtl/>
              </w:rPr>
              <w:fldChar w:fldCharType="separate"/>
            </w:r>
            <w:r w:rsidRPr="00D06752">
              <w:rPr>
                <w:rFonts w:cstheme="minorHAnsi"/>
                <w:noProof/>
                <w:sz w:val="24"/>
                <w:szCs w:val="24"/>
                <w:rtl/>
              </w:rPr>
              <w:t>‏29 יולי, 2026</w:t>
            </w:r>
            <w:r w:rsidRPr="00D06752">
              <w:rPr>
                <w:rFonts w:cstheme="minorHAnsi"/>
                <w:sz w:val="24"/>
                <w:szCs w:val="24"/>
                <w:rtl/>
              </w:rPr>
              <w:fldChar w:fldCharType="end"/>
            </w:r>
          </w:p>
        </w:tc>
      </w:tr>
    </w:tbl>
    <w:p w:rsidR="00D06752" w:rsidRPr="00D06752" w:rsidRDefault="00D06752" w:rsidP="00D06752">
      <w:pPr>
        <w:rPr>
          <w:rFonts w:cstheme="minorHAnsi"/>
          <w:sz w:val="24"/>
          <w:szCs w:val="24"/>
          <w:rtl/>
        </w:rPr>
      </w:pPr>
      <w:r w:rsidRPr="00D06752">
        <w:rPr>
          <w:rFonts w:cstheme="minorHAnsi"/>
          <w:sz w:val="24"/>
          <w:szCs w:val="24"/>
          <w:rtl/>
        </w:rPr>
        <w:t>הודעה לעיתונות:</w:t>
      </w:r>
      <w:r w:rsidRPr="00D06752">
        <w:rPr>
          <w:rFonts w:cstheme="minorHAnsi"/>
          <w:sz w:val="24"/>
          <w:szCs w:val="24"/>
          <w:rtl/>
        </w:rPr>
        <w:t xml:space="preserve"> </w:t>
      </w:r>
    </w:p>
    <w:p w:rsidR="00220F4C" w:rsidRDefault="00FA1734" w:rsidP="00D06752">
      <w:pPr>
        <w:jc w:val="center"/>
        <w:rPr>
          <w:rFonts w:cstheme="minorHAnsi"/>
          <w:b/>
          <w:bCs/>
          <w:sz w:val="28"/>
          <w:szCs w:val="28"/>
          <w:rtl/>
        </w:rPr>
      </w:pPr>
      <w:r w:rsidRPr="00D06752">
        <w:rPr>
          <w:rFonts w:cstheme="minorHAnsi"/>
          <w:b/>
          <w:bCs/>
          <w:sz w:val="28"/>
          <w:szCs w:val="28"/>
          <w:rtl/>
        </w:rPr>
        <w:t>מחקר חדש של בנק ישראל:</w:t>
      </w:r>
      <w:r w:rsidR="00D06752" w:rsidRPr="00D06752">
        <w:rPr>
          <w:rFonts w:cstheme="minorHAnsi"/>
          <w:b/>
          <w:bCs/>
          <w:sz w:val="28"/>
          <w:szCs w:val="28"/>
          <w:rtl/>
        </w:rPr>
        <w:t xml:space="preserve"> "</w:t>
      </w:r>
      <w:r w:rsidR="00220F4C" w:rsidRPr="00D06752">
        <w:rPr>
          <w:rFonts w:cstheme="minorHAnsi"/>
          <w:b/>
          <w:bCs/>
          <w:sz w:val="28"/>
          <w:szCs w:val="28"/>
          <w:rtl/>
        </w:rPr>
        <w:t xml:space="preserve">רפורמה בחדלות פירעון </w:t>
      </w:r>
      <w:r w:rsidR="00AC04FC" w:rsidRPr="00D06752">
        <w:rPr>
          <w:rFonts w:cstheme="minorHAnsi"/>
          <w:b/>
          <w:bCs/>
          <w:sz w:val="28"/>
          <w:szCs w:val="28"/>
          <w:rtl/>
        </w:rPr>
        <w:t xml:space="preserve">יחידים </w:t>
      </w:r>
      <w:r w:rsidR="00220F4C" w:rsidRPr="00D06752">
        <w:rPr>
          <w:rFonts w:cstheme="minorHAnsi"/>
          <w:b/>
          <w:bCs/>
          <w:sz w:val="28"/>
          <w:szCs w:val="28"/>
          <w:rtl/>
        </w:rPr>
        <w:t>ושווקי אשראי: עדויות בין-לאומיות על התנהגות הגשת בקשות והקצבת אשראי</w:t>
      </w:r>
      <w:r w:rsidR="00220F4C" w:rsidRPr="00D06752">
        <w:rPr>
          <w:rFonts w:cstheme="minorHAnsi"/>
          <w:b/>
          <w:bCs/>
          <w:sz w:val="28"/>
          <w:szCs w:val="28"/>
        </w:rPr>
        <w:t>"</w:t>
      </w:r>
    </w:p>
    <w:p w:rsidR="00D06752" w:rsidRPr="00D06752" w:rsidRDefault="00D06752" w:rsidP="00D06752"/>
    <w:p w:rsidR="00752252" w:rsidRPr="00752252" w:rsidRDefault="00752252" w:rsidP="00752252">
      <w:pPr>
        <w:numPr>
          <w:ilvl w:val="0"/>
          <w:numId w:val="2"/>
        </w:numPr>
        <w:spacing w:after="0" w:line="360" w:lineRule="auto"/>
        <w:jc w:val="both"/>
        <w:rPr>
          <w:rFonts w:eastAsia="Times New Roman" w:cstheme="minorHAnsi"/>
          <w:sz w:val="24"/>
          <w:szCs w:val="24"/>
          <w:rtl/>
        </w:rPr>
      </w:pPr>
      <w:r w:rsidRPr="00752252">
        <w:rPr>
          <w:rFonts w:eastAsia="Times New Roman" w:cstheme="minorHAnsi" w:hint="cs"/>
          <w:sz w:val="24"/>
          <w:szCs w:val="24"/>
          <w:rtl/>
        </w:rPr>
        <w:t xml:space="preserve">המחקר מצא כי </w:t>
      </w:r>
      <w:r w:rsidRPr="00752252">
        <w:rPr>
          <w:rFonts w:eastAsia="Times New Roman" w:cstheme="minorHAnsi"/>
          <w:sz w:val="24"/>
          <w:szCs w:val="24"/>
          <w:rtl/>
        </w:rPr>
        <w:t>ה</w:t>
      </w:r>
      <w:r w:rsidRPr="00752252">
        <w:rPr>
          <w:rFonts w:eastAsia="Times New Roman" w:cstheme="minorHAnsi" w:hint="cs"/>
          <w:sz w:val="24"/>
          <w:szCs w:val="24"/>
          <w:rtl/>
        </w:rPr>
        <w:t>ה</w:t>
      </w:r>
      <w:r w:rsidRPr="00752252">
        <w:rPr>
          <w:rFonts w:eastAsia="Times New Roman" w:cstheme="minorHAnsi"/>
          <w:sz w:val="24"/>
          <w:szCs w:val="24"/>
          <w:rtl/>
        </w:rPr>
        <w:t>שפעה</w:t>
      </w:r>
      <w:r w:rsidRPr="00752252">
        <w:rPr>
          <w:rFonts w:eastAsia="Times New Roman" w:cstheme="minorHAnsi" w:hint="cs"/>
          <w:sz w:val="24"/>
          <w:szCs w:val="24"/>
          <w:rtl/>
        </w:rPr>
        <w:t xml:space="preserve"> </w:t>
      </w:r>
      <w:r w:rsidRPr="00752252">
        <w:rPr>
          <w:rFonts w:eastAsia="Times New Roman" w:cstheme="minorHAnsi" w:hint="eastAsia"/>
          <w:sz w:val="24"/>
          <w:szCs w:val="24"/>
          <w:rtl/>
        </w:rPr>
        <w:t>של</w:t>
      </w:r>
      <w:r w:rsidRPr="00752252">
        <w:rPr>
          <w:rFonts w:eastAsia="Times New Roman" w:cstheme="minorHAnsi"/>
          <w:sz w:val="24"/>
          <w:szCs w:val="24"/>
          <w:rtl/>
        </w:rPr>
        <w:t xml:space="preserve"> רפורמות שנעשו בחקיקת חדלות פירעון </w:t>
      </w:r>
      <w:r w:rsidRPr="00752252">
        <w:rPr>
          <w:rFonts w:eastAsia="Times New Roman" w:cstheme="minorHAnsi" w:hint="cs"/>
          <w:sz w:val="24"/>
          <w:szCs w:val="24"/>
          <w:rtl/>
        </w:rPr>
        <w:t>ו</w:t>
      </w:r>
      <w:r w:rsidRPr="00752252">
        <w:rPr>
          <w:rFonts w:eastAsia="Times New Roman" w:cstheme="minorHAnsi"/>
          <w:sz w:val="24"/>
          <w:szCs w:val="24"/>
          <w:rtl/>
        </w:rPr>
        <w:t>הקלו על ההליך מנקודת מבטם של החייבים</w:t>
      </w:r>
      <w:r w:rsidRPr="00752252">
        <w:rPr>
          <w:rFonts w:eastAsia="Times New Roman" w:cstheme="minorHAnsi" w:hint="cs"/>
          <w:sz w:val="24"/>
          <w:szCs w:val="24"/>
          <w:rtl/>
        </w:rPr>
        <w:t xml:space="preserve"> היא </w:t>
      </w:r>
      <w:r w:rsidRPr="00752252">
        <w:rPr>
          <w:rFonts w:eastAsia="Times New Roman" w:cstheme="minorHAnsi"/>
          <w:sz w:val="24"/>
          <w:szCs w:val="24"/>
          <w:rtl/>
        </w:rPr>
        <w:t xml:space="preserve">זמנית </w:t>
      </w:r>
      <w:r w:rsidRPr="00752252">
        <w:rPr>
          <w:rFonts w:eastAsia="Times New Roman" w:cstheme="minorHAnsi" w:hint="cs"/>
          <w:sz w:val="24"/>
          <w:szCs w:val="24"/>
          <w:rtl/>
        </w:rPr>
        <w:t>בלבד</w:t>
      </w:r>
      <w:r w:rsidRPr="00752252">
        <w:rPr>
          <w:rFonts w:eastAsia="Times New Roman" w:cstheme="minorHAnsi"/>
          <w:sz w:val="24"/>
          <w:szCs w:val="24"/>
          <w:rtl/>
        </w:rPr>
        <w:t xml:space="preserve">: </w:t>
      </w:r>
      <w:r w:rsidRPr="00752252">
        <w:rPr>
          <w:rFonts w:eastAsia="Times New Roman" w:cstheme="minorHAnsi" w:hint="cs"/>
          <w:sz w:val="24"/>
          <w:szCs w:val="24"/>
          <w:rtl/>
        </w:rPr>
        <w:t>ה</w:t>
      </w:r>
      <w:r w:rsidRPr="00752252">
        <w:rPr>
          <w:rFonts w:eastAsia="Times New Roman" w:cstheme="minorHAnsi"/>
          <w:sz w:val="24"/>
          <w:szCs w:val="24"/>
          <w:rtl/>
        </w:rPr>
        <w:t>רפורמות מביאות לעלייה חדה ב</w:t>
      </w:r>
      <w:r w:rsidRPr="00752252">
        <w:rPr>
          <w:rFonts w:eastAsia="Times New Roman" w:cstheme="minorHAnsi" w:hint="cs"/>
          <w:sz w:val="24"/>
          <w:szCs w:val="24"/>
          <w:rtl/>
        </w:rPr>
        <w:t>מספר ה</w:t>
      </w:r>
      <w:r w:rsidRPr="00752252">
        <w:rPr>
          <w:rFonts w:eastAsia="Times New Roman" w:cstheme="minorHAnsi"/>
          <w:sz w:val="24"/>
          <w:szCs w:val="24"/>
          <w:rtl/>
        </w:rPr>
        <w:t xml:space="preserve">בקשות </w:t>
      </w:r>
      <w:r w:rsidRPr="00752252">
        <w:rPr>
          <w:rFonts w:eastAsia="Times New Roman" w:cstheme="minorHAnsi" w:hint="cs"/>
          <w:sz w:val="24"/>
          <w:szCs w:val="24"/>
          <w:rtl/>
        </w:rPr>
        <w:t>ל</w:t>
      </w:r>
      <w:r w:rsidRPr="00752252">
        <w:rPr>
          <w:rFonts w:eastAsia="Times New Roman" w:cstheme="minorHAnsi"/>
          <w:sz w:val="24"/>
          <w:szCs w:val="24"/>
          <w:rtl/>
        </w:rPr>
        <w:t>חדלות פירעון</w:t>
      </w:r>
      <w:r w:rsidRPr="00752252">
        <w:rPr>
          <w:rFonts w:eastAsia="Times New Roman" w:cstheme="minorHAnsi" w:hint="cs"/>
          <w:sz w:val="24"/>
          <w:szCs w:val="24"/>
          <w:rtl/>
        </w:rPr>
        <w:t xml:space="preserve">, </w:t>
      </w:r>
      <w:r w:rsidRPr="00752252">
        <w:rPr>
          <w:rFonts w:eastAsia="Times New Roman" w:cstheme="minorHAnsi"/>
          <w:sz w:val="24"/>
          <w:szCs w:val="24"/>
          <w:rtl/>
        </w:rPr>
        <w:t>שמגיעה לשיא לאחר 3</w:t>
      </w:r>
      <w:r w:rsidRPr="00752252">
        <w:rPr>
          <w:rFonts w:eastAsia="Times New Roman" w:cstheme="minorHAnsi" w:hint="cs"/>
          <w:sz w:val="24"/>
          <w:szCs w:val="24"/>
          <w:rtl/>
        </w:rPr>
        <w:t>–</w:t>
      </w:r>
      <w:r w:rsidRPr="00752252">
        <w:rPr>
          <w:rFonts w:eastAsia="Times New Roman" w:cstheme="minorHAnsi"/>
          <w:sz w:val="24"/>
          <w:szCs w:val="24"/>
          <w:rtl/>
        </w:rPr>
        <w:t xml:space="preserve">4 שנים, אך </w:t>
      </w:r>
      <w:r w:rsidRPr="00752252">
        <w:rPr>
          <w:rFonts w:eastAsia="Times New Roman" w:cstheme="minorHAnsi" w:hint="cs"/>
          <w:sz w:val="24"/>
          <w:szCs w:val="24"/>
          <w:rtl/>
        </w:rPr>
        <w:t xml:space="preserve">זו </w:t>
      </w:r>
      <w:r w:rsidRPr="00752252">
        <w:rPr>
          <w:rFonts w:eastAsia="Times New Roman" w:cstheme="minorHAnsi"/>
          <w:sz w:val="24"/>
          <w:szCs w:val="24"/>
          <w:rtl/>
        </w:rPr>
        <w:t xml:space="preserve">דועכת </w:t>
      </w:r>
      <w:r w:rsidRPr="00752252">
        <w:rPr>
          <w:rFonts w:eastAsia="Times New Roman" w:cstheme="minorHAnsi" w:hint="cs"/>
          <w:sz w:val="24"/>
          <w:szCs w:val="24"/>
          <w:rtl/>
        </w:rPr>
        <w:t>לאחר חמש</w:t>
      </w:r>
      <w:r w:rsidRPr="00752252">
        <w:rPr>
          <w:rFonts w:eastAsia="Times New Roman" w:cstheme="minorHAnsi"/>
          <w:sz w:val="24"/>
          <w:szCs w:val="24"/>
          <w:rtl/>
        </w:rPr>
        <w:t xml:space="preserve"> שנים.</w:t>
      </w:r>
    </w:p>
    <w:p w:rsidR="00752252" w:rsidRPr="00752252" w:rsidRDefault="00752252" w:rsidP="00752252">
      <w:pPr>
        <w:numPr>
          <w:ilvl w:val="0"/>
          <w:numId w:val="2"/>
        </w:numPr>
        <w:spacing w:after="0" w:line="360" w:lineRule="auto"/>
        <w:jc w:val="both"/>
        <w:rPr>
          <w:rFonts w:eastAsia="Times New Roman" w:cstheme="minorHAnsi"/>
          <w:sz w:val="24"/>
          <w:szCs w:val="24"/>
        </w:rPr>
      </w:pPr>
      <w:r w:rsidRPr="00752252">
        <w:rPr>
          <w:rFonts w:eastAsia="Times New Roman" w:cstheme="minorHAnsi" w:hint="cs"/>
          <w:sz w:val="24"/>
          <w:szCs w:val="24"/>
          <w:rtl/>
        </w:rPr>
        <w:t>השפעת הרפורמות על האטת</w:t>
      </w:r>
      <w:r w:rsidRPr="00752252">
        <w:rPr>
          <w:rFonts w:eastAsia="Times New Roman" w:cstheme="minorHAnsi"/>
          <w:sz w:val="24"/>
          <w:szCs w:val="24"/>
          <w:rtl/>
        </w:rPr>
        <w:t xml:space="preserve"> קצב גידול האשראי </w:t>
      </w:r>
      <w:r w:rsidRPr="00752252">
        <w:rPr>
          <w:rFonts w:eastAsia="Times New Roman" w:cstheme="minorHAnsi" w:hint="cs"/>
          <w:sz w:val="24"/>
          <w:szCs w:val="24"/>
          <w:rtl/>
        </w:rPr>
        <w:t xml:space="preserve">היא </w:t>
      </w:r>
      <w:r w:rsidRPr="00752252">
        <w:rPr>
          <w:rFonts w:eastAsia="Times New Roman" w:cstheme="minorHAnsi"/>
          <w:sz w:val="24"/>
          <w:szCs w:val="24"/>
          <w:rtl/>
        </w:rPr>
        <w:t>ממוש</w:t>
      </w:r>
      <w:r w:rsidRPr="00752252">
        <w:rPr>
          <w:rFonts w:eastAsia="Times New Roman" w:cstheme="minorHAnsi" w:hint="cs"/>
          <w:sz w:val="24"/>
          <w:szCs w:val="24"/>
          <w:rtl/>
        </w:rPr>
        <w:t>כת</w:t>
      </w:r>
      <w:r w:rsidRPr="00752252">
        <w:rPr>
          <w:rFonts w:eastAsia="Times New Roman" w:cstheme="minorHAnsi"/>
          <w:sz w:val="24"/>
          <w:szCs w:val="24"/>
          <w:rtl/>
        </w:rPr>
        <w:t xml:space="preserve">: המלווים מקטינים את קצב הגידול </w:t>
      </w:r>
      <w:r w:rsidRPr="00752252">
        <w:rPr>
          <w:rFonts w:eastAsia="Times New Roman" w:cstheme="minorHAnsi" w:hint="cs"/>
          <w:sz w:val="24"/>
          <w:szCs w:val="24"/>
          <w:rtl/>
        </w:rPr>
        <w:t xml:space="preserve">של </w:t>
      </w:r>
      <w:r w:rsidRPr="00752252">
        <w:rPr>
          <w:rFonts w:eastAsia="Times New Roman" w:cstheme="minorHAnsi"/>
          <w:sz w:val="24"/>
          <w:szCs w:val="24"/>
          <w:rtl/>
        </w:rPr>
        <w:t>היצע האשראי הצרכני כבר בעת החקיקה ולפני כניסת הרפורמה לתוקף</w:t>
      </w:r>
      <w:r w:rsidRPr="00752252">
        <w:rPr>
          <w:rFonts w:eastAsia="Times New Roman" w:cstheme="minorHAnsi" w:hint="cs"/>
          <w:sz w:val="24"/>
          <w:szCs w:val="24"/>
          <w:rtl/>
        </w:rPr>
        <w:t>.</w:t>
      </w:r>
      <w:r w:rsidRPr="00752252">
        <w:rPr>
          <w:rFonts w:eastAsia="Times New Roman" w:cstheme="minorHAnsi"/>
          <w:sz w:val="24"/>
          <w:szCs w:val="24"/>
          <w:rtl/>
        </w:rPr>
        <w:t xml:space="preserve"> הצמצום מגיע לשיא </w:t>
      </w:r>
      <w:r w:rsidRPr="00752252">
        <w:rPr>
          <w:rFonts w:eastAsia="Times New Roman" w:cstheme="minorHAnsi" w:hint="cs"/>
          <w:sz w:val="24"/>
          <w:szCs w:val="24"/>
          <w:rtl/>
        </w:rPr>
        <w:t>ב</w:t>
      </w:r>
      <w:r w:rsidRPr="00752252">
        <w:rPr>
          <w:rFonts w:eastAsia="Times New Roman" w:cstheme="minorHAnsi"/>
          <w:sz w:val="24"/>
          <w:szCs w:val="24"/>
          <w:rtl/>
        </w:rPr>
        <w:t xml:space="preserve">תוך שנתיים ונמשך </w:t>
      </w:r>
      <w:r w:rsidRPr="00752252">
        <w:rPr>
          <w:rFonts w:eastAsia="Times New Roman" w:cstheme="minorHAnsi" w:hint="cs"/>
          <w:sz w:val="24"/>
          <w:szCs w:val="24"/>
          <w:rtl/>
        </w:rPr>
        <w:t>גם לאחר חמש שנים</w:t>
      </w:r>
      <w:r w:rsidRPr="00752252">
        <w:rPr>
          <w:rFonts w:eastAsia="Times New Roman" w:cstheme="minorHAnsi"/>
          <w:sz w:val="24"/>
          <w:szCs w:val="24"/>
          <w:rtl/>
        </w:rPr>
        <w:t>.</w:t>
      </w:r>
    </w:p>
    <w:p w:rsidR="00752252" w:rsidRPr="00752252" w:rsidRDefault="00752252" w:rsidP="00752252">
      <w:pPr>
        <w:numPr>
          <w:ilvl w:val="0"/>
          <w:numId w:val="2"/>
        </w:numPr>
        <w:spacing w:after="0" w:line="360" w:lineRule="auto"/>
        <w:jc w:val="both"/>
        <w:rPr>
          <w:rFonts w:eastAsia="Times New Roman" w:cstheme="minorHAnsi"/>
          <w:sz w:val="24"/>
          <w:szCs w:val="24"/>
        </w:rPr>
      </w:pPr>
      <w:r w:rsidRPr="00752252">
        <w:rPr>
          <w:rFonts w:eastAsia="Times New Roman" w:cstheme="minorHAnsi"/>
          <w:sz w:val="24"/>
          <w:szCs w:val="24"/>
          <w:rtl/>
        </w:rPr>
        <w:t>הממצאים מצביעים על דילמ</w:t>
      </w:r>
      <w:r w:rsidRPr="00752252">
        <w:rPr>
          <w:rFonts w:eastAsia="Times New Roman" w:cstheme="minorHAnsi" w:hint="cs"/>
          <w:sz w:val="24"/>
          <w:szCs w:val="24"/>
          <w:rtl/>
        </w:rPr>
        <w:t>ת</w:t>
      </w:r>
      <w:r w:rsidRPr="00752252">
        <w:rPr>
          <w:rFonts w:eastAsia="Times New Roman" w:cstheme="minorHAnsi"/>
          <w:sz w:val="24"/>
          <w:szCs w:val="24"/>
          <w:rtl/>
        </w:rPr>
        <w:t xml:space="preserve"> מדיניות: חוקי</w:t>
      </w:r>
      <w:r w:rsidRPr="00752252">
        <w:rPr>
          <w:rFonts w:eastAsia="Times New Roman" w:cstheme="minorHAnsi" w:hint="cs"/>
          <w:sz w:val="24"/>
          <w:szCs w:val="24"/>
          <w:rtl/>
        </w:rPr>
        <w:t xml:space="preserve"> חדלות פירעון </w:t>
      </w:r>
      <w:r w:rsidRPr="00752252">
        <w:rPr>
          <w:rFonts w:eastAsia="Times New Roman" w:cstheme="minorHAnsi"/>
          <w:sz w:val="24"/>
          <w:szCs w:val="24"/>
          <w:rtl/>
        </w:rPr>
        <w:t xml:space="preserve">מקלים יותר מאפשרים לחייבים "התחלה חדשה" </w:t>
      </w:r>
      <w:r w:rsidRPr="00752252">
        <w:rPr>
          <w:rFonts w:eastAsia="Times New Roman" w:cstheme="minorHAnsi" w:hint="cs"/>
          <w:sz w:val="24"/>
          <w:szCs w:val="24"/>
          <w:rtl/>
        </w:rPr>
        <w:t xml:space="preserve">מהירה יותר </w:t>
      </w:r>
      <w:r w:rsidRPr="00752252">
        <w:rPr>
          <w:rFonts w:eastAsia="Times New Roman" w:cstheme="minorHAnsi"/>
          <w:sz w:val="24"/>
          <w:szCs w:val="24"/>
          <w:rtl/>
        </w:rPr>
        <w:t xml:space="preserve">אך גורמים לצמצום ממושך </w:t>
      </w:r>
      <w:r w:rsidRPr="00752252">
        <w:rPr>
          <w:rFonts w:eastAsia="Times New Roman" w:cstheme="minorHAnsi" w:hint="cs"/>
          <w:sz w:val="24"/>
          <w:szCs w:val="24"/>
          <w:rtl/>
        </w:rPr>
        <w:t>ב</w:t>
      </w:r>
      <w:r w:rsidRPr="00752252">
        <w:rPr>
          <w:rFonts w:eastAsia="Times New Roman" w:cstheme="minorHAnsi"/>
          <w:sz w:val="24"/>
          <w:szCs w:val="24"/>
          <w:rtl/>
        </w:rPr>
        <w:t>קצב הגידול ב</w:t>
      </w:r>
      <w:r w:rsidRPr="00752252">
        <w:rPr>
          <w:rFonts w:eastAsia="Times New Roman" w:cstheme="minorHAnsi" w:hint="cs"/>
          <w:sz w:val="24"/>
          <w:szCs w:val="24"/>
          <w:rtl/>
        </w:rPr>
        <w:t>א</w:t>
      </w:r>
      <w:r w:rsidRPr="00752252">
        <w:rPr>
          <w:rFonts w:eastAsia="Times New Roman" w:cstheme="minorHAnsi"/>
          <w:sz w:val="24"/>
          <w:szCs w:val="24"/>
          <w:rtl/>
        </w:rPr>
        <w:t xml:space="preserve">שראי. </w:t>
      </w:r>
    </w:p>
    <w:p w:rsidR="00752252" w:rsidRPr="00752252" w:rsidRDefault="00752252" w:rsidP="00752252">
      <w:pPr>
        <w:numPr>
          <w:ilvl w:val="0"/>
          <w:numId w:val="2"/>
        </w:numPr>
        <w:spacing w:after="0" w:line="360" w:lineRule="auto"/>
        <w:jc w:val="both"/>
        <w:rPr>
          <w:rFonts w:eastAsia="Times New Roman" w:cstheme="minorHAnsi"/>
          <w:sz w:val="24"/>
          <w:szCs w:val="24"/>
          <w:rtl/>
        </w:rPr>
      </w:pPr>
      <w:r w:rsidRPr="00752252">
        <w:rPr>
          <w:rFonts w:eastAsia="Times New Roman" w:cstheme="minorHAnsi"/>
          <w:sz w:val="24"/>
          <w:szCs w:val="24"/>
          <w:rtl/>
        </w:rPr>
        <w:t>חוק חדלות פירעון ושיקום כלכלי, שנכנס לתוקף בשנת 2019, העביר את מרכז הכובד מענישה ושעבוד נכסים לשיקום כלכלי של חייבים ולהענקת "התחלה חדשה" מהירה יותר.</w:t>
      </w:r>
    </w:p>
    <w:p w:rsidR="00752252" w:rsidRPr="00752252" w:rsidRDefault="00752252" w:rsidP="00752252">
      <w:pPr>
        <w:spacing w:after="0" w:line="360" w:lineRule="auto"/>
        <w:jc w:val="both"/>
        <w:rPr>
          <w:rFonts w:eastAsia="Times New Roman" w:cstheme="minorHAnsi"/>
          <w:sz w:val="24"/>
          <w:szCs w:val="24"/>
        </w:rPr>
      </w:pPr>
      <w:r w:rsidRPr="00752252">
        <w:rPr>
          <w:rFonts w:eastAsia="Times New Roman" w:cstheme="minorHAnsi"/>
          <w:sz w:val="24"/>
          <w:szCs w:val="24"/>
          <w:rtl/>
        </w:rPr>
        <w:t xml:space="preserve">מחקר חדש </w:t>
      </w:r>
      <w:r w:rsidRPr="00752252">
        <w:rPr>
          <w:rFonts w:eastAsia="Times New Roman" w:cstheme="minorHAnsi" w:hint="cs"/>
          <w:sz w:val="24"/>
          <w:szCs w:val="24"/>
          <w:rtl/>
        </w:rPr>
        <w:t xml:space="preserve">שערכו </w:t>
      </w:r>
      <w:r w:rsidRPr="00752252">
        <w:rPr>
          <w:rFonts w:eastAsia="Times New Roman" w:cstheme="minorHAnsi"/>
          <w:sz w:val="24"/>
          <w:szCs w:val="24"/>
          <w:rtl/>
        </w:rPr>
        <w:t xml:space="preserve">יהונתן ברזני </w:t>
      </w:r>
      <w:r w:rsidRPr="00752252">
        <w:rPr>
          <w:rFonts w:eastAsia="Times New Roman" w:cstheme="minorHAnsi" w:hint="cs"/>
          <w:sz w:val="24"/>
          <w:szCs w:val="24"/>
          <w:rtl/>
        </w:rPr>
        <w:t>ו</w:t>
      </w:r>
      <w:r w:rsidRPr="00752252">
        <w:rPr>
          <w:rFonts w:eastAsia="Times New Roman" w:cstheme="minorHAnsi"/>
          <w:sz w:val="24"/>
          <w:szCs w:val="24"/>
          <w:rtl/>
        </w:rPr>
        <w:t xml:space="preserve">ד"ר רועי שטיין מחטיבת המחקר של בנק ישראל, וד"ר </w:t>
      </w:r>
      <w:proofErr w:type="spellStart"/>
      <w:r w:rsidRPr="00752252">
        <w:rPr>
          <w:rFonts w:eastAsia="Times New Roman" w:cstheme="minorHAnsi"/>
          <w:sz w:val="24"/>
          <w:szCs w:val="24"/>
          <w:rtl/>
        </w:rPr>
        <w:t>ג'ורגי</w:t>
      </w:r>
      <w:proofErr w:type="spellEnd"/>
      <w:r w:rsidRPr="00752252">
        <w:rPr>
          <w:rFonts w:eastAsia="Times New Roman" w:cstheme="minorHAnsi"/>
          <w:sz w:val="24"/>
          <w:szCs w:val="24"/>
          <w:rtl/>
        </w:rPr>
        <w:t xml:space="preserve"> וולטר, מאוניברסיטת </w:t>
      </w:r>
      <w:proofErr w:type="spellStart"/>
      <w:r w:rsidRPr="00752252">
        <w:rPr>
          <w:rFonts w:eastAsia="Times New Roman" w:cstheme="minorHAnsi"/>
          <w:sz w:val="24"/>
          <w:szCs w:val="24"/>
          <w:rtl/>
        </w:rPr>
        <w:t>אֶטְווֹש</w:t>
      </w:r>
      <w:proofErr w:type="spellEnd"/>
      <w:r w:rsidRPr="00752252">
        <w:rPr>
          <w:rFonts w:eastAsia="Times New Roman" w:cstheme="minorHAnsi" w:hint="cs"/>
          <w:sz w:val="24"/>
          <w:szCs w:val="24"/>
          <w:rtl/>
        </w:rPr>
        <w:t xml:space="preserve"> </w:t>
      </w:r>
      <w:proofErr w:type="spellStart"/>
      <w:r w:rsidRPr="00752252">
        <w:rPr>
          <w:rFonts w:eastAsia="Times New Roman" w:cstheme="minorHAnsi"/>
          <w:sz w:val="24"/>
          <w:szCs w:val="24"/>
          <w:rtl/>
        </w:rPr>
        <w:t>לוראנד</w:t>
      </w:r>
      <w:proofErr w:type="spellEnd"/>
      <w:r w:rsidRPr="00752252">
        <w:rPr>
          <w:rFonts w:eastAsia="Times New Roman" w:cstheme="minorHAnsi"/>
          <w:sz w:val="24"/>
          <w:szCs w:val="24"/>
          <w:rtl/>
        </w:rPr>
        <w:t xml:space="preserve">, בדק את ההשפעות </w:t>
      </w:r>
      <w:r w:rsidRPr="00752252">
        <w:rPr>
          <w:rFonts w:eastAsia="Times New Roman" w:cstheme="minorHAnsi" w:hint="cs"/>
          <w:sz w:val="24"/>
          <w:szCs w:val="24"/>
          <w:rtl/>
        </w:rPr>
        <w:t xml:space="preserve">לאורך זמן </w:t>
      </w:r>
      <w:r w:rsidRPr="00752252">
        <w:rPr>
          <w:rFonts w:eastAsia="Times New Roman" w:cstheme="minorHAnsi"/>
          <w:sz w:val="24"/>
          <w:szCs w:val="24"/>
          <w:rtl/>
        </w:rPr>
        <w:t>של רפורמות בחוק לחדלות פירעון על התנהגות הלווים והמלווים ב-14 מדינות</w:t>
      </w:r>
      <w:r w:rsidRPr="00752252">
        <w:rPr>
          <w:rFonts w:eastAsia="Times New Roman" w:cstheme="minorHAnsi" w:hint="cs"/>
          <w:sz w:val="24"/>
          <w:szCs w:val="24"/>
          <w:rtl/>
        </w:rPr>
        <w:t xml:space="preserve"> באירופה, ובישראל</w:t>
      </w:r>
      <w:r w:rsidRPr="00752252">
        <w:rPr>
          <w:rFonts w:eastAsia="Times New Roman" w:cstheme="minorHAnsi"/>
          <w:sz w:val="24"/>
          <w:szCs w:val="24"/>
          <w:rtl/>
        </w:rPr>
        <w:t xml:space="preserve">. המחקר מבוסס על מדד "היד הרכה", המודד את מידת הנטייה של חקיקת חדלות הפירעון </w:t>
      </w:r>
      <w:r w:rsidRPr="00752252">
        <w:rPr>
          <w:rFonts w:eastAsia="Times New Roman" w:cstheme="minorHAnsi" w:hint="cs"/>
          <w:sz w:val="24"/>
          <w:szCs w:val="24"/>
          <w:rtl/>
        </w:rPr>
        <w:t xml:space="preserve">להקל על </w:t>
      </w:r>
      <w:r w:rsidRPr="00752252">
        <w:rPr>
          <w:rFonts w:eastAsia="Times New Roman" w:cstheme="minorHAnsi"/>
          <w:sz w:val="24"/>
          <w:szCs w:val="24"/>
          <w:rtl/>
        </w:rPr>
        <w:t>החייב באמצעות שבעה ממדים המייצגים את מאפייני ההליך</w:t>
      </w:r>
      <w:r w:rsidRPr="00752252">
        <w:rPr>
          <w:rFonts w:eastAsia="Times New Roman" w:cstheme="minorHAnsi" w:hint="cs"/>
          <w:sz w:val="24"/>
          <w:szCs w:val="24"/>
          <w:rtl/>
        </w:rPr>
        <w:t xml:space="preserve">.  הניתוח במחקר </w:t>
      </w:r>
      <w:r w:rsidRPr="00752252">
        <w:rPr>
          <w:rFonts w:eastAsia="Times New Roman" w:cstheme="minorHAnsi"/>
          <w:sz w:val="24"/>
          <w:szCs w:val="24"/>
          <w:rtl/>
        </w:rPr>
        <w:t>בחן נתונים בין השנים 2001</w:t>
      </w:r>
      <w:r w:rsidRPr="00752252">
        <w:rPr>
          <w:rFonts w:eastAsia="Times New Roman" w:cstheme="minorHAnsi" w:hint="cs"/>
          <w:sz w:val="24"/>
          <w:szCs w:val="24"/>
          <w:rtl/>
        </w:rPr>
        <w:t>–</w:t>
      </w:r>
      <w:r w:rsidRPr="00752252">
        <w:rPr>
          <w:rFonts w:eastAsia="Times New Roman" w:cstheme="minorHAnsi"/>
          <w:sz w:val="24"/>
          <w:szCs w:val="24"/>
          <w:rtl/>
        </w:rPr>
        <w:t xml:space="preserve">2020 </w:t>
      </w:r>
      <w:r w:rsidRPr="00752252">
        <w:rPr>
          <w:rFonts w:eastAsia="Times New Roman" w:cstheme="minorHAnsi" w:hint="cs"/>
          <w:sz w:val="24"/>
          <w:szCs w:val="24"/>
          <w:rtl/>
        </w:rPr>
        <w:t>ו</w:t>
      </w:r>
      <w:r w:rsidRPr="00752252">
        <w:rPr>
          <w:rFonts w:eastAsia="Times New Roman" w:cstheme="minorHAnsi"/>
          <w:sz w:val="24"/>
          <w:szCs w:val="24"/>
          <w:rtl/>
        </w:rPr>
        <w:t xml:space="preserve">מצא כי רפורמות אשר הקלו על חייבים </w:t>
      </w:r>
      <w:r w:rsidRPr="00752252">
        <w:rPr>
          <w:rFonts w:eastAsia="Times New Roman" w:cstheme="minorHAnsi" w:hint="cs"/>
          <w:sz w:val="24"/>
          <w:szCs w:val="24"/>
          <w:rtl/>
        </w:rPr>
        <w:t>ה</w:t>
      </w:r>
      <w:r w:rsidRPr="00752252">
        <w:rPr>
          <w:rFonts w:eastAsia="Times New Roman" w:cstheme="minorHAnsi"/>
          <w:sz w:val="24"/>
          <w:szCs w:val="24"/>
          <w:rtl/>
        </w:rPr>
        <w:t xml:space="preserve">ביאו לעלייה </w:t>
      </w:r>
      <w:r w:rsidRPr="00752252">
        <w:rPr>
          <w:rFonts w:eastAsia="Times New Roman" w:cstheme="minorHAnsi" w:hint="cs"/>
          <w:sz w:val="24"/>
          <w:szCs w:val="24"/>
          <w:rtl/>
        </w:rPr>
        <w:t>ניכרת</w:t>
      </w:r>
      <w:r w:rsidRPr="00752252">
        <w:rPr>
          <w:rFonts w:eastAsia="Times New Roman" w:cstheme="minorHAnsi"/>
          <w:sz w:val="24"/>
          <w:szCs w:val="24"/>
          <w:rtl/>
        </w:rPr>
        <w:t xml:space="preserve"> במספר בקשות חדלות הפירעון בטווח הקצר-בינוני, </w:t>
      </w:r>
      <w:r w:rsidRPr="00752252">
        <w:rPr>
          <w:rFonts w:eastAsia="Times New Roman" w:cstheme="minorHAnsi" w:hint="cs"/>
          <w:sz w:val="24"/>
          <w:szCs w:val="24"/>
          <w:rtl/>
        </w:rPr>
        <w:t>וכי</w:t>
      </w:r>
      <w:r w:rsidRPr="00752252">
        <w:rPr>
          <w:rFonts w:eastAsia="Times New Roman" w:cstheme="minorHAnsi"/>
          <w:sz w:val="24"/>
          <w:szCs w:val="24"/>
          <w:rtl/>
        </w:rPr>
        <w:t xml:space="preserve"> השיא </w:t>
      </w:r>
      <w:r w:rsidRPr="00752252">
        <w:rPr>
          <w:rFonts w:eastAsia="Times New Roman" w:cstheme="minorHAnsi" w:hint="cs"/>
          <w:sz w:val="24"/>
          <w:szCs w:val="24"/>
          <w:rtl/>
        </w:rPr>
        <w:t>ה</w:t>
      </w:r>
      <w:r w:rsidRPr="00752252">
        <w:rPr>
          <w:rFonts w:eastAsia="Times New Roman" w:cstheme="minorHAnsi"/>
          <w:sz w:val="24"/>
          <w:szCs w:val="24"/>
          <w:rtl/>
        </w:rPr>
        <w:t>גיע לאחר 3</w:t>
      </w:r>
      <w:r w:rsidRPr="00752252">
        <w:rPr>
          <w:rFonts w:eastAsia="Times New Roman" w:cstheme="minorHAnsi" w:hint="cs"/>
          <w:sz w:val="24"/>
          <w:szCs w:val="24"/>
          <w:rtl/>
        </w:rPr>
        <w:t>–</w:t>
      </w:r>
      <w:r w:rsidRPr="00752252">
        <w:rPr>
          <w:rFonts w:eastAsia="Times New Roman" w:cstheme="minorHAnsi"/>
          <w:sz w:val="24"/>
          <w:szCs w:val="24"/>
          <w:rtl/>
        </w:rPr>
        <w:t xml:space="preserve">4 שנים. אולם, השפעה זו </w:t>
      </w:r>
      <w:r w:rsidRPr="00752252">
        <w:rPr>
          <w:rFonts w:eastAsia="Times New Roman" w:cstheme="minorHAnsi" w:hint="cs"/>
          <w:sz w:val="24"/>
          <w:szCs w:val="24"/>
          <w:rtl/>
        </w:rPr>
        <w:t>דעכה</w:t>
      </w:r>
      <w:r w:rsidRPr="00752252">
        <w:rPr>
          <w:rFonts w:eastAsia="Times New Roman" w:cstheme="minorHAnsi"/>
          <w:sz w:val="24"/>
          <w:szCs w:val="24"/>
          <w:rtl/>
        </w:rPr>
        <w:t xml:space="preserve"> וחזר</w:t>
      </w:r>
      <w:r w:rsidRPr="00752252">
        <w:rPr>
          <w:rFonts w:eastAsia="Times New Roman" w:cstheme="minorHAnsi" w:hint="cs"/>
          <w:sz w:val="24"/>
          <w:szCs w:val="24"/>
          <w:rtl/>
        </w:rPr>
        <w:t>ה</w:t>
      </w:r>
      <w:r w:rsidRPr="00752252">
        <w:rPr>
          <w:rFonts w:eastAsia="Times New Roman" w:cstheme="minorHAnsi"/>
          <w:sz w:val="24"/>
          <w:szCs w:val="24"/>
          <w:rtl/>
        </w:rPr>
        <w:t xml:space="preserve"> ל</w:t>
      </w:r>
      <w:r w:rsidRPr="00752252">
        <w:rPr>
          <w:rFonts w:eastAsia="Times New Roman" w:cstheme="minorHAnsi" w:hint="cs"/>
          <w:sz w:val="24"/>
          <w:szCs w:val="24"/>
          <w:rtl/>
        </w:rPr>
        <w:t>רמה</w:t>
      </w:r>
      <w:r w:rsidRPr="00752252">
        <w:rPr>
          <w:rFonts w:eastAsia="Times New Roman" w:cstheme="minorHAnsi"/>
          <w:sz w:val="24"/>
          <w:szCs w:val="24"/>
          <w:rtl/>
        </w:rPr>
        <w:t xml:space="preserve"> </w:t>
      </w:r>
      <w:r w:rsidRPr="00752252">
        <w:rPr>
          <w:rFonts w:eastAsia="Times New Roman" w:cstheme="minorHAnsi" w:hint="cs"/>
          <w:sz w:val="24"/>
          <w:szCs w:val="24"/>
          <w:rtl/>
        </w:rPr>
        <w:t>טרם החקיקה כעבור 6</w:t>
      </w:r>
      <w:r w:rsidRPr="00752252">
        <w:rPr>
          <w:rFonts w:eastAsia="Times New Roman" w:cstheme="minorHAnsi" w:hint="eastAsia"/>
          <w:sz w:val="24"/>
          <w:szCs w:val="24"/>
          <w:rtl/>
        </w:rPr>
        <w:t>–</w:t>
      </w:r>
      <w:r w:rsidRPr="00752252">
        <w:rPr>
          <w:rFonts w:eastAsia="Times New Roman" w:cstheme="minorHAnsi" w:hint="cs"/>
          <w:sz w:val="24"/>
          <w:szCs w:val="24"/>
          <w:rtl/>
        </w:rPr>
        <w:t>7 שנים</w:t>
      </w:r>
      <w:r w:rsidRPr="00752252">
        <w:rPr>
          <w:rFonts w:eastAsia="Times New Roman" w:cstheme="minorHAnsi"/>
          <w:sz w:val="24"/>
          <w:szCs w:val="24"/>
          <w:rtl/>
        </w:rPr>
        <w:t xml:space="preserve">. לעומת זאת, ההשפעה על שוק האשראי </w:t>
      </w:r>
      <w:r w:rsidRPr="00752252">
        <w:rPr>
          <w:rFonts w:eastAsia="Times New Roman" w:cstheme="minorHAnsi" w:hint="cs"/>
          <w:sz w:val="24"/>
          <w:szCs w:val="24"/>
          <w:rtl/>
        </w:rPr>
        <w:t>ה</w:t>
      </w:r>
      <w:r w:rsidRPr="00752252">
        <w:rPr>
          <w:rFonts w:eastAsia="Times New Roman" w:cstheme="minorHAnsi"/>
          <w:sz w:val="24"/>
          <w:szCs w:val="24"/>
          <w:rtl/>
        </w:rPr>
        <w:t>תגל</w:t>
      </w:r>
      <w:r w:rsidRPr="00752252">
        <w:rPr>
          <w:rFonts w:eastAsia="Times New Roman" w:cstheme="minorHAnsi" w:hint="cs"/>
          <w:sz w:val="24"/>
          <w:szCs w:val="24"/>
          <w:rtl/>
        </w:rPr>
        <w:t>ת</w:t>
      </w:r>
      <w:r w:rsidRPr="00752252">
        <w:rPr>
          <w:rFonts w:eastAsia="Times New Roman" w:cstheme="minorHAnsi"/>
          <w:sz w:val="24"/>
          <w:szCs w:val="24"/>
          <w:rtl/>
        </w:rPr>
        <w:t xml:space="preserve">ה כממושכת בהרבה. נותני האשראי </w:t>
      </w:r>
      <w:r w:rsidRPr="00752252">
        <w:rPr>
          <w:rFonts w:eastAsia="Times New Roman" w:cstheme="minorHAnsi" w:hint="cs"/>
          <w:sz w:val="24"/>
          <w:szCs w:val="24"/>
          <w:rtl/>
        </w:rPr>
        <w:t>הפחיתו</w:t>
      </w:r>
      <w:r w:rsidRPr="00752252">
        <w:rPr>
          <w:rFonts w:eastAsia="Times New Roman" w:cstheme="minorHAnsi"/>
          <w:sz w:val="24"/>
          <w:szCs w:val="24"/>
          <w:rtl/>
        </w:rPr>
        <w:t xml:space="preserve"> את קצב הגידול של האשראי הצרכני</w:t>
      </w:r>
      <w:r w:rsidRPr="00752252">
        <w:rPr>
          <w:rFonts w:eastAsia="Times New Roman" w:cstheme="minorHAnsi" w:hint="cs"/>
          <w:sz w:val="24"/>
          <w:szCs w:val="24"/>
          <w:rtl/>
        </w:rPr>
        <w:t>,</w:t>
      </w:r>
      <w:r w:rsidRPr="00752252">
        <w:rPr>
          <w:rFonts w:eastAsia="Times New Roman" w:cstheme="minorHAnsi"/>
          <w:sz w:val="24"/>
          <w:szCs w:val="24"/>
          <w:rtl/>
        </w:rPr>
        <w:t xml:space="preserve"> </w:t>
      </w:r>
      <w:r w:rsidRPr="00752252">
        <w:rPr>
          <w:rFonts w:eastAsia="Times New Roman" w:cstheme="minorHAnsi" w:hint="cs"/>
          <w:sz w:val="24"/>
          <w:szCs w:val="24"/>
          <w:rtl/>
        </w:rPr>
        <w:t>הפחתה שה</w:t>
      </w:r>
      <w:r w:rsidRPr="00752252">
        <w:rPr>
          <w:rFonts w:eastAsia="Times New Roman" w:cstheme="minorHAnsi"/>
          <w:sz w:val="24"/>
          <w:szCs w:val="24"/>
          <w:rtl/>
        </w:rPr>
        <w:t>גיע</w:t>
      </w:r>
      <w:r w:rsidRPr="00752252">
        <w:rPr>
          <w:rFonts w:eastAsia="Times New Roman" w:cstheme="minorHAnsi" w:hint="cs"/>
          <w:sz w:val="24"/>
          <w:szCs w:val="24"/>
          <w:rtl/>
        </w:rPr>
        <w:t>ה</w:t>
      </w:r>
      <w:r w:rsidRPr="00752252">
        <w:rPr>
          <w:rFonts w:eastAsia="Times New Roman" w:cstheme="minorHAnsi"/>
          <w:sz w:val="24"/>
          <w:szCs w:val="24"/>
          <w:rtl/>
        </w:rPr>
        <w:t xml:space="preserve"> לשיא</w:t>
      </w:r>
      <w:r w:rsidRPr="00752252">
        <w:rPr>
          <w:rFonts w:eastAsia="Times New Roman" w:cstheme="minorHAnsi" w:hint="cs"/>
          <w:sz w:val="24"/>
          <w:szCs w:val="24"/>
          <w:rtl/>
        </w:rPr>
        <w:t>ה</w:t>
      </w:r>
      <w:r w:rsidRPr="00752252">
        <w:rPr>
          <w:rFonts w:eastAsia="Times New Roman" w:cstheme="minorHAnsi"/>
          <w:sz w:val="24"/>
          <w:szCs w:val="24"/>
          <w:rtl/>
        </w:rPr>
        <w:t xml:space="preserve"> תוך שנתיים ונ</w:t>
      </w:r>
      <w:r w:rsidRPr="00752252">
        <w:rPr>
          <w:rFonts w:eastAsia="Times New Roman" w:cstheme="minorHAnsi" w:hint="cs"/>
          <w:sz w:val="24"/>
          <w:szCs w:val="24"/>
          <w:rtl/>
        </w:rPr>
        <w:t>משכה</w:t>
      </w:r>
      <w:r w:rsidRPr="00752252">
        <w:rPr>
          <w:rFonts w:eastAsia="Times New Roman" w:cstheme="minorHAnsi"/>
          <w:sz w:val="24"/>
          <w:szCs w:val="24"/>
          <w:rtl/>
        </w:rPr>
        <w:t xml:space="preserve"> לאורך </w:t>
      </w:r>
      <w:r w:rsidRPr="00752252">
        <w:rPr>
          <w:rFonts w:eastAsia="Times New Roman" w:cstheme="minorHAnsi" w:hint="cs"/>
          <w:sz w:val="24"/>
          <w:szCs w:val="24"/>
          <w:rtl/>
        </w:rPr>
        <w:t>חמש</w:t>
      </w:r>
      <w:r w:rsidRPr="00752252">
        <w:rPr>
          <w:rFonts w:eastAsia="Times New Roman" w:cstheme="minorHAnsi"/>
          <w:sz w:val="24"/>
          <w:szCs w:val="24"/>
          <w:rtl/>
        </w:rPr>
        <w:t xml:space="preserve"> שנים לפחות, ללא חזרה למצב הקודם. כלומר, בעוד שהתנהגות החייבים </w:t>
      </w:r>
      <w:r w:rsidRPr="00752252">
        <w:rPr>
          <w:rFonts w:eastAsia="Times New Roman" w:cstheme="minorHAnsi" w:hint="cs"/>
          <w:sz w:val="24"/>
          <w:szCs w:val="24"/>
          <w:rtl/>
        </w:rPr>
        <w:t>חזרה</w:t>
      </w:r>
      <w:r w:rsidRPr="00752252">
        <w:rPr>
          <w:rFonts w:eastAsia="Times New Roman" w:cstheme="minorHAnsi"/>
          <w:sz w:val="24"/>
          <w:szCs w:val="24"/>
          <w:rtl/>
        </w:rPr>
        <w:t xml:space="preserve"> לקדמותה, שוק האשראי עבר שינוי מבני. בנוסף, נמצא כי ההשפעות </w:t>
      </w:r>
      <w:r w:rsidRPr="00752252">
        <w:rPr>
          <w:rFonts w:eastAsia="Times New Roman" w:cstheme="minorHAnsi" w:hint="cs"/>
          <w:sz w:val="24"/>
          <w:szCs w:val="24"/>
          <w:rtl/>
        </w:rPr>
        <w:t>ה</w:t>
      </w:r>
      <w:r w:rsidRPr="00752252">
        <w:rPr>
          <w:rFonts w:eastAsia="Times New Roman" w:cstheme="minorHAnsi"/>
          <w:sz w:val="24"/>
          <w:szCs w:val="24"/>
          <w:rtl/>
        </w:rPr>
        <w:t xml:space="preserve">תחילו כבר בעת החקיקה ולא רק לאחר כניסת הרפורמה לתוקף. </w:t>
      </w:r>
    </w:p>
    <w:p w:rsidR="00752252" w:rsidRPr="00752252" w:rsidRDefault="00752252" w:rsidP="00752252">
      <w:pPr>
        <w:spacing w:after="0" w:line="360" w:lineRule="auto"/>
        <w:jc w:val="both"/>
        <w:rPr>
          <w:rFonts w:eastAsia="Times New Roman" w:cstheme="minorHAnsi"/>
          <w:sz w:val="24"/>
          <w:szCs w:val="24"/>
        </w:rPr>
      </w:pPr>
      <w:r w:rsidRPr="00752252">
        <w:rPr>
          <w:rFonts w:eastAsia="Times New Roman" w:cstheme="minorHAnsi"/>
          <w:sz w:val="24"/>
          <w:szCs w:val="24"/>
          <w:rtl/>
        </w:rPr>
        <w:t>המחקר מ</w:t>
      </w:r>
      <w:r w:rsidRPr="00752252">
        <w:rPr>
          <w:rFonts w:eastAsia="Times New Roman" w:cstheme="minorHAnsi" w:hint="cs"/>
          <w:sz w:val="24"/>
          <w:szCs w:val="24"/>
          <w:rtl/>
        </w:rPr>
        <w:t>וצא</w:t>
      </w:r>
      <w:r w:rsidRPr="00752252">
        <w:rPr>
          <w:rFonts w:eastAsia="Times New Roman" w:cstheme="minorHAnsi"/>
          <w:sz w:val="24"/>
          <w:szCs w:val="24"/>
          <w:rtl/>
        </w:rPr>
        <w:t xml:space="preserve"> כי קיים שוני בהשפעתם של ממדים שונים של הרפורמות. שינויי חקיקה המקלים על הסטיגמה הכרוכה בפשיטת רגל ומצמצמים את מורכבות ההליך משפיעים באופן החזק ביותר על </w:t>
      </w:r>
      <w:r w:rsidRPr="00752252">
        <w:rPr>
          <w:rFonts w:eastAsia="Times New Roman" w:cstheme="minorHAnsi"/>
          <w:sz w:val="24"/>
          <w:szCs w:val="24"/>
          <w:rtl/>
        </w:rPr>
        <w:lastRenderedPageBreak/>
        <w:t>החלטת היחידים להגיש בקשה</w:t>
      </w:r>
      <w:r w:rsidRPr="00752252">
        <w:rPr>
          <w:rFonts w:eastAsia="Times New Roman" w:cstheme="minorHAnsi" w:hint="cs"/>
          <w:sz w:val="24"/>
          <w:szCs w:val="24"/>
          <w:rtl/>
        </w:rPr>
        <w:t>.</w:t>
      </w:r>
      <w:r w:rsidRPr="00752252">
        <w:rPr>
          <w:rFonts w:eastAsia="Times New Roman" w:cstheme="minorHAnsi"/>
          <w:sz w:val="24"/>
          <w:szCs w:val="24"/>
          <w:rtl/>
        </w:rPr>
        <w:t xml:space="preserve"> לעומת זאת, שינויים בתנאי מחיקת החוב ובתהליכי ההחזר משפיעים באופן החזק ביותר על החלטות הבנקים בנוגע למתן אשראי</w:t>
      </w:r>
      <w:r w:rsidRPr="00752252">
        <w:rPr>
          <w:rFonts w:eastAsia="Times New Roman" w:cstheme="minorHAnsi"/>
          <w:sz w:val="24"/>
          <w:szCs w:val="24"/>
        </w:rPr>
        <w:t>.</w:t>
      </w:r>
    </w:p>
    <w:p w:rsidR="00752252" w:rsidRPr="00752252" w:rsidRDefault="00752252" w:rsidP="00752252">
      <w:pPr>
        <w:spacing w:after="0" w:line="360" w:lineRule="auto"/>
        <w:jc w:val="both"/>
        <w:rPr>
          <w:rFonts w:eastAsia="Times New Roman" w:cstheme="minorHAnsi"/>
          <w:sz w:val="24"/>
          <w:szCs w:val="24"/>
        </w:rPr>
      </w:pPr>
      <w:r w:rsidRPr="00752252">
        <w:rPr>
          <w:rFonts w:eastAsia="Times New Roman" w:cstheme="minorHAnsi"/>
          <w:sz w:val="24"/>
          <w:szCs w:val="24"/>
          <w:rtl/>
        </w:rPr>
        <w:t xml:space="preserve">האיור מציג את השפעת העלייה במדד "היד הרכה" </w:t>
      </w:r>
      <w:r w:rsidRPr="00752252">
        <w:rPr>
          <w:rFonts w:eastAsia="Times New Roman" w:cstheme="minorHAnsi" w:hint="cs"/>
          <w:sz w:val="24"/>
          <w:szCs w:val="24"/>
          <w:rtl/>
        </w:rPr>
        <w:t xml:space="preserve"> </w:t>
      </w:r>
      <w:r w:rsidRPr="00752252">
        <w:rPr>
          <w:rFonts w:eastAsia="Times New Roman" w:cstheme="minorHAnsi"/>
          <w:sz w:val="24"/>
          <w:szCs w:val="24"/>
          <w:rtl/>
        </w:rPr>
        <w:t>על קצב הגידול של האשראי הצרכני ועל מספר הבקשות</w:t>
      </w:r>
      <w:r w:rsidRPr="00752252">
        <w:rPr>
          <w:rFonts w:eastAsia="Times New Roman" w:cstheme="minorHAnsi" w:hint="cs"/>
          <w:sz w:val="24"/>
          <w:szCs w:val="24"/>
          <w:rtl/>
        </w:rPr>
        <w:t xml:space="preserve"> לפתיחת תיקי חדלות פירעון </w:t>
      </w:r>
      <w:r w:rsidRPr="00752252">
        <w:rPr>
          <w:rFonts w:eastAsia="Times New Roman" w:cstheme="minorHAnsi"/>
          <w:sz w:val="24"/>
          <w:szCs w:val="24"/>
          <w:rtl/>
        </w:rPr>
        <w:t>על פני 5 שנים. ניתן לראות כי מספר הבקשות</w:t>
      </w:r>
      <w:r w:rsidRPr="00752252">
        <w:rPr>
          <w:rFonts w:eastAsia="Times New Roman" w:cstheme="minorHAnsi" w:hint="cs"/>
          <w:sz w:val="24"/>
          <w:szCs w:val="24"/>
          <w:rtl/>
        </w:rPr>
        <w:t xml:space="preserve"> </w:t>
      </w:r>
      <w:r w:rsidRPr="00752252">
        <w:rPr>
          <w:rFonts w:eastAsia="Times New Roman" w:cstheme="minorHAnsi"/>
          <w:sz w:val="24"/>
          <w:szCs w:val="24"/>
          <w:rtl/>
        </w:rPr>
        <w:t>גדל באופן זמני בעקבות השינויים</w:t>
      </w:r>
      <w:r w:rsidRPr="00752252">
        <w:rPr>
          <w:rFonts w:eastAsia="Times New Roman" w:cstheme="minorHAnsi" w:hint="cs"/>
          <w:sz w:val="24"/>
          <w:szCs w:val="24"/>
          <w:rtl/>
        </w:rPr>
        <w:t>:</w:t>
      </w:r>
      <w:r w:rsidRPr="00752252">
        <w:rPr>
          <w:rFonts w:eastAsia="Times New Roman" w:cstheme="minorHAnsi"/>
          <w:sz w:val="24"/>
          <w:szCs w:val="24"/>
          <w:rtl/>
        </w:rPr>
        <w:t xml:space="preserve"> </w:t>
      </w:r>
      <w:r w:rsidRPr="00752252">
        <w:rPr>
          <w:rFonts w:eastAsia="Times New Roman" w:cstheme="minorHAnsi" w:hint="cs"/>
          <w:sz w:val="24"/>
          <w:szCs w:val="24"/>
          <w:rtl/>
        </w:rPr>
        <w:t>עולה</w:t>
      </w:r>
      <w:r w:rsidRPr="00752252">
        <w:rPr>
          <w:rFonts w:eastAsia="Times New Roman" w:cstheme="minorHAnsi"/>
          <w:sz w:val="24"/>
          <w:szCs w:val="24"/>
          <w:rtl/>
        </w:rPr>
        <w:t xml:space="preserve"> עד השנה הרביעית ולאחר מכן ד</w:t>
      </w:r>
      <w:r w:rsidRPr="00752252">
        <w:rPr>
          <w:rFonts w:eastAsia="Times New Roman" w:cstheme="minorHAnsi" w:hint="cs"/>
          <w:sz w:val="24"/>
          <w:szCs w:val="24"/>
          <w:rtl/>
        </w:rPr>
        <w:t>ו</w:t>
      </w:r>
      <w:r w:rsidRPr="00752252">
        <w:rPr>
          <w:rFonts w:eastAsia="Times New Roman" w:cstheme="minorHAnsi"/>
          <w:sz w:val="24"/>
          <w:szCs w:val="24"/>
          <w:rtl/>
        </w:rPr>
        <w:t>ע</w:t>
      </w:r>
      <w:r w:rsidRPr="00752252">
        <w:rPr>
          <w:rFonts w:eastAsia="Times New Roman" w:cstheme="minorHAnsi" w:hint="cs"/>
          <w:sz w:val="24"/>
          <w:szCs w:val="24"/>
          <w:rtl/>
        </w:rPr>
        <w:t>ך.</w:t>
      </w:r>
      <w:r w:rsidRPr="00752252">
        <w:rPr>
          <w:rFonts w:eastAsia="Times New Roman" w:cstheme="minorHAnsi"/>
          <w:sz w:val="24"/>
          <w:szCs w:val="24"/>
          <w:rtl/>
        </w:rPr>
        <w:t xml:space="preserve"> </w:t>
      </w:r>
      <w:r w:rsidRPr="00752252">
        <w:rPr>
          <w:rFonts w:eastAsia="Times New Roman" w:cstheme="minorHAnsi" w:hint="cs"/>
          <w:sz w:val="24"/>
          <w:szCs w:val="24"/>
          <w:rtl/>
        </w:rPr>
        <w:t xml:space="preserve">מאידך, </w:t>
      </w:r>
      <w:r w:rsidRPr="00752252">
        <w:rPr>
          <w:rFonts w:eastAsia="Times New Roman" w:cstheme="minorHAnsi"/>
          <w:sz w:val="24"/>
          <w:szCs w:val="24"/>
          <w:rtl/>
        </w:rPr>
        <w:t xml:space="preserve">ההשפעה על קצב הגידול של האשראי הצרכני היא שלילית, יציבה ומובהקת לאורך זמן. ממצא זה מדגיש את המחיר הכלכלי של ההקלות בהליכי חדלות הפירעון, המעודדות פתיחת הליכים, המתבטא בירידה בקצב הגידול של האשראי הצרכני. </w:t>
      </w:r>
    </w:p>
    <w:p w:rsidR="00752252" w:rsidRPr="00752252" w:rsidRDefault="00752252" w:rsidP="00752252">
      <w:pPr>
        <w:spacing w:after="0" w:line="360" w:lineRule="auto"/>
        <w:jc w:val="both"/>
        <w:rPr>
          <w:rFonts w:eastAsia="Times New Roman" w:cstheme="minorHAnsi"/>
          <w:sz w:val="24"/>
          <w:szCs w:val="24"/>
        </w:rPr>
      </w:pPr>
      <w:r w:rsidRPr="00752252">
        <w:rPr>
          <w:rFonts w:eastAsia="Times New Roman" w:cstheme="minorHAnsi"/>
          <w:sz w:val="24"/>
          <w:szCs w:val="24"/>
        </w:rPr>
        <w:drawing>
          <wp:inline distT="0" distB="0" distL="0" distR="0" wp14:anchorId="4318E13D" wp14:editId="2C85ABB7">
            <wp:extent cx="5273040" cy="3339548"/>
            <wp:effectExtent l="0" t="0" r="381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8061" cy="3342728"/>
                    </a:xfrm>
                    <a:prstGeom prst="rect">
                      <a:avLst/>
                    </a:prstGeom>
                    <a:noFill/>
                    <a:ln>
                      <a:noFill/>
                    </a:ln>
                  </pic:spPr>
                </pic:pic>
              </a:graphicData>
            </a:graphic>
          </wp:inline>
        </w:drawing>
      </w:r>
    </w:p>
    <w:p w:rsidR="00752252" w:rsidRPr="00752252" w:rsidRDefault="00752252" w:rsidP="00752252">
      <w:pPr>
        <w:spacing w:after="0" w:line="360" w:lineRule="auto"/>
        <w:jc w:val="both"/>
        <w:rPr>
          <w:rFonts w:eastAsia="Times New Roman" w:cstheme="minorHAnsi"/>
          <w:sz w:val="24"/>
          <w:szCs w:val="24"/>
          <w:rtl/>
        </w:rPr>
      </w:pPr>
      <w:r w:rsidRPr="00752252">
        <w:rPr>
          <w:rFonts w:eastAsia="Times New Roman" w:cstheme="minorHAnsi" w:hint="cs"/>
          <w:sz w:val="24"/>
          <w:szCs w:val="24"/>
          <w:rtl/>
        </w:rPr>
        <w:t>משמעות הממצאים היא כי</w:t>
      </w:r>
      <w:r w:rsidRPr="00752252">
        <w:rPr>
          <w:rFonts w:eastAsia="Times New Roman" w:cstheme="minorHAnsi"/>
          <w:sz w:val="24"/>
          <w:szCs w:val="24"/>
          <w:rtl/>
        </w:rPr>
        <w:t xml:space="preserve"> רפורמות המיטיבות עם חייבים </w:t>
      </w:r>
      <w:r w:rsidRPr="00752252">
        <w:rPr>
          <w:rFonts w:eastAsia="Times New Roman" w:cstheme="minorHAnsi" w:hint="cs"/>
          <w:sz w:val="24"/>
          <w:szCs w:val="24"/>
          <w:rtl/>
        </w:rPr>
        <w:t>ו</w:t>
      </w:r>
      <w:r w:rsidRPr="00752252">
        <w:rPr>
          <w:rFonts w:eastAsia="Times New Roman" w:cstheme="minorHAnsi"/>
          <w:sz w:val="24"/>
          <w:szCs w:val="24"/>
          <w:rtl/>
        </w:rPr>
        <w:t xml:space="preserve">מקלות על שיקום כלכלי של יחידים שנמצאים בקשיים גורמות לפגיעה ממושכת בזמינות האשראי לכלל האוכלוסייה. </w:t>
      </w:r>
      <w:r w:rsidRPr="00752252">
        <w:rPr>
          <w:rFonts w:eastAsia="Times New Roman" w:cstheme="minorHAnsi" w:hint="cs"/>
          <w:sz w:val="24"/>
          <w:szCs w:val="24"/>
          <w:rtl/>
        </w:rPr>
        <w:t xml:space="preserve">מכך עולה הצורך </w:t>
      </w:r>
      <w:r w:rsidRPr="00752252">
        <w:rPr>
          <w:rFonts w:eastAsia="Times New Roman" w:cstheme="minorHAnsi"/>
          <w:sz w:val="24"/>
          <w:szCs w:val="24"/>
          <w:rtl/>
        </w:rPr>
        <w:t>לאזן בין שיקולי הגנה חברתית לבין ההשפעות המצטברות והארוכות טווח על שוק האשראי</w:t>
      </w:r>
      <w:r w:rsidRPr="00752252">
        <w:rPr>
          <w:rFonts w:eastAsia="Times New Roman" w:cstheme="minorHAnsi"/>
          <w:sz w:val="24"/>
          <w:szCs w:val="24"/>
        </w:rPr>
        <w:t>.</w:t>
      </w:r>
      <w:r w:rsidRPr="00752252" w:rsidDel="00683546">
        <w:rPr>
          <w:rFonts w:eastAsia="Times New Roman" w:cstheme="minorHAnsi"/>
          <w:sz w:val="24"/>
          <w:szCs w:val="24"/>
          <w:rtl/>
        </w:rPr>
        <w:t xml:space="preserve"> </w:t>
      </w:r>
    </w:p>
    <w:p w:rsidR="00752252" w:rsidRPr="00752252" w:rsidRDefault="00752252" w:rsidP="00752252">
      <w:pPr>
        <w:spacing w:after="0" w:line="360" w:lineRule="auto"/>
        <w:jc w:val="both"/>
        <w:rPr>
          <w:rFonts w:eastAsia="Times New Roman" w:cstheme="minorHAnsi"/>
          <w:sz w:val="24"/>
          <w:szCs w:val="24"/>
          <w:rtl/>
        </w:rPr>
      </w:pPr>
      <w:r w:rsidRPr="00752252">
        <w:rPr>
          <w:rFonts w:eastAsia="Times New Roman" w:cstheme="minorHAnsi"/>
          <w:sz w:val="24"/>
          <w:szCs w:val="24"/>
          <w:rtl/>
        </w:rPr>
        <w:t>בישראל נכנסה בשנת 2019 לתוקף רפורמת חדלות הפירעון ושיקום כלכלי, שהקלה על הליכי חדלות הפירעון של יחידים והדגישה את שיקומם הכלכלי.</w:t>
      </w:r>
      <w:r w:rsidRPr="00752252">
        <w:rPr>
          <w:rFonts w:eastAsia="Times New Roman" w:cstheme="minorHAnsi" w:hint="cs"/>
          <w:sz w:val="24"/>
          <w:szCs w:val="24"/>
          <w:rtl/>
        </w:rPr>
        <w:t xml:space="preserve"> </w:t>
      </w:r>
      <w:r w:rsidRPr="00752252">
        <w:rPr>
          <w:rFonts w:eastAsia="Times New Roman" w:cstheme="minorHAnsi"/>
          <w:sz w:val="24"/>
          <w:szCs w:val="24"/>
          <w:rtl/>
        </w:rPr>
        <w:t>בהתאם לממצאי המחקר ניתן לציין כי מספר בקשות חדלות הפירעון בישראל עלה לאחר הרפורמה ועד שנת 2022</w:t>
      </w:r>
      <w:r w:rsidRPr="00752252">
        <w:rPr>
          <w:rFonts w:eastAsia="Times New Roman" w:cstheme="minorHAnsi" w:hint="cs"/>
          <w:sz w:val="24"/>
          <w:szCs w:val="24"/>
          <w:rtl/>
        </w:rPr>
        <w:t>–</w:t>
      </w:r>
      <w:r w:rsidRPr="00752252">
        <w:rPr>
          <w:rFonts w:eastAsia="Times New Roman" w:cstheme="minorHAnsi"/>
          <w:sz w:val="24"/>
          <w:szCs w:val="24"/>
          <w:rtl/>
        </w:rPr>
        <w:t>2023</w:t>
      </w:r>
      <w:r w:rsidRPr="00752252">
        <w:rPr>
          <w:rFonts w:eastAsia="Times New Roman" w:cstheme="minorHAnsi" w:hint="cs"/>
          <w:sz w:val="24"/>
          <w:szCs w:val="24"/>
          <w:rtl/>
        </w:rPr>
        <w:t>,</w:t>
      </w:r>
      <w:r w:rsidRPr="00752252">
        <w:rPr>
          <w:rFonts w:eastAsia="Times New Roman" w:cstheme="minorHAnsi"/>
          <w:sz w:val="24"/>
          <w:szCs w:val="24"/>
          <w:rtl/>
        </w:rPr>
        <w:t xml:space="preserve"> אך לאחר מכן שב לרמות דומות לאלה שהיו לפני הרפורמה. לעומת זאת, ההשפעה על שוק האשראי הצרכני בישראל, צפויה </w:t>
      </w:r>
      <w:r w:rsidRPr="00752252">
        <w:rPr>
          <w:rFonts w:eastAsia="Times New Roman" w:cstheme="minorHAnsi" w:hint="cs"/>
          <w:sz w:val="24"/>
          <w:szCs w:val="24"/>
          <w:rtl/>
        </w:rPr>
        <w:t xml:space="preserve">על פי המחקר </w:t>
      </w:r>
      <w:r w:rsidRPr="00752252">
        <w:rPr>
          <w:rFonts w:eastAsia="Times New Roman" w:cstheme="minorHAnsi"/>
          <w:sz w:val="24"/>
          <w:szCs w:val="24"/>
          <w:rtl/>
        </w:rPr>
        <w:t>להיות ממושכת יותר. משמעות הדבר היא שלווים פוטנציאליים עשויים ל</w:t>
      </w:r>
      <w:r w:rsidRPr="00752252">
        <w:rPr>
          <w:rFonts w:eastAsia="Times New Roman" w:cstheme="minorHAnsi" w:hint="cs"/>
          <w:sz w:val="24"/>
          <w:szCs w:val="24"/>
          <w:rtl/>
        </w:rPr>
        <w:t>היתקל</w:t>
      </w:r>
      <w:r w:rsidRPr="00752252">
        <w:rPr>
          <w:rFonts w:eastAsia="Times New Roman" w:cstheme="minorHAnsi"/>
          <w:sz w:val="24"/>
          <w:szCs w:val="24"/>
          <w:rtl/>
        </w:rPr>
        <w:t xml:space="preserve"> </w:t>
      </w:r>
      <w:r w:rsidRPr="00752252">
        <w:rPr>
          <w:rFonts w:eastAsia="Times New Roman" w:cstheme="minorHAnsi" w:hint="cs"/>
          <w:sz w:val="24"/>
          <w:szCs w:val="24"/>
          <w:rtl/>
        </w:rPr>
        <w:t>ב</w:t>
      </w:r>
      <w:r w:rsidRPr="00752252">
        <w:rPr>
          <w:rFonts w:eastAsia="Times New Roman" w:cstheme="minorHAnsi"/>
          <w:sz w:val="24"/>
          <w:szCs w:val="24"/>
          <w:rtl/>
        </w:rPr>
        <w:t>קושי גדול יותר בקבלת אשראי צרכני, כתוצאה של הרפורמה שנועדה לסייע לחייבים במצוקה.</w:t>
      </w:r>
      <w:r w:rsidRPr="00752252">
        <w:rPr>
          <w:rFonts w:eastAsia="Times New Roman" w:cstheme="minorHAnsi" w:hint="cs"/>
          <w:sz w:val="24"/>
          <w:szCs w:val="24"/>
          <w:rtl/>
        </w:rPr>
        <w:t xml:space="preserve"> לצד זאת, ואף שממצאי המחקר מתבססים על רפורמות במספר רב של מדינות ולאורך תקופות שונות, </w:t>
      </w:r>
      <w:r w:rsidRPr="00752252">
        <w:rPr>
          <w:rFonts w:eastAsia="Times New Roman" w:cstheme="minorHAnsi" w:hint="cs"/>
          <w:sz w:val="24"/>
          <w:szCs w:val="24"/>
          <w:rtl/>
        </w:rPr>
        <w:lastRenderedPageBreak/>
        <w:t xml:space="preserve">חשוב לציין כי זיהוי השפעת </w:t>
      </w:r>
      <w:r w:rsidRPr="00752252">
        <w:rPr>
          <w:rFonts w:eastAsia="Times New Roman" w:cstheme="minorHAnsi"/>
          <w:sz w:val="24"/>
          <w:szCs w:val="24"/>
          <w:rtl/>
        </w:rPr>
        <w:t xml:space="preserve">הרפורמה </w:t>
      </w:r>
      <w:r w:rsidRPr="00752252">
        <w:rPr>
          <w:rFonts w:eastAsia="Times New Roman" w:cstheme="minorHAnsi" w:hint="cs"/>
          <w:sz w:val="24"/>
          <w:szCs w:val="24"/>
          <w:rtl/>
        </w:rPr>
        <w:t xml:space="preserve">שיושמה </w:t>
      </w:r>
      <w:r w:rsidRPr="00752252">
        <w:rPr>
          <w:rFonts w:eastAsia="Times New Roman" w:cstheme="minorHAnsi"/>
          <w:sz w:val="24"/>
          <w:szCs w:val="24"/>
          <w:rtl/>
        </w:rPr>
        <w:t xml:space="preserve">בישראל בשנת 2019 </w:t>
      </w:r>
      <w:r w:rsidRPr="00752252">
        <w:rPr>
          <w:rFonts w:eastAsia="Times New Roman" w:cstheme="minorHAnsi" w:hint="cs"/>
          <w:sz w:val="24"/>
          <w:szCs w:val="24"/>
          <w:rtl/>
        </w:rPr>
        <w:t>מאתגר במיוחד בגלל</w:t>
      </w:r>
      <w:r w:rsidRPr="00752252">
        <w:rPr>
          <w:rFonts w:eastAsia="Times New Roman" w:cstheme="minorHAnsi"/>
          <w:sz w:val="24"/>
          <w:szCs w:val="24"/>
          <w:rtl/>
        </w:rPr>
        <w:t xml:space="preserve"> משבר הקורונה שהתפרץ כבר במרץ 2020</w:t>
      </w:r>
      <w:r w:rsidRPr="00752252">
        <w:rPr>
          <w:rFonts w:eastAsia="Times New Roman" w:cstheme="minorHAnsi" w:hint="cs"/>
          <w:sz w:val="24"/>
          <w:szCs w:val="24"/>
          <w:rtl/>
        </w:rPr>
        <w:t xml:space="preserve"> וגרם לזעזועים ניכרים במשק.</w:t>
      </w:r>
    </w:p>
    <w:p w:rsidR="00AF6504" w:rsidRPr="00D06752" w:rsidRDefault="00AF6504" w:rsidP="00824134">
      <w:pPr>
        <w:spacing w:after="0" w:line="360" w:lineRule="auto"/>
        <w:jc w:val="both"/>
        <w:rPr>
          <w:rFonts w:eastAsia="Times New Roman" w:cstheme="minorHAnsi"/>
          <w:sz w:val="24"/>
          <w:szCs w:val="24"/>
          <w:rtl/>
        </w:rPr>
      </w:pPr>
      <w:bookmarkStart w:id="0" w:name="_GoBack"/>
      <w:bookmarkEnd w:id="0"/>
    </w:p>
    <w:sectPr w:rsidR="00AF6504" w:rsidRPr="00D06752" w:rsidSect="00E2278A">
      <w:footerReference w:type="default" r:id="rId1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1E9C" w:rsidRDefault="00D11E9C" w:rsidP="00AC04FC">
      <w:pPr>
        <w:spacing w:after="0" w:line="240" w:lineRule="auto"/>
      </w:pPr>
      <w:r>
        <w:separator/>
      </w:r>
    </w:p>
  </w:endnote>
  <w:endnote w:type="continuationSeparator" w:id="0">
    <w:p w:rsidR="00D11E9C" w:rsidRDefault="00D11E9C" w:rsidP="00AC04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599633993"/>
      <w:docPartObj>
        <w:docPartGallery w:val="Page Numbers (Bottom of Page)"/>
        <w:docPartUnique/>
      </w:docPartObj>
    </w:sdtPr>
    <w:sdtEndPr/>
    <w:sdtContent>
      <w:p w:rsidR="00AC04FC" w:rsidRDefault="00AC04FC">
        <w:pPr>
          <w:pStyle w:val="a9"/>
          <w:jc w:val="center"/>
          <w:rPr>
            <w:rtl/>
            <w:cs/>
          </w:rPr>
        </w:pPr>
        <w:r>
          <w:fldChar w:fldCharType="begin"/>
        </w:r>
        <w:r>
          <w:rPr>
            <w:rtl/>
            <w:cs/>
          </w:rPr>
          <w:instrText>PAGE   \* MERGEFORMAT</w:instrText>
        </w:r>
        <w:r>
          <w:fldChar w:fldCharType="separate"/>
        </w:r>
        <w:r w:rsidR="00752252" w:rsidRPr="00752252">
          <w:rPr>
            <w:noProof/>
            <w:rtl/>
            <w:lang w:val="he-IL"/>
          </w:rPr>
          <w:t>2</w:t>
        </w:r>
        <w:r>
          <w:fldChar w:fldCharType="end"/>
        </w:r>
      </w:p>
    </w:sdtContent>
  </w:sdt>
  <w:p w:rsidR="00AC04FC" w:rsidRDefault="00AC04FC">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1E9C" w:rsidRDefault="00D11E9C" w:rsidP="00AC04FC">
      <w:pPr>
        <w:spacing w:after="0" w:line="240" w:lineRule="auto"/>
      </w:pPr>
      <w:r>
        <w:separator/>
      </w:r>
    </w:p>
  </w:footnote>
  <w:footnote w:type="continuationSeparator" w:id="0">
    <w:p w:rsidR="00D11E9C" w:rsidRDefault="00D11E9C" w:rsidP="00AC04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BB6EE3"/>
    <w:multiLevelType w:val="hybridMultilevel"/>
    <w:tmpl w:val="9C3C2434"/>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7C8D0FC3"/>
    <w:multiLevelType w:val="hybridMultilevel"/>
    <w:tmpl w:val="A38A5A54"/>
    <w:lvl w:ilvl="0" w:tplc="0DB424BC">
      <w:start w:val="1"/>
      <w:numFmt w:val="decimal"/>
      <w:lvlText w:val="%1."/>
      <w:lvlJc w:val="left"/>
      <w:pPr>
        <w:ind w:left="720" w:hanging="360"/>
      </w:pPr>
      <w:rPr>
        <w:rFonts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B28"/>
    <w:rsid w:val="000524A3"/>
    <w:rsid w:val="00092D52"/>
    <w:rsid w:val="000D135A"/>
    <w:rsid w:val="000F0C56"/>
    <w:rsid w:val="000F2184"/>
    <w:rsid w:val="000F68AC"/>
    <w:rsid w:val="00110D89"/>
    <w:rsid w:val="001B6FBE"/>
    <w:rsid w:val="00213CDF"/>
    <w:rsid w:val="00220F4C"/>
    <w:rsid w:val="00236CB5"/>
    <w:rsid w:val="002B15CB"/>
    <w:rsid w:val="002D1547"/>
    <w:rsid w:val="002D5C12"/>
    <w:rsid w:val="00385B85"/>
    <w:rsid w:val="00394A6E"/>
    <w:rsid w:val="003961DA"/>
    <w:rsid w:val="003D0DD2"/>
    <w:rsid w:val="003F36B3"/>
    <w:rsid w:val="0040190E"/>
    <w:rsid w:val="004811AE"/>
    <w:rsid w:val="00524A16"/>
    <w:rsid w:val="005267CF"/>
    <w:rsid w:val="005734DA"/>
    <w:rsid w:val="005A0D29"/>
    <w:rsid w:val="005C22AE"/>
    <w:rsid w:val="005F44E4"/>
    <w:rsid w:val="00625B7B"/>
    <w:rsid w:val="00683546"/>
    <w:rsid w:val="006862FF"/>
    <w:rsid w:val="00697F94"/>
    <w:rsid w:val="006C17F8"/>
    <w:rsid w:val="006F30B4"/>
    <w:rsid w:val="00705B28"/>
    <w:rsid w:val="00752252"/>
    <w:rsid w:val="007C20BD"/>
    <w:rsid w:val="007E5125"/>
    <w:rsid w:val="008144D5"/>
    <w:rsid w:val="00824134"/>
    <w:rsid w:val="008B3F57"/>
    <w:rsid w:val="008C217F"/>
    <w:rsid w:val="009C7C7E"/>
    <w:rsid w:val="00A2775E"/>
    <w:rsid w:val="00A73F63"/>
    <w:rsid w:val="00AC04FC"/>
    <w:rsid w:val="00AF6504"/>
    <w:rsid w:val="00B34ED4"/>
    <w:rsid w:val="00B44852"/>
    <w:rsid w:val="00BE2083"/>
    <w:rsid w:val="00C159D2"/>
    <w:rsid w:val="00C87DE4"/>
    <w:rsid w:val="00CC2268"/>
    <w:rsid w:val="00D06752"/>
    <w:rsid w:val="00D11E9C"/>
    <w:rsid w:val="00D27ECA"/>
    <w:rsid w:val="00D85012"/>
    <w:rsid w:val="00D859F0"/>
    <w:rsid w:val="00DF18E0"/>
    <w:rsid w:val="00DF22B3"/>
    <w:rsid w:val="00E06FD8"/>
    <w:rsid w:val="00E2278A"/>
    <w:rsid w:val="00EB351B"/>
    <w:rsid w:val="00EE03E8"/>
    <w:rsid w:val="00F41F53"/>
    <w:rsid w:val="00F44A72"/>
    <w:rsid w:val="00F711CF"/>
    <w:rsid w:val="00FA173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AA235"/>
  <w15:chartTrackingRefBased/>
  <w15:docId w15:val="{68E1231D-C316-4BFB-A12A-977A37BFE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NormalWeb">
    <w:name w:val="Normal (Web)"/>
    <w:basedOn w:val="a"/>
    <w:uiPriority w:val="99"/>
    <w:semiHidden/>
    <w:unhideWhenUsed/>
    <w:rsid w:val="00705B28"/>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705B28"/>
    <w:rPr>
      <w:b/>
      <w:bCs/>
    </w:rPr>
  </w:style>
  <w:style w:type="paragraph" w:styleId="a4">
    <w:name w:val="List Paragraph"/>
    <w:basedOn w:val="a"/>
    <w:uiPriority w:val="34"/>
    <w:qFormat/>
    <w:rsid w:val="00220F4C"/>
    <w:pPr>
      <w:ind w:left="720"/>
      <w:contextualSpacing/>
    </w:pPr>
  </w:style>
  <w:style w:type="paragraph" w:customStyle="1" w:styleId="font-claude-response-body">
    <w:name w:val="font-claude-response-body"/>
    <w:basedOn w:val="a"/>
    <w:rsid w:val="00220F4C"/>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EE03E8"/>
    <w:pPr>
      <w:spacing w:after="0" w:line="240" w:lineRule="auto"/>
    </w:pPr>
    <w:rPr>
      <w:rFonts w:ascii="Tahoma" w:hAnsi="Tahoma" w:cs="Tahoma"/>
      <w:sz w:val="18"/>
      <w:szCs w:val="18"/>
    </w:rPr>
  </w:style>
  <w:style w:type="character" w:customStyle="1" w:styleId="a6">
    <w:name w:val="טקסט בלונים תו"/>
    <w:basedOn w:val="a0"/>
    <w:link w:val="a5"/>
    <w:uiPriority w:val="99"/>
    <w:semiHidden/>
    <w:rsid w:val="00EE03E8"/>
    <w:rPr>
      <w:rFonts w:ascii="Tahoma" w:hAnsi="Tahoma" w:cs="Tahoma"/>
      <w:sz w:val="18"/>
      <w:szCs w:val="18"/>
    </w:rPr>
  </w:style>
  <w:style w:type="paragraph" w:styleId="a7">
    <w:name w:val="header"/>
    <w:basedOn w:val="a"/>
    <w:link w:val="a8"/>
    <w:uiPriority w:val="99"/>
    <w:unhideWhenUsed/>
    <w:rsid w:val="00AC04FC"/>
    <w:pPr>
      <w:tabs>
        <w:tab w:val="center" w:pos="4153"/>
        <w:tab w:val="right" w:pos="8306"/>
      </w:tabs>
      <w:spacing w:after="0" w:line="240" w:lineRule="auto"/>
    </w:pPr>
  </w:style>
  <w:style w:type="character" w:customStyle="1" w:styleId="a8">
    <w:name w:val="כותרת עליונה תו"/>
    <w:basedOn w:val="a0"/>
    <w:link w:val="a7"/>
    <w:uiPriority w:val="99"/>
    <w:rsid w:val="00AC04FC"/>
  </w:style>
  <w:style w:type="paragraph" w:styleId="a9">
    <w:name w:val="footer"/>
    <w:basedOn w:val="a"/>
    <w:link w:val="aa"/>
    <w:uiPriority w:val="99"/>
    <w:unhideWhenUsed/>
    <w:rsid w:val="00AC04FC"/>
    <w:pPr>
      <w:tabs>
        <w:tab w:val="center" w:pos="4153"/>
        <w:tab w:val="right" w:pos="8306"/>
      </w:tabs>
      <w:spacing w:after="0" w:line="240" w:lineRule="auto"/>
    </w:pPr>
  </w:style>
  <w:style w:type="character" w:customStyle="1" w:styleId="aa">
    <w:name w:val="כותרת תחתונה תו"/>
    <w:basedOn w:val="a0"/>
    <w:link w:val="a9"/>
    <w:uiPriority w:val="99"/>
    <w:rsid w:val="00AC04FC"/>
  </w:style>
  <w:style w:type="paragraph" w:styleId="ab">
    <w:name w:val="Revision"/>
    <w:hidden/>
    <w:uiPriority w:val="99"/>
    <w:semiHidden/>
    <w:rsid w:val="00F44A72"/>
    <w:pPr>
      <w:spacing w:after="0" w:line="240" w:lineRule="auto"/>
    </w:pPr>
  </w:style>
  <w:style w:type="table" w:styleId="ac">
    <w:name w:val="Table Grid"/>
    <w:basedOn w:val="a1"/>
    <w:uiPriority w:val="59"/>
    <w:rsid w:val="00D06752"/>
    <w:pPr>
      <w:spacing w:after="0" w:line="240" w:lineRule="auto"/>
    </w:pPr>
    <w:rPr>
      <w:rFonts w:eastAsia="David" w:cs="Dav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
    <w:name w:val="טקסט רגיל - תכנון מוניטרי"/>
    <w:basedOn w:val="a"/>
    <w:link w:val="-0"/>
    <w:autoRedefine/>
    <w:qFormat/>
    <w:rsid w:val="00D06752"/>
    <w:pPr>
      <w:spacing w:line="360" w:lineRule="auto"/>
    </w:pPr>
    <w:rPr>
      <w:rFonts w:ascii="Calibri" w:hAnsi="Calibri" w:cs="Calibri"/>
      <w:sz w:val="24"/>
      <w:szCs w:val="24"/>
    </w:rPr>
  </w:style>
  <w:style w:type="character" w:customStyle="1" w:styleId="-0">
    <w:name w:val="טקסט רגיל - תכנון מוניטרי תו"/>
    <w:basedOn w:val="a0"/>
    <w:link w:val="-"/>
    <w:rsid w:val="00D06752"/>
    <w:rPr>
      <w:rFonts w:ascii="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447223">
      <w:bodyDiv w:val="1"/>
      <w:marLeft w:val="0"/>
      <w:marRight w:val="0"/>
      <w:marTop w:val="0"/>
      <w:marBottom w:val="0"/>
      <w:divBdr>
        <w:top w:val="none" w:sz="0" w:space="0" w:color="auto"/>
        <w:left w:val="none" w:sz="0" w:space="0" w:color="auto"/>
        <w:bottom w:val="none" w:sz="0" w:space="0" w:color="auto"/>
        <w:right w:val="none" w:sz="0" w:space="0" w:color="auto"/>
      </w:divBdr>
      <w:divsChild>
        <w:div w:id="1716586343">
          <w:marLeft w:val="0"/>
          <w:marRight w:val="0"/>
          <w:marTop w:val="0"/>
          <w:marBottom w:val="0"/>
          <w:divBdr>
            <w:top w:val="none" w:sz="0" w:space="0" w:color="auto"/>
            <w:left w:val="none" w:sz="0" w:space="0" w:color="auto"/>
            <w:bottom w:val="none" w:sz="0" w:space="0" w:color="auto"/>
            <w:right w:val="none" w:sz="0" w:space="0" w:color="auto"/>
          </w:divBdr>
          <w:divsChild>
            <w:div w:id="694425297">
              <w:marLeft w:val="0"/>
              <w:marRight w:val="0"/>
              <w:marTop w:val="0"/>
              <w:marBottom w:val="0"/>
              <w:divBdr>
                <w:top w:val="none" w:sz="0" w:space="0" w:color="auto"/>
                <w:left w:val="none" w:sz="0" w:space="0" w:color="auto"/>
                <w:bottom w:val="none" w:sz="0" w:space="0" w:color="auto"/>
                <w:right w:val="none" w:sz="0" w:space="0" w:color="auto"/>
              </w:divBdr>
              <w:divsChild>
                <w:div w:id="1730884703">
                  <w:marLeft w:val="0"/>
                  <w:marRight w:val="0"/>
                  <w:marTop w:val="0"/>
                  <w:marBottom w:val="0"/>
                  <w:divBdr>
                    <w:top w:val="none" w:sz="0" w:space="0" w:color="auto"/>
                    <w:left w:val="none" w:sz="0" w:space="0" w:color="auto"/>
                    <w:bottom w:val="none" w:sz="0" w:space="0" w:color="auto"/>
                    <w:right w:val="none" w:sz="0" w:space="0" w:color="auto"/>
                  </w:divBdr>
                  <w:divsChild>
                    <w:div w:id="947081094">
                      <w:marLeft w:val="0"/>
                      <w:marRight w:val="0"/>
                      <w:marTop w:val="0"/>
                      <w:marBottom w:val="0"/>
                      <w:divBdr>
                        <w:top w:val="none" w:sz="0" w:space="0" w:color="auto"/>
                        <w:left w:val="none" w:sz="0" w:space="0" w:color="auto"/>
                        <w:bottom w:val="none" w:sz="0" w:space="0" w:color="auto"/>
                        <w:right w:val="none" w:sz="0" w:space="0" w:color="auto"/>
                      </w:divBdr>
                      <w:divsChild>
                        <w:div w:id="316422610">
                          <w:marLeft w:val="0"/>
                          <w:marRight w:val="0"/>
                          <w:marTop w:val="0"/>
                          <w:marBottom w:val="0"/>
                          <w:divBdr>
                            <w:top w:val="none" w:sz="0" w:space="0" w:color="auto"/>
                            <w:left w:val="none" w:sz="0" w:space="0" w:color="auto"/>
                            <w:bottom w:val="none" w:sz="0" w:space="0" w:color="auto"/>
                            <w:right w:val="none" w:sz="0" w:space="0" w:color="auto"/>
                          </w:divBdr>
                          <w:divsChild>
                            <w:div w:id="116879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5403960">
      <w:bodyDiv w:val="1"/>
      <w:marLeft w:val="0"/>
      <w:marRight w:val="0"/>
      <w:marTop w:val="0"/>
      <w:marBottom w:val="0"/>
      <w:divBdr>
        <w:top w:val="none" w:sz="0" w:space="0" w:color="auto"/>
        <w:left w:val="none" w:sz="0" w:space="0" w:color="auto"/>
        <w:bottom w:val="none" w:sz="0" w:space="0" w:color="auto"/>
        <w:right w:val="none" w:sz="0" w:space="0" w:color="auto"/>
      </w:divBdr>
      <w:divsChild>
        <w:div w:id="1041127818">
          <w:marLeft w:val="0"/>
          <w:marRight w:val="0"/>
          <w:marTop w:val="0"/>
          <w:marBottom w:val="0"/>
          <w:divBdr>
            <w:top w:val="none" w:sz="0" w:space="0" w:color="auto"/>
            <w:left w:val="none" w:sz="0" w:space="0" w:color="auto"/>
            <w:bottom w:val="none" w:sz="0" w:space="0" w:color="auto"/>
            <w:right w:val="none" w:sz="0" w:space="0" w:color="auto"/>
          </w:divBdr>
        </w:div>
      </w:divsChild>
    </w:div>
    <w:div w:id="1761562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229D68-987E-45DC-B9DB-D9CC6A1EC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603</Words>
  <Characters>3015</Characters>
  <Application>Microsoft Office Word</Application>
  <DocSecurity>0</DocSecurity>
  <Lines>25</Lines>
  <Paragraphs>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לירון בן עמוס</cp:lastModifiedBy>
  <cp:revision>3</cp:revision>
  <dcterms:created xsi:type="dcterms:W3CDTF">2026-07-29T09:56:00Z</dcterms:created>
  <dcterms:modified xsi:type="dcterms:W3CDTF">2026-07-29T09:58:00Z</dcterms:modified>
</cp:coreProperties>
</file>