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522F25" w:rsidRPr="00A80CD4" w:rsidTr="00A92401">
        <w:tc>
          <w:tcPr>
            <w:tcW w:w="3343" w:type="dxa"/>
            <w:tcBorders>
              <w:top w:val="nil"/>
              <w:left w:val="nil"/>
              <w:bottom w:val="nil"/>
              <w:right w:val="nil"/>
            </w:tcBorders>
            <w:vAlign w:val="center"/>
          </w:tcPr>
          <w:p w:rsidR="0022333A" w:rsidRPr="00A80CD4" w:rsidRDefault="00C422AB" w:rsidP="00A92401">
            <w:pPr>
              <w:bidi/>
              <w:spacing w:line="276" w:lineRule="auto"/>
              <w:rPr>
                <w:rFonts w:asciiTheme="minorHAnsi" w:hAnsiTheme="minorHAnsi" w:cstheme="minorHAnsi"/>
                <w:b/>
                <w:bCs/>
                <w:rtl/>
              </w:rPr>
            </w:pPr>
            <w:r w:rsidRPr="00A80CD4">
              <w:rPr>
                <w:rFonts w:asciiTheme="minorHAnsi" w:hAnsiTheme="minorHAnsi" w:cstheme="minorHAnsi"/>
                <w:b/>
                <w:bCs/>
                <w:rtl/>
              </w:rPr>
              <w:t>בנק ישראל</w:t>
            </w:r>
          </w:p>
          <w:p w:rsidR="0022333A" w:rsidRPr="00A80CD4" w:rsidRDefault="00C422AB" w:rsidP="00A92401">
            <w:pPr>
              <w:bidi/>
              <w:spacing w:line="276" w:lineRule="auto"/>
              <w:rPr>
                <w:rFonts w:asciiTheme="minorHAnsi" w:hAnsiTheme="minorHAnsi" w:cstheme="minorHAnsi"/>
                <w:b/>
                <w:bCs/>
              </w:rPr>
            </w:pPr>
            <w:r w:rsidRPr="00A80CD4">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22333A" w:rsidRPr="00A80CD4" w:rsidRDefault="00C422AB" w:rsidP="00A92401">
            <w:pPr>
              <w:jc w:val="center"/>
              <w:rPr>
                <w:rFonts w:asciiTheme="minorHAnsi" w:hAnsiTheme="minorHAnsi" w:cstheme="minorHAnsi"/>
              </w:rPr>
            </w:pPr>
            <w:r w:rsidRPr="00A80CD4">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u34r\AppData\Local\Microsoft\Windows\INetCache\Content.Word\logo_70.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22333A" w:rsidRPr="00A80CD4" w:rsidRDefault="00C422AB" w:rsidP="00A92401">
            <w:pPr>
              <w:spacing w:line="276" w:lineRule="auto"/>
              <w:rPr>
                <w:rFonts w:asciiTheme="minorHAnsi" w:hAnsiTheme="minorHAnsi" w:cstheme="minorHAnsi"/>
                <w:rtl/>
              </w:rPr>
            </w:pPr>
            <w:r w:rsidRPr="00A80CD4">
              <w:rPr>
                <w:rFonts w:asciiTheme="minorHAnsi" w:hAnsiTheme="minorHAnsi" w:cstheme="minorHAnsi"/>
                <w:highlight w:val="green"/>
                <w:rtl/>
              </w:rPr>
              <w:t>‏</w:t>
            </w:r>
            <w:r w:rsidRPr="00A80CD4">
              <w:rPr>
                <w:rFonts w:asciiTheme="minorHAnsi" w:hAnsiTheme="minorHAnsi" w:cstheme="minorHAnsi"/>
                <w:rtl/>
              </w:rPr>
              <w:t xml:space="preserve">ירושלים, </w:t>
            </w:r>
            <w:r w:rsidRPr="00A80CD4">
              <w:rPr>
                <w:rFonts w:asciiTheme="minorHAnsi" w:hAnsiTheme="minorHAnsi" w:cstheme="minorHAnsi"/>
                <w:rtl/>
              </w:rPr>
              <w:fldChar w:fldCharType="begin"/>
            </w:r>
            <w:r w:rsidRPr="00A80CD4">
              <w:rPr>
                <w:rFonts w:asciiTheme="minorHAnsi" w:hAnsiTheme="minorHAnsi" w:cstheme="minorHAnsi"/>
                <w:rtl/>
              </w:rPr>
              <w:instrText xml:space="preserve"> </w:instrText>
            </w:r>
            <w:r w:rsidRPr="00A80CD4">
              <w:rPr>
                <w:rFonts w:asciiTheme="minorHAnsi" w:hAnsiTheme="minorHAnsi" w:cstheme="minorHAnsi"/>
              </w:rPr>
              <w:instrText>DATE</w:instrText>
            </w:r>
            <w:r w:rsidRPr="00A80CD4">
              <w:rPr>
                <w:rFonts w:asciiTheme="minorHAnsi" w:hAnsiTheme="minorHAnsi" w:cstheme="minorHAnsi"/>
                <w:rtl/>
              </w:rPr>
              <w:instrText xml:space="preserve"> \@ "</w:instrText>
            </w:r>
            <w:r w:rsidRPr="00A80CD4">
              <w:rPr>
                <w:rFonts w:asciiTheme="minorHAnsi" w:hAnsiTheme="minorHAnsi" w:cstheme="minorHAnsi"/>
              </w:rPr>
              <w:instrText>d MMMM, yyyy" \h</w:instrText>
            </w:r>
            <w:r w:rsidRPr="00A80CD4">
              <w:rPr>
                <w:rFonts w:asciiTheme="minorHAnsi" w:hAnsiTheme="minorHAnsi" w:cstheme="minorHAnsi"/>
                <w:rtl/>
              </w:rPr>
              <w:instrText xml:space="preserve"> </w:instrText>
            </w:r>
            <w:r w:rsidRPr="00A80CD4">
              <w:rPr>
                <w:rFonts w:asciiTheme="minorHAnsi" w:hAnsiTheme="minorHAnsi" w:cstheme="minorHAnsi"/>
                <w:rtl/>
              </w:rPr>
              <w:fldChar w:fldCharType="separate"/>
            </w:r>
            <w:r w:rsidR="00A80CD4" w:rsidRPr="00A80CD4">
              <w:rPr>
                <w:rFonts w:asciiTheme="minorHAnsi" w:hAnsiTheme="minorHAnsi" w:cstheme="minorHAnsi"/>
                <w:noProof/>
                <w:rtl/>
              </w:rPr>
              <w:t>‏י"ט תמוז, תשפ"ה</w:t>
            </w:r>
            <w:r w:rsidRPr="00A80CD4">
              <w:rPr>
                <w:rFonts w:asciiTheme="minorHAnsi" w:hAnsiTheme="minorHAnsi" w:cstheme="minorHAnsi"/>
                <w:rtl/>
              </w:rPr>
              <w:fldChar w:fldCharType="end"/>
            </w:r>
          </w:p>
          <w:p w:rsidR="0022333A" w:rsidRPr="00A80CD4" w:rsidRDefault="00C422AB" w:rsidP="00A92401">
            <w:pPr>
              <w:spacing w:line="276" w:lineRule="auto"/>
              <w:rPr>
                <w:rFonts w:asciiTheme="minorHAnsi" w:hAnsiTheme="minorHAnsi" w:cstheme="minorHAnsi"/>
                <w:highlight w:val="green"/>
              </w:rPr>
            </w:pPr>
            <w:r w:rsidRPr="00A80CD4">
              <w:rPr>
                <w:rFonts w:asciiTheme="minorHAnsi" w:hAnsiTheme="minorHAnsi" w:cstheme="minorHAnsi"/>
                <w:rtl/>
              </w:rPr>
              <w:fldChar w:fldCharType="begin"/>
            </w:r>
            <w:r w:rsidRPr="00A80CD4">
              <w:rPr>
                <w:rFonts w:asciiTheme="minorHAnsi" w:hAnsiTheme="minorHAnsi" w:cstheme="minorHAnsi"/>
                <w:rtl/>
              </w:rPr>
              <w:instrText xml:space="preserve"> </w:instrText>
            </w:r>
            <w:r w:rsidRPr="00A80CD4">
              <w:rPr>
                <w:rFonts w:asciiTheme="minorHAnsi" w:hAnsiTheme="minorHAnsi" w:cstheme="minorHAnsi"/>
              </w:rPr>
              <w:instrText>DATE</w:instrText>
            </w:r>
            <w:r w:rsidRPr="00A80CD4">
              <w:rPr>
                <w:rFonts w:asciiTheme="minorHAnsi" w:hAnsiTheme="minorHAnsi" w:cstheme="minorHAnsi"/>
                <w:rtl/>
              </w:rPr>
              <w:instrText xml:space="preserve"> \@ "</w:instrText>
            </w:r>
            <w:r w:rsidRPr="00A80CD4">
              <w:rPr>
                <w:rFonts w:asciiTheme="minorHAnsi" w:hAnsiTheme="minorHAnsi" w:cstheme="minorHAnsi"/>
              </w:rPr>
              <w:instrText>d MMMM, yyyy</w:instrText>
            </w:r>
            <w:r w:rsidRPr="00A80CD4">
              <w:rPr>
                <w:rFonts w:asciiTheme="minorHAnsi" w:hAnsiTheme="minorHAnsi" w:cstheme="minorHAnsi"/>
                <w:rtl/>
              </w:rPr>
              <w:instrText xml:space="preserve">" </w:instrText>
            </w:r>
            <w:r w:rsidRPr="00A80CD4">
              <w:rPr>
                <w:rFonts w:asciiTheme="minorHAnsi" w:hAnsiTheme="minorHAnsi" w:cstheme="minorHAnsi"/>
                <w:rtl/>
              </w:rPr>
              <w:fldChar w:fldCharType="separate"/>
            </w:r>
            <w:r w:rsidR="00A80CD4" w:rsidRPr="00A80CD4">
              <w:rPr>
                <w:rFonts w:asciiTheme="minorHAnsi" w:hAnsiTheme="minorHAnsi" w:cstheme="minorHAnsi"/>
                <w:noProof/>
                <w:rtl/>
              </w:rPr>
              <w:t>‏15 יולי, 2025</w:t>
            </w:r>
            <w:r w:rsidRPr="00A80CD4">
              <w:rPr>
                <w:rFonts w:asciiTheme="minorHAnsi" w:hAnsiTheme="minorHAnsi" w:cstheme="minorHAnsi"/>
                <w:rtl/>
              </w:rPr>
              <w:fldChar w:fldCharType="end"/>
            </w:r>
          </w:p>
        </w:tc>
      </w:tr>
    </w:tbl>
    <w:p w:rsidR="0022333A" w:rsidRPr="00A80CD4" w:rsidRDefault="0022333A" w:rsidP="0022333A">
      <w:pPr>
        <w:rPr>
          <w:rFonts w:asciiTheme="minorHAnsi" w:hAnsiTheme="minorHAnsi" w:cstheme="minorHAnsi"/>
          <w:rtl/>
        </w:rPr>
      </w:pPr>
    </w:p>
    <w:p w:rsidR="00CC22F7" w:rsidRPr="00A80CD4" w:rsidRDefault="00C422AB" w:rsidP="0022333A">
      <w:pPr>
        <w:jc w:val="right"/>
        <w:rPr>
          <w:rFonts w:asciiTheme="minorHAnsi" w:hAnsiTheme="minorHAnsi" w:cstheme="minorHAnsi"/>
          <w:rtl/>
        </w:rPr>
      </w:pPr>
      <w:r w:rsidRPr="00A80CD4">
        <w:rPr>
          <w:rFonts w:asciiTheme="minorHAnsi" w:hAnsiTheme="minorHAnsi" w:cstheme="minorHAnsi"/>
          <w:rtl/>
        </w:rPr>
        <w:t>הודעה לעיתונות:</w:t>
      </w:r>
    </w:p>
    <w:p w:rsidR="00FC2959" w:rsidRPr="00A80CD4" w:rsidRDefault="00FC2959" w:rsidP="00FC2959">
      <w:pPr>
        <w:jc w:val="center"/>
        <w:rPr>
          <w:rFonts w:asciiTheme="minorHAnsi" w:hAnsiTheme="minorHAnsi" w:cstheme="minorHAnsi"/>
          <w:b/>
          <w:bCs/>
          <w:sz w:val="22"/>
          <w:szCs w:val="22"/>
          <w:rtl/>
        </w:rPr>
      </w:pPr>
    </w:p>
    <w:p w:rsidR="00A80CD4" w:rsidRDefault="00A80CD4" w:rsidP="00A80CD4">
      <w:pPr>
        <w:pStyle w:val="1"/>
        <w:jc w:val="center"/>
        <w:rPr>
          <w:rFonts w:asciiTheme="minorHAnsi" w:hAnsiTheme="minorHAnsi" w:cstheme="minorHAnsi"/>
          <w:b/>
          <w:bCs/>
          <w:color w:val="auto"/>
          <w:sz w:val="28"/>
          <w:szCs w:val="28"/>
          <w:rtl/>
        </w:rPr>
      </w:pPr>
      <w:bookmarkStart w:id="0" w:name="_GoBack"/>
      <w:r w:rsidRPr="00A80CD4">
        <w:rPr>
          <w:rFonts w:asciiTheme="minorHAnsi" w:hAnsiTheme="minorHAnsi" w:cstheme="minorHAnsi"/>
          <w:b/>
          <w:bCs/>
          <w:color w:val="auto"/>
          <w:sz w:val="28"/>
          <w:szCs w:val="28"/>
          <w:rtl/>
        </w:rPr>
        <w:t xml:space="preserve">הפיקוח על הבנקים מפרסם להתייעצות עם הציבור את הרפורמה בתחום העמלות הנגבות ממשקי בית ועסקים קטנים על שירותי ניהול חשבון תשלום (לרבות חשבון עו"ש) וכרטיס חיוב </w:t>
      </w:r>
      <w:proofErr w:type="spellStart"/>
      <w:r w:rsidRPr="00A80CD4">
        <w:rPr>
          <w:rFonts w:asciiTheme="minorHAnsi" w:hAnsiTheme="minorHAnsi" w:cstheme="minorHAnsi"/>
          <w:b/>
          <w:bCs/>
          <w:color w:val="auto"/>
          <w:sz w:val="28"/>
          <w:szCs w:val="28"/>
          <w:rtl/>
        </w:rPr>
        <w:t>מיידי</w:t>
      </w:r>
      <w:proofErr w:type="spellEnd"/>
      <w:r w:rsidRPr="00A80CD4">
        <w:rPr>
          <w:rFonts w:asciiTheme="minorHAnsi" w:hAnsiTheme="minorHAnsi" w:cstheme="minorHAnsi"/>
          <w:b/>
          <w:bCs/>
          <w:color w:val="auto"/>
          <w:sz w:val="28"/>
          <w:szCs w:val="28"/>
          <w:rtl/>
        </w:rPr>
        <w:t xml:space="preserve"> (דביט)</w:t>
      </w:r>
    </w:p>
    <w:bookmarkEnd w:id="0"/>
    <w:p w:rsidR="00A80CD4" w:rsidRPr="00A80CD4" w:rsidRDefault="00A80CD4" w:rsidP="00A80CD4">
      <w:pPr>
        <w:rPr>
          <w:rtl/>
        </w:rPr>
      </w:pPr>
    </w:p>
    <w:p w:rsidR="00A80CD4" w:rsidRPr="00A80CD4" w:rsidRDefault="00A80CD4" w:rsidP="00A80CD4">
      <w:pPr>
        <w:bidi/>
        <w:spacing w:line="360" w:lineRule="auto"/>
        <w:jc w:val="both"/>
        <w:rPr>
          <w:rFonts w:asciiTheme="minorHAnsi" w:hAnsiTheme="minorHAnsi" w:cstheme="minorHAnsi"/>
        </w:rPr>
      </w:pPr>
      <w:r w:rsidRPr="00A80CD4">
        <w:rPr>
          <w:rFonts w:asciiTheme="minorHAnsi" w:hAnsiTheme="minorHAnsi" w:cstheme="minorHAnsi"/>
          <w:rtl/>
        </w:rPr>
        <w:t xml:space="preserve">במטרה להקל על כלל לקוחות המערכת הבנקאית, בהבנת השירותים הבנקאיים הבסיסיים ולפשט את מנגנון החיוב הקיים עבור פעולות עו"ש שוטפות, </w:t>
      </w:r>
      <w:r w:rsidRPr="00A80CD4">
        <w:rPr>
          <w:rFonts w:asciiTheme="minorHAnsi" w:hAnsiTheme="minorHAnsi" w:cstheme="minorHAnsi"/>
          <w:b/>
          <w:bCs/>
          <w:rtl/>
        </w:rPr>
        <w:t>מקדם הפיקוח על הבנקים עדכון לשיטת החיוב בגין ביצוע פעולות תשלום שוטפות וקובע שירות חדש של "ניהול חשבון תשלום"</w:t>
      </w:r>
      <w:r w:rsidRPr="00A80CD4">
        <w:rPr>
          <w:rFonts w:asciiTheme="minorHAnsi" w:hAnsiTheme="minorHAnsi" w:cstheme="minorHAnsi"/>
          <w:rtl/>
        </w:rPr>
        <w:t xml:space="preserve"> וקביעת מחיר מפוקח מקסימלי שניתן יהיה לגבות בגין שירות זה, לרבות בגין ניהול חשבון עובר ושב. כמו כן, מקדם הפיקוח קביעת מחיר מפוקח מקסימלי שניתן לגבות בגין עמלת דמי כרטיס חיוב </w:t>
      </w:r>
      <w:proofErr w:type="spellStart"/>
      <w:r w:rsidRPr="00A80CD4">
        <w:rPr>
          <w:rFonts w:asciiTheme="minorHAnsi" w:hAnsiTheme="minorHAnsi" w:cstheme="minorHAnsi"/>
          <w:rtl/>
        </w:rPr>
        <w:t>מיידי</w:t>
      </w:r>
      <w:proofErr w:type="spellEnd"/>
      <w:r w:rsidRPr="00A80CD4">
        <w:rPr>
          <w:rFonts w:asciiTheme="minorHAnsi" w:hAnsiTheme="minorHAnsi" w:cstheme="minorHAnsi"/>
          <w:rtl/>
        </w:rPr>
        <w:t xml:space="preserve"> (דביט).</w:t>
      </w:r>
    </w:p>
    <w:p w:rsidR="00A80CD4" w:rsidRPr="00A80CD4" w:rsidRDefault="00A80CD4" w:rsidP="00A80CD4">
      <w:pPr>
        <w:bidi/>
        <w:spacing w:before="240" w:line="360" w:lineRule="auto"/>
        <w:jc w:val="both"/>
        <w:rPr>
          <w:rFonts w:asciiTheme="minorHAnsi" w:hAnsiTheme="minorHAnsi" w:cstheme="minorHAnsi"/>
        </w:rPr>
      </w:pPr>
      <w:r w:rsidRPr="00A80CD4">
        <w:rPr>
          <w:rFonts w:asciiTheme="minorHAnsi" w:hAnsiTheme="minorHAnsi" w:cstheme="minorHAnsi"/>
          <w:b/>
          <w:bCs/>
          <w:rtl/>
        </w:rPr>
        <w:t>המפקח על הבנקים, מר דניאל חחיאשוילי:</w:t>
      </w:r>
      <w:r w:rsidRPr="00A80CD4">
        <w:rPr>
          <w:rFonts w:asciiTheme="minorHAnsi" w:hAnsiTheme="minorHAnsi" w:cstheme="minorHAnsi"/>
          <w:rtl/>
        </w:rPr>
        <w:t xml:space="preserve"> "בימינו, ניהול חשבון תשלום והחזקת אמצעי לתשלום מהחשבון, הינם שירותים בסיסיים שיש </w:t>
      </w:r>
      <w:proofErr w:type="spellStart"/>
      <w:r w:rsidRPr="00A80CD4">
        <w:rPr>
          <w:rFonts w:asciiTheme="minorHAnsi" w:hAnsiTheme="minorHAnsi" w:cstheme="minorHAnsi"/>
          <w:rtl/>
        </w:rPr>
        <w:t>לאפשרם</w:t>
      </w:r>
      <w:proofErr w:type="spellEnd"/>
      <w:r w:rsidRPr="00A80CD4">
        <w:rPr>
          <w:rFonts w:asciiTheme="minorHAnsi" w:hAnsiTheme="minorHAnsi" w:cstheme="minorHAnsi"/>
          <w:rtl/>
        </w:rPr>
        <w:t xml:space="preserve"> לכל אזרח. סקרים שערכנו העלו שתחום העמלות, בדגש על העמלות הנגבות בגין השירותים הבסיסיים בחשבונות תשלום, הינו אחד מהגורמים הבולטים לחוסר שביעות רצון של לקוחות ואשר משפיע על אמון הציבור במערכת הבנקאית. זאת, בין היתר, בשל עודף אפשרויות בחירה וסוגי שירותים רבים, אשר גורמים לבלבול ומקשים על הלקוחות להבין מהי שיטת התשלום המיטבית עבורם. במטרה להקל על הלקוחות בתחום זה אנו מקדמים רפורמה משמעותית ומביאים אותה להתייעצות עם הציבור".</w:t>
      </w:r>
    </w:p>
    <w:p w:rsidR="00A80CD4" w:rsidRPr="00A80CD4" w:rsidRDefault="00A80CD4" w:rsidP="00A80CD4">
      <w:pPr>
        <w:pStyle w:val="a6"/>
        <w:ind w:left="360"/>
        <w:jc w:val="both"/>
        <w:rPr>
          <w:rFonts w:cstheme="minorHAnsi"/>
          <w:sz w:val="24"/>
          <w:szCs w:val="24"/>
        </w:rPr>
      </w:pPr>
    </w:p>
    <w:p w:rsidR="00A80CD4" w:rsidRPr="00A80CD4" w:rsidRDefault="00A80CD4" w:rsidP="00A80CD4">
      <w:pPr>
        <w:bidi/>
        <w:spacing w:after="240" w:line="360" w:lineRule="auto"/>
        <w:jc w:val="both"/>
        <w:rPr>
          <w:rFonts w:asciiTheme="minorHAnsi" w:hAnsiTheme="minorHAnsi" w:cstheme="minorHAnsi"/>
          <w:b/>
          <w:bCs/>
        </w:rPr>
      </w:pPr>
      <w:r w:rsidRPr="00A80CD4">
        <w:rPr>
          <w:rFonts w:asciiTheme="minorHAnsi" w:hAnsiTheme="minorHAnsi" w:cstheme="minorHAnsi"/>
          <w:b/>
          <w:bCs/>
          <w:rtl/>
        </w:rPr>
        <w:t>שירות "ניהול חשבון תשלום"</w:t>
      </w:r>
    </w:p>
    <w:p w:rsidR="00A80CD4" w:rsidRPr="00A80CD4" w:rsidRDefault="00A80CD4" w:rsidP="00A80CD4">
      <w:pPr>
        <w:bidi/>
        <w:spacing w:line="360" w:lineRule="auto"/>
        <w:jc w:val="both"/>
        <w:rPr>
          <w:rFonts w:asciiTheme="minorHAnsi" w:hAnsiTheme="minorHAnsi" w:cstheme="minorHAnsi"/>
        </w:rPr>
      </w:pPr>
      <w:r w:rsidRPr="00A80CD4">
        <w:rPr>
          <w:rFonts w:asciiTheme="minorHAnsi" w:hAnsiTheme="minorHAnsi" w:cstheme="minorHAnsi"/>
          <w:rtl/>
        </w:rPr>
        <w:t xml:space="preserve">השירות החדש מאגד את כל השירותים הבסיסיים היומיומיים לניהול חשבון שוטף. בהתאם לשיטה החדשה, תאגיד בנקאי רשאי לגבות מלקוח (יחיד או עסק קטן), בעל חשבון תשלום פעיל, עמלת "ניהול חשבון תשלום" קבועה עבור 100 פעולות בחודש. פעולות אלו כוללות את השירותים הנפוצים, כפי שמופו על ידי הפיקוח על הבנקים ופורטו בכללים. במסגרת השיטה החדשה הורחבו כמות הפעולות וסוגי הפעולות הנכללים בשירות. כמו כן, שונתה ברירת המחדל, כך שכל הלקוחות יצורפו אוטומטית לשירות ולא יידרשו לפעולה אקטיבית מצדם.  </w:t>
      </w:r>
    </w:p>
    <w:p w:rsidR="00A80CD4" w:rsidRPr="00A80CD4" w:rsidRDefault="00A80CD4" w:rsidP="00A80CD4">
      <w:pPr>
        <w:bidi/>
        <w:spacing w:line="360" w:lineRule="auto"/>
        <w:jc w:val="both"/>
        <w:rPr>
          <w:rFonts w:asciiTheme="minorHAnsi" w:hAnsiTheme="minorHAnsi" w:cstheme="minorHAnsi"/>
        </w:rPr>
      </w:pPr>
      <w:r w:rsidRPr="00A80CD4">
        <w:rPr>
          <w:rFonts w:asciiTheme="minorHAnsi" w:hAnsiTheme="minorHAnsi" w:cstheme="minorHAnsi"/>
          <w:rtl/>
        </w:rPr>
        <w:lastRenderedPageBreak/>
        <w:t xml:space="preserve">בנוסף לקביעת שיטת התשלום האמורה, במסגרת הרפורמה יוטל פיקוח על המחירים הבאים - במסגרת שירות "ניהול חשבון תשלום", העמלה עבור 100 פעולות הראשונות תעמוד על סכום שלא יעלה על 10 ש"ח; עבור כל פעולה נוספת הכלולה בשירות זה הסכום לא יעלה על 1 ש"ח. </w:t>
      </w:r>
    </w:p>
    <w:p w:rsidR="00A80CD4" w:rsidRPr="00A80CD4" w:rsidRDefault="00A80CD4" w:rsidP="00A80CD4">
      <w:pPr>
        <w:bidi/>
        <w:spacing w:line="360" w:lineRule="auto"/>
        <w:jc w:val="both"/>
        <w:rPr>
          <w:rFonts w:asciiTheme="minorHAnsi" w:hAnsiTheme="minorHAnsi" w:cstheme="minorHAnsi"/>
        </w:rPr>
      </w:pPr>
      <w:r w:rsidRPr="00A80CD4">
        <w:rPr>
          <w:rFonts w:asciiTheme="minorHAnsi" w:hAnsiTheme="minorHAnsi" w:cstheme="minorHAnsi"/>
          <w:rtl/>
        </w:rPr>
        <w:t>השיטה החדשה מחליפה את שירות המסלולים הקיים שנקבע בשנת 2014 עוד נזכיר כי בנובמבר 2022 פורסמה טיוטת התייעצות ראשונה לעדכון כללי העמלות לפי שיטת "מנגנון מסלול מיטבי"</w:t>
      </w:r>
      <w:r w:rsidRPr="00A80CD4">
        <w:rPr>
          <w:rStyle w:val="aa"/>
          <w:rFonts w:asciiTheme="minorHAnsi" w:hAnsiTheme="minorHAnsi" w:cstheme="minorHAnsi"/>
          <w:rtl/>
        </w:rPr>
        <w:footnoteReference w:id="1"/>
      </w:r>
      <w:r w:rsidRPr="00A80CD4">
        <w:rPr>
          <w:rFonts w:asciiTheme="minorHAnsi" w:hAnsiTheme="minorHAnsi" w:cstheme="minorHAnsi"/>
          <w:rtl/>
        </w:rPr>
        <w:t xml:space="preserve">, אולם בעקבות הערות שהתקבלו, סקירה בינלאומית מקיפה שבוצעה וסקר ייעודי שבוצע עבור הפיקוח, הובן כי העדכון המוצע אינו מיטבי והוחלט על שינוי המודל כאמור. </w:t>
      </w:r>
    </w:p>
    <w:p w:rsidR="00A80CD4" w:rsidRPr="00A80CD4" w:rsidRDefault="00A80CD4" w:rsidP="00A80CD4">
      <w:pPr>
        <w:bidi/>
        <w:spacing w:after="240" w:line="360" w:lineRule="auto"/>
        <w:jc w:val="both"/>
        <w:rPr>
          <w:rFonts w:asciiTheme="minorHAnsi" w:hAnsiTheme="minorHAnsi" w:cstheme="minorHAnsi"/>
          <w:b/>
          <w:bCs/>
        </w:rPr>
      </w:pPr>
      <w:r w:rsidRPr="00A80CD4">
        <w:rPr>
          <w:rFonts w:asciiTheme="minorHAnsi" w:hAnsiTheme="minorHAnsi" w:cstheme="minorHAnsi"/>
          <w:b/>
          <w:bCs/>
          <w:rtl/>
        </w:rPr>
        <w:t xml:space="preserve">דמי כרטיס חיוב </w:t>
      </w:r>
      <w:proofErr w:type="spellStart"/>
      <w:r w:rsidRPr="00A80CD4">
        <w:rPr>
          <w:rFonts w:asciiTheme="minorHAnsi" w:hAnsiTheme="minorHAnsi" w:cstheme="minorHAnsi"/>
          <w:b/>
          <w:bCs/>
          <w:rtl/>
        </w:rPr>
        <w:t>מיידי</w:t>
      </w:r>
      <w:proofErr w:type="spellEnd"/>
    </w:p>
    <w:p w:rsidR="00A80CD4" w:rsidRPr="00A80CD4" w:rsidRDefault="00A80CD4" w:rsidP="00A80CD4">
      <w:pPr>
        <w:bidi/>
        <w:spacing w:line="360" w:lineRule="auto"/>
        <w:jc w:val="both"/>
        <w:rPr>
          <w:rFonts w:asciiTheme="minorHAnsi" w:hAnsiTheme="minorHAnsi" w:cstheme="minorHAnsi"/>
        </w:rPr>
      </w:pPr>
      <w:r w:rsidRPr="00A80CD4">
        <w:rPr>
          <w:rFonts w:asciiTheme="minorHAnsi" w:hAnsiTheme="minorHAnsi" w:cstheme="minorHAnsi"/>
          <w:rtl/>
        </w:rPr>
        <w:t xml:space="preserve">כרטיס חיוב </w:t>
      </w:r>
      <w:proofErr w:type="spellStart"/>
      <w:r w:rsidRPr="00A80CD4">
        <w:rPr>
          <w:rFonts w:asciiTheme="minorHAnsi" w:hAnsiTheme="minorHAnsi" w:cstheme="minorHAnsi"/>
          <w:rtl/>
        </w:rPr>
        <w:t>מיידי</w:t>
      </w:r>
      <w:proofErr w:type="spellEnd"/>
      <w:r w:rsidRPr="00A80CD4">
        <w:rPr>
          <w:rFonts w:asciiTheme="minorHAnsi" w:hAnsiTheme="minorHAnsi" w:cstheme="minorHAnsi"/>
          <w:rtl/>
        </w:rPr>
        <w:t xml:space="preserve"> הוא אמצעי תשלום בסיסי וחיוני, המונפק על ידי התאגיד בנקאי בו הלקוח מנהל את חשבונו. הכרטיס משמש, בין היתר, לקוחות המשתייכים לאוכלוסיות מוחלשות, ולקוחות </w:t>
      </w:r>
      <w:proofErr w:type="spellStart"/>
      <w:r w:rsidRPr="00A80CD4">
        <w:rPr>
          <w:rFonts w:asciiTheme="minorHAnsi" w:hAnsiTheme="minorHAnsi" w:cstheme="minorHAnsi"/>
          <w:rtl/>
        </w:rPr>
        <w:t>מסורבי</w:t>
      </w:r>
      <w:proofErr w:type="spellEnd"/>
      <w:r w:rsidRPr="00A80CD4">
        <w:rPr>
          <w:rFonts w:asciiTheme="minorHAnsi" w:hAnsiTheme="minorHAnsi" w:cstheme="minorHAnsi"/>
          <w:rtl/>
        </w:rPr>
        <w:t xml:space="preserve"> כרטיס אשראי, עבורם כרטיס חיוב </w:t>
      </w:r>
      <w:proofErr w:type="spellStart"/>
      <w:r w:rsidRPr="00A80CD4">
        <w:rPr>
          <w:rFonts w:asciiTheme="minorHAnsi" w:hAnsiTheme="minorHAnsi" w:cstheme="minorHAnsi"/>
          <w:rtl/>
        </w:rPr>
        <w:t>מיידי</w:t>
      </w:r>
      <w:proofErr w:type="spellEnd"/>
      <w:r w:rsidRPr="00A80CD4">
        <w:rPr>
          <w:rFonts w:asciiTheme="minorHAnsi" w:hAnsiTheme="minorHAnsi" w:cstheme="minorHAnsi"/>
          <w:rtl/>
        </w:rPr>
        <w:t xml:space="preserve"> הינו הדרך היחידה לבצע עסקאות באמצעים דיגיטליים. אוכלוסיות אלו בד"כ גם לא נהנות מפטור מתשלום עמלות או הנחות אחרות בתחום זה. בנוסף, ההחזקה בכרטיס מאפשרת להקטין את מספר הביקורים בסניפים, ומקלה על ביצוע עסקאות יומיומיות חלף השימוש במזומן. בשל כך, הוראת ניהול בנקאי תקין מס' 422 בנושא "פתיחת חשבון עובר ושב ביתרת זכות וניהול חשבון" מתייחסת לאמצעי תשלום זה וקובעת כי אין לסרב סירוב בלתי סביר לבקשת לקוח לקבל כרטיס חיוב </w:t>
      </w:r>
      <w:proofErr w:type="spellStart"/>
      <w:r w:rsidRPr="00A80CD4">
        <w:rPr>
          <w:rFonts w:asciiTheme="minorHAnsi" w:hAnsiTheme="minorHAnsi" w:cstheme="minorHAnsi"/>
          <w:rtl/>
        </w:rPr>
        <w:t>מיידי</w:t>
      </w:r>
      <w:proofErr w:type="spellEnd"/>
      <w:r w:rsidRPr="00A80CD4">
        <w:rPr>
          <w:rFonts w:asciiTheme="minorHAnsi" w:hAnsiTheme="minorHAnsi" w:cstheme="minorHAnsi"/>
          <w:rtl/>
        </w:rPr>
        <w:t>.</w:t>
      </w:r>
    </w:p>
    <w:p w:rsidR="00A80CD4" w:rsidRPr="00A80CD4" w:rsidRDefault="00A80CD4" w:rsidP="00A80CD4">
      <w:pPr>
        <w:bidi/>
        <w:spacing w:line="360" w:lineRule="auto"/>
        <w:jc w:val="both"/>
        <w:rPr>
          <w:rFonts w:asciiTheme="minorHAnsi" w:hAnsiTheme="minorHAnsi" w:cstheme="minorHAnsi"/>
        </w:rPr>
      </w:pPr>
      <w:r w:rsidRPr="00A80CD4">
        <w:rPr>
          <w:rFonts w:asciiTheme="minorHAnsi" w:hAnsiTheme="minorHAnsi" w:cstheme="minorHAnsi"/>
          <w:rtl/>
        </w:rPr>
        <w:t>עוד נזכיר, כי במסגרת עבודת הצוות הבין-משרדי לגיבוש תכנית לאומית להגברת ההכלה הפיננסית</w:t>
      </w:r>
      <w:r w:rsidRPr="00A80CD4">
        <w:rPr>
          <w:rStyle w:val="aa"/>
          <w:rFonts w:asciiTheme="minorHAnsi" w:hAnsiTheme="minorHAnsi" w:cstheme="minorHAnsi"/>
          <w:rtl/>
        </w:rPr>
        <w:footnoteReference w:id="2"/>
      </w:r>
      <w:r w:rsidRPr="00A80CD4">
        <w:rPr>
          <w:rFonts w:asciiTheme="minorHAnsi" w:hAnsiTheme="minorHAnsi" w:cstheme="minorHAnsi"/>
          <w:rtl/>
        </w:rPr>
        <w:t xml:space="preserve"> נדון הצורך בהגברת השימוש באמצעי תשלום זה לרבות באמצעות פיקוח על מחירו. </w:t>
      </w:r>
    </w:p>
    <w:p w:rsidR="00A80CD4" w:rsidRPr="00A80CD4" w:rsidRDefault="00A80CD4" w:rsidP="00A80CD4">
      <w:pPr>
        <w:bidi/>
        <w:spacing w:line="360" w:lineRule="auto"/>
        <w:jc w:val="both"/>
        <w:rPr>
          <w:rFonts w:asciiTheme="minorHAnsi" w:hAnsiTheme="minorHAnsi" w:cstheme="minorHAnsi"/>
        </w:rPr>
      </w:pPr>
      <w:r w:rsidRPr="00A80CD4">
        <w:rPr>
          <w:rFonts w:asciiTheme="minorHAnsi" w:hAnsiTheme="minorHAnsi" w:cstheme="minorHAnsi"/>
          <w:rtl/>
        </w:rPr>
        <w:t xml:space="preserve">לאור האמור, ובמטרה להגן על אוכלוסיות מוחלשות ולתרום לביסוס אמצעי תשלום בסיסי המאפשר התנהלות שוטפת, שולב ברפורמה שולב מהלך לפיקוח על מחיר דמי כרטיס זה כך שלא יעלה על מחיר של 5 ש"ח. </w:t>
      </w:r>
    </w:p>
    <w:p w:rsidR="00A80CD4" w:rsidRPr="00A80CD4" w:rsidRDefault="00A80CD4" w:rsidP="00A80CD4">
      <w:pPr>
        <w:bidi/>
        <w:spacing w:line="360" w:lineRule="auto"/>
        <w:jc w:val="both"/>
        <w:rPr>
          <w:rFonts w:asciiTheme="minorHAnsi" w:hAnsiTheme="minorHAnsi" w:cstheme="minorHAnsi"/>
        </w:rPr>
      </w:pPr>
      <w:r w:rsidRPr="00A80CD4">
        <w:rPr>
          <w:rFonts w:asciiTheme="minorHAnsi" w:hAnsiTheme="minorHAnsi" w:cstheme="minorHAnsi"/>
          <w:rtl/>
        </w:rPr>
        <w:t xml:space="preserve">הסדר זה יחליף את ההסדר הקיים היום לפיו ישנו פטור מדמי כרטיס חיוב </w:t>
      </w:r>
      <w:proofErr w:type="spellStart"/>
      <w:r w:rsidRPr="00A80CD4">
        <w:rPr>
          <w:rFonts w:asciiTheme="minorHAnsi" w:hAnsiTheme="minorHAnsi" w:cstheme="minorHAnsi"/>
          <w:rtl/>
        </w:rPr>
        <w:t>מיידי</w:t>
      </w:r>
      <w:proofErr w:type="spellEnd"/>
      <w:r w:rsidRPr="00A80CD4">
        <w:rPr>
          <w:rFonts w:asciiTheme="minorHAnsi" w:hAnsiTheme="minorHAnsi" w:cstheme="minorHAnsi"/>
          <w:rtl/>
        </w:rPr>
        <w:t xml:space="preserve"> למשך שלוש שנים ובלבד שלאותו לקוח יש כרטיס אשראי במקביל והוא נותן הגנה לאוכלוסייה רחבה יותר ולתקופה ארוכה יותר.</w:t>
      </w:r>
    </w:p>
    <w:p w:rsidR="00C422AB" w:rsidRPr="00A80CD4" w:rsidRDefault="00C422AB" w:rsidP="00C422AB">
      <w:pPr>
        <w:bidi/>
        <w:jc w:val="both"/>
        <w:rPr>
          <w:rFonts w:asciiTheme="minorHAnsi" w:hAnsiTheme="minorHAnsi" w:cstheme="minorHAnsi"/>
          <w:b/>
          <w:bCs/>
          <w:sz w:val="22"/>
          <w:szCs w:val="22"/>
        </w:rPr>
      </w:pPr>
    </w:p>
    <w:sectPr w:rsidR="00C422AB" w:rsidRPr="00A80CD4" w:rsidSect="009F13AC">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D4" w:rsidRDefault="00A80CD4" w:rsidP="00A80CD4">
      <w:pPr>
        <w:spacing w:after="0" w:line="240" w:lineRule="auto"/>
      </w:pPr>
      <w:r>
        <w:separator/>
      </w:r>
    </w:p>
  </w:endnote>
  <w:endnote w:type="continuationSeparator" w:id="0">
    <w:p w:rsidR="00A80CD4" w:rsidRDefault="00A80CD4" w:rsidP="00A8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D4" w:rsidRDefault="00A80CD4" w:rsidP="00A80CD4">
      <w:pPr>
        <w:spacing w:after="0" w:line="240" w:lineRule="auto"/>
      </w:pPr>
      <w:r>
        <w:separator/>
      </w:r>
    </w:p>
  </w:footnote>
  <w:footnote w:type="continuationSeparator" w:id="0">
    <w:p w:rsidR="00A80CD4" w:rsidRDefault="00A80CD4" w:rsidP="00A80CD4">
      <w:pPr>
        <w:spacing w:after="0" w:line="240" w:lineRule="auto"/>
      </w:pPr>
      <w:r>
        <w:continuationSeparator/>
      </w:r>
    </w:p>
  </w:footnote>
  <w:footnote w:id="1">
    <w:p w:rsidR="00A80CD4" w:rsidRPr="00A80CD4" w:rsidRDefault="00A80CD4" w:rsidP="00A80CD4">
      <w:pPr>
        <w:pStyle w:val="a8"/>
        <w:bidi/>
        <w:rPr>
          <w:rFonts w:ascii="Calibri" w:hAnsi="Calibri" w:cs="Calibri"/>
          <w:rtl/>
        </w:rPr>
      </w:pPr>
      <w:r w:rsidRPr="00A80CD4">
        <w:rPr>
          <w:rStyle w:val="aa"/>
          <w:rFonts w:ascii="Calibri" w:hAnsi="Calibri" w:cs="Calibri"/>
        </w:rPr>
        <w:footnoteRef/>
      </w:r>
      <w:r w:rsidRPr="00A80CD4">
        <w:rPr>
          <w:rFonts w:ascii="Calibri" w:hAnsi="Calibri" w:cs="Calibri"/>
          <w:rtl/>
        </w:rPr>
        <w:t xml:space="preserve"> </w:t>
      </w:r>
      <w:hyperlink r:id="rId1" w:history="1">
        <w:r w:rsidRPr="00A80CD4">
          <w:rPr>
            <w:rStyle w:val="Hyperlink"/>
            <w:rFonts w:ascii="Calibri" w:hAnsi="Calibri" w:cs="Calibri"/>
            <w:rtl/>
          </w:rPr>
          <w:t>הודעה לעיתונות: רפורמה בעמלות משקי בית ועסקים קטנים: הפיקוח על הבנקים מוציא להתייעצות טיוטה ראשונה של עדכון לכללי העמלות</w:t>
        </w:r>
      </w:hyperlink>
      <w:r w:rsidRPr="00A80CD4">
        <w:rPr>
          <w:rFonts w:ascii="Calibri" w:hAnsi="Calibri" w:cs="Calibri"/>
          <w:rtl/>
        </w:rPr>
        <w:t>.</w:t>
      </w:r>
    </w:p>
  </w:footnote>
  <w:footnote w:id="2">
    <w:p w:rsidR="00A80CD4" w:rsidRPr="00A80CD4" w:rsidRDefault="00A80CD4" w:rsidP="00A80CD4">
      <w:pPr>
        <w:pStyle w:val="a8"/>
        <w:bidi/>
        <w:rPr>
          <w:rFonts w:ascii="Calibri" w:hAnsi="Calibri" w:cs="Calibri"/>
          <w:rtl/>
        </w:rPr>
      </w:pPr>
      <w:r w:rsidRPr="00A80CD4">
        <w:rPr>
          <w:rStyle w:val="aa"/>
          <w:rFonts w:ascii="Calibri" w:hAnsi="Calibri" w:cs="Calibri"/>
        </w:rPr>
        <w:footnoteRef/>
      </w:r>
      <w:r w:rsidRPr="00A80CD4">
        <w:rPr>
          <w:rFonts w:ascii="Calibri" w:hAnsi="Calibri" w:cs="Calibri"/>
          <w:rtl/>
        </w:rPr>
        <w:t xml:space="preserve"> </w:t>
      </w:r>
      <w:hyperlink r:id="rId2" w:history="1">
        <w:r w:rsidRPr="00A80CD4">
          <w:rPr>
            <w:rStyle w:val="Hyperlink"/>
            <w:rFonts w:ascii="Calibri" w:hAnsi="Calibri" w:cs="Calibri"/>
            <w:rtl/>
          </w:rPr>
          <w:t>אתר בנק ישראל - הודעות לעיתונות: דוח צוות בין-משרדי לגיבוש תכנית לאומית להגברת ההכלה הפיננסית</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3A"/>
    <w:rsid w:val="000176FD"/>
    <w:rsid w:val="0022333A"/>
    <w:rsid w:val="00297EC1"/>
    <w:rsid w:val="00310F08"/>
    <w:rsid w:val="003A7F07"/>
    <w:rsid w:val="005119CD"/>
    <w:rsid w:val="00522F25"/>
    <w:rsid w:val="00775BB8"/>
    <w:rsid w:val="007F11E5"/>
    <w:rsid w:val="00817C16"/>
    <w:rsid w:val="0085388B"/>
    <w:rsid w:val="008804B7"/>
    <w:rsid w:val="00934FD0"/>
    <w:rsid w:val="009620A3"/>
    <w:rsid w:val="009E22E7"/>
    <w:rsid w:val="009F13AC"/>
    <w:rsid w:val="00A80CD4"/>
    <w:rsid w:val="00A92401"/>
    <w:rsid w:val="00B32C91"/>
    <w:rsid w:val="00B53DA5"/>
    <w:rsid w:val="00C422AB"/>
    <w:rsid w:val="00CC22F7"/>
    <w:rsid w:val="00DC5EE4"/>
    <w:rsid w:val="00EF4A65"/>
    <w:rsid w:val="00F41C8E"/>
    <w:rsid w:val="00FA28B2"/>
    <w:rsid w:val="00FC29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FFF0"/>
  <w15:chartTrackingRefBased/>
  <w15:docId w15:val="{47874A0F-5B2D-4B59-98E9-79930F40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33A"/>
    <w:rPr>
      <w:rFonts w:ascii="David" w:eastAsia="David" w:hAnsi="David" w:cs="David"/>
      <w:sz w:val="24"/>
      <w:szCs w:val="24"/>
    </w:rPr>
  </w:style>
  <w:style w:type="paragraph" w:styleId="1">
    <w:name w:val="heading 1"/>
    <w:basedOn w:val="a"/>
    <w:next w:val="a"/>
    <w:link w:val="10"/>
    <w:uiPriority w:val="9"/>
    <w:qFormat/>
    <w:rsid w:val="00A80C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C29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FC2959"/>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FC2959"/>
    <w:pPr>
      <w:spacing w:before="100" w:beforeAutospacing="1" w:after="100" w:afterAutospacing="1" w:line="240" w:lineRule="auto"/>
    </w:pPr>
    <w:rPr>
      <w:rFonts w:ascii="Times New Roman" w:eastAsia="Times New Roman" w:hAnsi="Times New Roman" w:cs="Times New Roman"/>
    </w:rPr>
  </w:style>
  <w:style w:type="character" w:styleId="a3">
    <w:name w:val="Strong"/>
    <w:basedOn w:val="a0"/>
    <w:uiPriority w:val="22"/>
    <w:qFormat/>
    <w:rsid w:val="00817C16"/>
    <w:rPr>
      <w:b/>
      <w:bCs/>
    </w:rPr>
  </w:style>
  <w:style w:type="paragraph" w:styleId="a4">
    <w:name w:val="Balloon Text"/>
    <w:basedOn w:val="a"/>
    <w:link w:val="a5"/>
    <w:uiPriority w:val="99"/>
    <w:semiHidden/>
    <w:unhideWhenUsed/>
    <w:rsid w:val="00C422A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C422AB"/>
    <w:rPr>
      <w:rFonts w:ascii="Tahoma" w:eastAsia="David" w:hAnsi="Tahoma" w:cs="Tahoma"/>
      <w:sz w:val="18"/>
      <w:szCs w:val="18"/>
    </w:rPr>
  </w:style>
  <w:style w:type="character" w:customStyle="1" w:styleId="10">
    <w:name w:val="כותרת 1 תו"/>
    <w:basedOn w:val="a0"/>
    <w:link w:val="1"/>
    <w:uiPriority w:val="9"/>
    <w:rsid w:val="00A80CD4"/>
    <w:rPr>
      <w:rFonts w:asciiTheme="majorHAnsi" w:eastAsiaTheme="majorEastAsia" w:hAnsiTheme="majorHAnsi" w:cstheme="majorBidi"/>
      <w:color w:val="2E74B5" w:themeColor="accent1" w:themeShade="BF"/>
      <w:sz w:val="32"/>
      <w:szCs w:val="32"/>
    </w:rPr>
  </w:style>
  <w:style w:type="paragraph" w:styleId="a6">
    <w:name w:val="List Paragraph"/>
    <w:aliases w:val="פיסקת רשימה12,פיסקת רשימה121,פיסקת רשימה2,פיסקת רשימה11"/>
    <w:basedOn w:val="a"/>
    <w:link w:val="a7"/>
    <w:uiPriority w:val="34"/>
    <w:qFormat/>
    <w:rsid w:val="00A80CD4"/>
    <w:pPr>
      <w:bidi/>
      <w:spacing w:after="200" w:line="276" w:lineRule="auto"/>
      <w:ind w:left="720"/>
      <w:contextualSpacing/>
    </w:pPr>
    <w:rPr>
      <w:rFonts w:asciiTheme="minorHAnsi" w:eastAsiaTheme="minorHAnsi" w:hAnsiTheme="minorHAnsi" w:cstheme="minorBidi"/>
      <w:sz w:val="22"/>
      <w:szCs w:val="22"/>
    </w:rPr>
  </w:style>
  <w:style w:type="character" w:customStyle="1" w:styleId="a7">
    <w:name w:val="פיסקת רשימה תו"/>
    <w:aliases w:val="פיסקת רשימה12 תו,פיסקת רשימה121 תו,פיסקת רשימה2 תו,פיסקת רשימה11 תו"/>
    <w:basedOn w:val="a0"/>
    <w:link w:val="a6"/>
    <w:uiPriority w:val="34"/>
    <w:locked/>
    <w:rsid w:val="00A80CD4"/>
  </w:style>
  <w:style w:type="paragraph" w:styleId="a8">
    <w:name w:val="footnote text"/>
    <w:basedOn w:val="a"/>
    <w:link w:val="a9"/>
    <w:uiPriority w:val="99"/>
    <w:semiHidden/>
    <w:unhideWhenUsed/>
    <w:rsid w:val="00A80CD4"/>
    <w:pPr>
      <w:spacing w:after="0" w:line="240" w:lineRule="auto"/>
    </w:pPr>
    <w:rPr>
      <w:rFonts w:ascii="Times New Roman" w:eastAsiaTheme="minorHAnsi" w:hAnsi="Times New Roman" w:cs="Times New Roman"/>
      <w:sz w:val="20"/>
      <w:szCs w:val="20"/>
    </w:rPr>
  </w:style>
  <w:style w:type="character" w:customStyle="1" w:styleId="a9">
    <w:name w:val="טקסט הערת שוליים תו"/>
    <w:basedOn w:val="a0"/>
    <w:link w:val="a8"/>
    <w:uiPriority w:val="99"/>
    <w:semiHidden/>
    <w:rsid w:val="00A80CD4"/>
    <w:rPr>
      <w:rFonts w:ascii="Times New Roman" w:hAnsi="Times New Roman" w:cs="Times New Roman"/>
      <w:sz w:val="20"/>
      <w:szCs w:val="20"/>
    </w:rPr>
  </w:style>
  <w:style w:type="character" w:styleId="aa">
    <w:name w:val="footnote reference"/>
    <w:basedOn w:val="a0"/>
    <w:uiPriority w:val="99"/>
    <w:semiHidden/>
    <w:unhideWhenUsed/>
    <w:rsid w:val="00A80CD4"/>
    <w:rPr>
      <w:vertAlign w:val="superscript"/>
    </w:rPr>
  </w:style>
  <w:style w:type="character" w:styleId="Hyperlink">
    <w:name w:val="Hyperlink"/>
    <w:basedOn w:val="a0"/>
    <w:uiPriority w:val="99"/>
    <w:unhideWhenUsed/>
    <w:rsid w:val="00A80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boi.org.il/publications/pressreleases/%D7%93%D7%95%D7%97-%D7%A6%D7%95%D7%95%D7%AA-%D7%91%D7%99%D7%9F-%D7%9E%D7%A9%D7%A8%D7%93%D7%99-%D7%9C%D7%92%D7%99%D7%91%D7%95%D7%A9-%D7%AA%D7%9B%D7%A0%D7%99%D7%AA-%D7%9C%D7%90%D7%95%D7%9E%D7%99%D7%AA-%D7%9C%D7%94%D7%92%D7%91%D7%A8%D7%AA-%D7%94%D7%94%D7%9B%D7%9C%D7%94-%D7%94%D7%A4%D7%99%D7%A0%D7%A0%D7%A1%D7%99%D7%AA/" TargetMode="External"/><Relationship Id="rId1" Type="http://schemas.openxmlformats.org/officeDocument/2006/relationships/hyperlink" Target="https://boi.org.il/publications/pressreleases/%D7%A8%D7%A4%D7%95%D7%A8%D7%9E%D7%94-%D7%91%D7%A2%D7%9E%D7%9C%D7%95%D7%AA-%D7%9E%D7%A9%D7%A7%D7%99-%D7%91%D7%99%D7%AA-%D7%95%D7%A2%D7%A1%D7%A7%D7%99%D7%9D-%D7%A7%D7%98%D7%A0%D7%99%D7%9D-%D7%94%D7%A4%D7%99%D7%A7%D7%95%D7%97-%D7%A2%D7%9C-%D7%94%D7%91%D7%A0%D7%A7%D7%99%D7%9D-%D7%9E%D7%95%D7%A6%D7%99%D7%90-%D7%9C%D7%94%D7%AA%D7%99%D7%99%D7%A2%D7%A6%D7%95%D7%AA-%D7%98%D7%99%D7%95%D7%98%D7%94-%D7%A8%D7%90%D7%A9%D7%95%D7%A0%D7%94-%D7%A9%D7%9C-%D7%A2%D7%93%D7%9B%D7%95%D7%9F-%D7%9C%D7%9B%D7%9C%D7%9C%D7%99-%D7%94%D7%A2%D7%9E%D7%9C%D7%95%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2932</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רוסול דכוור</dc:creator>
  <cp:lastModifiedBy>מיטל רולניצקי</cp:lastModifiedBy>
  <cp:revision>2</cp:revision>
  <dcterms:created xsi:type="dcterms:W3CDTF">2025-07-15T06:31:00Z</dcterms:created>
  <dcterms:modified xsi:type="dcterms:W3CDTF">2025-07-15T06:31:00Z</dcterms:modified>
</cp:coreProperties>
</file>