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1F" w:rsidRPr="005A521F" w:rsidRDefault="005A521F" w:rsidP="005A521F">
      <w:pPr>
        <w:rPr>
          <w:rFonts w:cstheme="minorHAnsi"/>
          <w:b/>
          <w:bCs/>
          <w:sz w:val="24"/>
          <w:szCs w:val="24"/>
          <w:rtl/>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5A521F" w:rsidRPr="005A521F" w:rsidTr="00FD5581">
        <w:tc>
          <w:tcPr>
            <w:tcW w:w="3343" w:type="dxa"/>
            <w:tcBorders>
              <w:top w:val="nil"/>
              <w:left w:val="nil"/>
              <w:bottom w:val="nil"/>
              <w:right w:val="nil"/>
            </w:tcBorders>
            <w:vAlign w:val="center"/>
          </w:tcPr>
          <w:p w:rsidR="005A521F" w:rsidRPr="005A521F" w:rsidRDefault="005A521F" w:rsidP="005A521F">
            <w:pPr>
              <w:spacing w:after="0"/>
              <w:jc w:val="center"/>
              <w:rPr>
                <w:rFonts w:eastAsia="Calibri" w:cstheme="minorHAnsi"/>
                <w:b/>
                <w:bCs/>
                <w:sz w:val="24"/>
                <w:szCs w:val="24"/>
                <w:rtl/>
              </w:rPr>
            </w:pPr>
            <w:r w:rsidRPr="005A521F">
              <w:rPr>
                <w:rFonts w:eastAsia="Calibri" w:cstheme="minorHAnsi"/>
                <w:b/>
                <w:bCs/>
                <w:sz w:val="24"/>
                <w:szCs w:val="24"/>
                <w:rtl/>
              </w:rPr>
              <w:t>בנק ישראל</w:t>
            </w:r>
          </w:p>
          <w:p w:rsidR="005A521F" w:rsidRPr="005A521F" w:rsidRDefault="005A521F" w:rsidP="005A521F">
            <w:pPr>
              <w:spacing w:after="0"/>
              <w:jc w:val="center"/>
              <w:rPr>
                <w:rFonts w:eastAsia="Calibri" w:cstheme="minorHAnsi"/>
                <w:b/>
                <w:bCs/>
                <w:sz w:val="24"/>
                <w:szCs w:val="24"/>
              </w:rPr>
            </w:pPr>
            <w:r w:rsidRPr="005A521F">
              <w:rPr>
                <w:rFonts w:eastAsia="Calibri" w:cstheme="minorHAnsi"/>
                <w:sz w:val="24"/>
                <w:szCs w:val="24"/>
                <w:rtl/>
              </w:rPr>
              <w:t>דוברות והסברה כלכלית</w:t>
            </w:r>
          </w:p>
        </w:tc>
        <w:tc>
          <w:tcPr>
            <w:tcW w:w="2596" w:type="dxa"/>
            <w:tcBorders>
              <w:top w:val="nil"/>
              <w:left w:val="nil"/>
              <w:bottom w:val="nil"/>
              <w:right w:val="nil"/>
            </w:tcBorders>
            <w:shd w:val="clear" w:color="auto" w:fill="FFFFFF"/>
          </w:tcPr>
          <w:p w:rsidR="005A521F" w:rsidRPr="005A521F" w:rsidRDefault="005A521F" w:rsidP="005A521F">
            <w:pPr>
              <w:spacing w:after="0" w:line="360" w:lineRule="auto"/>
              <w:jc w:val="center"/>
              <w:rPr>
                <w:rFonts w:eastAsia="Calibri" w:cstheme="minorHAnsi"/>
                <w:sz w:val="24"/>
                <w:szCs w:val="24"/>
              </w:rPr>
            </w:pPr>
            <w:r w:rsidRPr="005A521F">
              <w:rPr>
                <w:rFonts w:eastAsia="Calibri" w:cstheme="minorHAnsi"/>
                <w:noProof/>
                <w:sz w:val="24"/>
                <w:szCs w:val="24"/>
              </w:rPr>
              <w:drawing>
                <wp:inline distT="0" distB="0" distL="0" distR="0" wp14:anchorId="1B7F210C" wp14:editId="77238620">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5A521F" w:rsidRPr="005A521F" w:rsidRDefault="005A521F" w:rsidP="005A521F">
            <w:pPr>
              <w:spacing w:after="0"/>
              <w:jc w:val="center"/>
              <w:rPr>
                <w:rFonts w:eastAsia="Calibri" w:cstheme="minorHAnsi"/>
                <w:sz w:val="24"/>
                <w:szCs w:val="24"/>
                <w:rtl/>
              </w:rPr>
            </w:pPr>
            <w:r w:rsidRPr="005A521F">
              <w:rPr>
                <w:rFonts w:eastAsia="Calibri" w:cstheme="minorHAnsi"/>
                <w:sz w:val="24"/>
                <w:szCs w:val="24"/>
                <w:highlight w:val="green"/>
                <w:rtl/>
              </w:rPr>
              <w:t>‏</w:t>
            </w:r>
            <w:r w:rsidRPr="005A521F">
              <w:rPr>
                <w:rFonts w:eastAsia="Calibri" w:cstheme="minorHAnsi"/>
                <w:sz w:val="24"/>
                <w:szCs w:val="24"/>
                <w:rtl/>
              </w:rPr>
              <w:t xml:space="preserve">ירושלים, </w:t>
            </w:r>
            <w:r w:rsidRPr="005A521F">
              <w:rPr>
                <w:rFonts w:eastAsia="Calibri" w:cstheme="minorHAnsi"/>
                <w:sz w:val="24"/>
                <w:szCs w:val="24"/>
                <w:rtl/>
              </w:rPr>
              <w:fldChar w:fldCharType="begin"/>
            </w:r>
            <w:r w:rsidRPr="005A521F">
              <w:rPr>
                <w:rFonts w:eastAsia="Calibri" w:cstheme="minorHAnsi"/>
                <w:sz w:val="24"/>
                <w:szCs w:val="24"/>
                <w:rtl/>
              </w:rPr>
              <w:instrText xml:space="preserve"> </w:instrText>
            </w:r>
            <w:r w:rsidRPr="005A521F">
              <w:rPr>
                <w:rFonts w:eastAsia="Calibri" w:cstheme="minorHAnsi"/>
                <w:sz w:val="24"/>
                <w:szCs w:val="24"/>
              </w:rPr>
              <w:instrText>DATE</w:instrText>
            </w:r>
            <w:r w:rsidRPr="005A521F">
              <w:rPr>
                <w:rFonts w:eastAsia="Calibri" w:cstheme="minorHAnsi"/>
                <w:sz w:val="24"/>
                <w:szCs w:val="24"/>
                <w:rtl/>
              </w:rPr>
              <w:instrText xml:space="preserve"> \@ "</w:instrText>
            </w:r>
            <w:r w:rsidRPr="005A521F">
              <w:rPr>
                <w:rFonts w:eastAsia="Calibri" w:cstheme="minorHAnsi"/>
                <w:sz w:val="24"/>
                <w:szCs w:val="24"/>
              </w:rPr>
              <w:instrText>d MMMM, yyyy" \h</w:instrText>
            </w:r>
            <w:r w:rsidRPr="005A521F">
              <w:rPr>
                <w:rFonts w:eastAsia="Calibri" w:cstheme="minorHAnsi"/>
                <w:sz w:val="24"/>
                <w:szCs w:val="24"/>
                <w:rtl/>
              </w:rPr>
              <w:instrText xml:space="preserve"> </w:instrText>
            </w:r>
            <w:r w:rsidRPr="005A521F">
              <w:rPr>
                <w:rFonts w:eastAsia="Calibri" w:cstheme="minorHAnsi"/>
                <w:sz w:val="24"/>
                <w:szCs w:val="24"/>
                <w:rtl/>
              </w:rPr>
              <w:fldChar w:fldCharType="separate"/>
            </w:r>
            <w:r w:rsidR="005C1E1B">
              <w:rPr>
                <w:rFonts w:eastAsia="Calibri" w:cstheme="minorHAnsi"/>
                <w:noProof/>
                <w:sz w:val="24"/>
                <w:szCs w:val="24"/>
                <w:rtl/>
              </w:rPr>
              <w:t>‏כ"ה אייר, תשפ"ו</w:t>
            </w:r>
            <w:r w:rsidRPr="005A521F">
              <w:rPr>
                <w:rFonts w:eastAsia="Calibri" w:cstheme="minorHAnsi"/>
                <w:sz w:val="24"/>
                <w:szCs w:val="24"/>
                <w:rtl/>
              </w:rPr>
              <w:fldChar w:fldCharType="end"/>
            </w:r>
          </w:p>
          <w:p w:rsidR="005A521F" w:rsidRPr="005A521F" w:rsidRDefault="005A521F" w:rsidP="005A521F">
            <w:pPr>
              <w:spacing w:after="0"/>
              <w:jc w:val="center"/>
              <w:rPr>
                <w:rFonts w:eastAsia="Calibri" w:cstheme="minorHAnsi"/>
                <w:sz w:val="24"/>
                <w:szCs w:val="24"/>
                <w:highlight w:val="green"/>
              </w:rPr>
            </w:pPr>
            <w:r w:rsidRPr="005A521F">
              <w:rPr>
                <w:rFonts w:eastAsia="Calibri" w:cstheme="minorHAnsi"/>
                <w:sz w:val="24"/>
                <w:szCs w:val="24"/>
                <w:rtl/>
              </w:rPr>
              <w:fldChar w:fldCharType="begin"/>
            </w:r>
            <w:r w:rsidRPr="005A521F">
              <w:rPr>
                <w:rFonts w:eastAsia="Calibri" w:cstheme="minorHAnsi"/>
                <w:sz w:val="24"/>
                <w:szCs w:val="24"/>
                <w:rtl/>
              </w:rPr>
              <w:instrText xml:space="preserve"> </w:instrText>
            </w:r>
            <w:r w:rsidRPr="005A521F">
              <w:rPr>
                <w:rFonts w:eastAsia="Calibri" w:cstheme="minorHAnsi"/>
                <w:sz w:val="24"/>
                <w:szCs w:val="24"/>
              </w:rPr>
              <w:instrText>DATE</w:instrText>
            </w:r>
            <w:r w:rsidRPr="005A521F">
              <w:rPr>
                <w:rFonts w:eastAsia="Calibri" w:cstheme="minorHAnsi"/>
                <w:sz w:val="24"/>
                <w:szCs w:val="24"/>
                <w:rtl/>
              </w:rPr>
              <w:instrText xml:space="preserve"> \@ "</w:instrText>
            </w:r>
            <w:r w:rsidRPr="005A521F">
              <w:rPr>
                <w:rFonts w:eastAsia="Calibri" w:cstheme="minorHAnsi"/>
                <w:sz w:val="24"/>
                <w:szCs w:val="24"/>
              </w:rPr>
              <w:instrText>d MMMM, yyyy</w:instrText>
            </w:r>
            <w:r w:rsidRPr="005A521F">
              <w:rPr>
                <w:rFonts w:eastAsia="Calibri" w:cstheme="minorHAnsi"/>
                <w:sz w:val="24"/>
                <w:szCs w:val="24"/>
                <w:rtl/>
              </w:rPr>
              <w:instrText xml:space="preserve">" </w:instrText>
            </w:r>
            <w:r w:rsidRPr="005A521F">
              <w:rPr>
                <w:rFonts w:eastAsia="Calibri" w:cstheme="minorHAnsi"/>
                <w:sz w:val="24"/>
                <w:szCs w:val="24"/>
                <w:rtl/>
              </w:rPr>
              <w:fldChar w:fldCharType="separate"/>
            </w:r>
            <w:r w:rsidR="005C1E1B">
              <w:rPr>
                <w:rFonts w:eastAsia="Calibri" w:cstheme="minorHAnsi"/>
                <w:noProof/>
                <w:sz w:val="24"/>
                <w:szCs w:val="24"/>
                <w:rtl/>
              </w:rPr>
              <w:t>‏12 מאי, 2026</w:t>
            </w:r>
            <w:r w:rsidRPr="005A521F">
              <w:rPr>
                <w:rFonts w:eastAsia="Calibri" w:cstheme="minorHAnsi"/>
                <w:sz w:val="24"/>
                <w:szCs w:val="24"/>
                <w:rtl/>
              </w:rPr>
              <w:fldChar w:fldCharType="end"/>
            </w:r>
          </w:p>
        </w:tc>
      </w:tr>
    </w:tbl>
    <w:p w:rsidR="005A521F" w:rsidRPr="005A521F" w:rsidRDefault="005A521F" w:rsidP="005A521F">
      <w:pPr>
        <w:shd w:val="clear" w:color="auto" w:fill="FFFFFF"/>
        <w:spacing w:before="100" w:beforeAutospacing="1" w:after="100" w:afterAutospacing="1" w:line="360" w:lineRule="auto"/>
        <w:jc w:val="both"/>
        <w:outlineLvl w:val="0"/>
        <w:rPr>
          <w:rFonts w:eastAsia="Times New Roman" w:cstheme="minorHAnsi"/>
          <w:sz w:val="24"/>
          <w:szCs w:val="24"/>
          <w:rtl/>
        </w:rPr>
      </w:pPr>
      <w:r w:rsidRPr="005A521F">
        <w:rPr>
          <w:rFonts w:eastAsia="Times New Roman" w:cstheme="minorHAnsi"/>
          <w:sz w:val="24"/>
          <w:szCs w:val="24"/>
          <w:rtl/>
        </w:rPr>
        <w:t>הודעה לעיתונות:</w:t>
      </w:r>
    </w:p>
    <w:p w:rsidR="005A521F" w:rsidRPr="005A521F" w:rsidRDefault="005A521F" w:rsidP="006848C8">
      <w:pPr>
        <w:jc w:val="center"/>
        <w:rPr>
          <w:rFonts w:cstheme="minorHAnsi"/>
          <w:b/>
          <w:bCs/>
          <w:sz w:val="28"/>
          <w:szCs w:val="28"/>
          <w:rtl/>
        </w:rPr>
      </w:pPr>
      <w:r w:rsidRPr="005A521F">
        <w:rPr>
          <w:rFonts w:eastAsia="Times New Roman" w:cstheme="minorHAnsi"/>
          <w:b/>
          <w:bCs/>
          <w:sz w:val="28"/>
          <w:szCs w:val="28"/>
          <w:rtl/>
        </w:rPr>
        <w:t>תיבה מתוך סקירת מערכת הבנקאות בישראל לשנת 2025 שתפורסם בקרוב</w:t>
      </w:r>
      <w:r w:rsidRPr="005A521F">
        <w:rPr>
          <w:rFonts w:eastAsia="Times New Roman" w:cstheme="minorHAnsi"/>
          <w:b/>
          <w:bCs/>
          <w:sz w:val="28"/>
          <w:szCs w:val="28"/>
        </w:rPr>
        <w:t>:</w:t>
      </w:r>
      <w:r w:rsidRPr="005A521F">
        <w:rPr>
          <w:rFonts w:eastAsia="Times New Roman" w:cstheme="minorHAnsi"/>
          <w:b/>
          <w:bCs/>
          <w:sz w:val="28"/>
          <w:szCs w:val="28"/>
          <w:rtl/>
        </w:rPr>
        <w:t xml:space="preserve"> </w:t>
      </w:r>
      <w:r w:rsidRPr="005A521F">
        <w:rPr>
          <w:rFonts w:cstheme="minorHAnsi"/>
          <w:b/>
          <w:bCs/>
          <w:sz w:val="28"/>
          <w:szCs w:val="28"/>
          <w:rtl/>
        </w:rPr>
        <w:t xml:space="preserve">התפתחות האשראי בענף הבינוי והנדל"ן  </w:t>
      </w:r>
    </w:p>
    <w:p w:rsidR="005A521F" w:rsidRPr="0068047A" w:rsidRDefault="005A521F" w:rsidP="005A521F">
      <w:pPr>
        <w:pStyle w:val="a3"/>
        <w:numPr>
          <w:ilvl w:val="0"/>
          <w:numId w:val="1"/>
        </w:numPr>
        <w:spacing w:line="360" w:lineRule="auto"/>
        <w:jc w:val="both"/>
        <w:rPr>
          <w:rFonts w:cstheme="minorHAnsi"/>
          <w:rtl/>
        </w:rPr>
      </w:pPr>
      <w:bookmarkStart w:id="0" w:name="_GoBack"/>
      <w:r w:rsidRPr="0068047A">
        <w:rPr>
          <w:rFonts w:eastAsia="Calibri" w:cstheme="minorHAnsi"/>
          <w:rtl/>
        </w:rPr>
        <w:t xml:space="preserve">האשראי לענף הבינוי והנדל"ן מהווה מרכיב משמעותי (כ-39 אחוזים) מסך האשראי </w:t>
      </w:r>
      <w:proofErr w:type="spellStart"/>
      <w:r w:rsidRPr="0068047A">
        <w:rPr>
          <w:rFonts w:eastAsia="Calibri" w:cstheme="minorHAnsi"/>
          <w:rtl/>
        </w:rPr>
        <w:t>המאזני</w:t>
      </w:r>
      <w:proofErr w:type="spellEnd"/>
      <w:r w:rsidRPr="0068047A">
        <w:rPr>
          <w:rFonts w:eastAsia="Calibri" w:cstheme="minorHAnsi"/>
          <w:rtl/>
        </w:rPr>
        <w:t xml:space="preserve"> העסקי ומסך האשראי </w:t>
      </w:r>
      <w:proofErr w:type="spellStart"/>
      <w:r w:rsidRPr="0068047A">
        <w:rPr>
          <w:rFonts w:eastAsia="Calibri" w:cstheme="minorHAnsi"/>
          <w:rtl/>
        </w:rPr>
        <w:t>המאזני</w:t>
      </w:r>
      <w:proofErr w:type="spellEnd"/>
      <w:r w:rsidRPr="0068047A">
        <w:rPr>
          <w:rFonts w:eastAsia="Calibri" w:cstheme="minorHAnsi"/>
          <w:rtl/>
        </w:rPr>
        <w:t xml:space="preserve"> לציבור (כ-21 אחוזים) בגין פעילות בישראל. </w:t>
      </w:r>
    </w:p>
    <w:p w:rsidR="005A521F" w:rsidRPr="0068047A" w:rsidRDefault="005A521F" w:rsidP="005A521F">
      <w:pPr>
        <w:pStyle w:val="a3"/>
        <w:numPr>
          <w:ilvl w:val="0"/>
          <w:numId w:val="1"/>
        </w:numPr>
        <w:spacing w:line="360" w:lineRule="auto"/>
        <w:jc w:val="both"/>
        <w:rPr>
          <w:rFonts w:cstheme="minorHAnsi"/>
          <w:rtl/>
        </w:rPr>
      </w:pPr>
      <w:r w:rsidRPr="0068047A">
        <w:rPr>
          <w:rFonts w:eastAsia="Calibri" w:cstheme="minorHAnsi"/>
          <w:rtl/>
        </w:rPr>
        <w:t xml:space="preserve">גם בשנת 2025 הוסיף האשראי </w:t>
      </w:r>
      <w:proofErr w:type="spellStart"/>
      <w:r w:rsidRPr="0068047A">
        <w:rPr>
          <w:rFonts w:eastAsia="Calibri" w:cstheme="minorHAnsi"/>
          <w:rtl/>
        </w:rPr>
        <w:t>המאזני</w:t>
      </w:r>
      <w:proofErr w:type="spellEnd"/>
      <w:r w:rsidRPr="0068047A">
        <w:rPr>
          <w:rFonts w:eastAsia="Calibri" w:cstheme="minorHAnsi"/>
          <w:rtl/>
        </w:rPr>
        <w:t xml:space="preserve"> לענף הבינוי והנדל"ן בחמש הקבוצות הבנקאיות הגדולות לצמוח בשיעור גבוה (כ-14 אחוזים). צמיחה זו לוותה בעלייה מסוימת בסיכון האשראי לענף - זאת על רקע ירידה בביקוש לדירות חדשות בשנת 2025, עלייה במלאי הדירות החדשות </w:t>
      </w:r>
      <w:proofErr w:type="spellStart"/>
      <w:r w:rsidRPr="0068047A">
        <w:rPr>
          <w:rFonts w:eastAsia="Calibri" w:cstheme="minorHAnsi"/>
          <w:rtl/>
        </w:rPr>
        <w:t>הלא־מכורות</w:t>
      </w:r>
      <w:proofErr w:type="spellEnd"/>
      <w:r w:rsidRPr="0068047A">
        <w:rPr>
          <w:rFonts w:eastAsia="Calibri" w:cstheme="minorHAnsi"/>
          <w:rtl/>
        </w:rPr>
        <w:t>, שרשם רמת שיא, ושחיקה מסוימת במדדי סיכון אשראי עיקריים.</w:t>
      </w:r>
    </w:p>
    <w:p w:rsidR="005A521F" w:rsidRPr="0068047A" w:rsidRDefault="005A521F" w:rsidP="005A521F">
      <w:pPr>
        <w:pStyle w:val="a3"/>
        <w:numPr>
          <w:ilvl w:val="0"/>
          <w:numId w:val="1"/>
        </w:numPr>
        <w:spacing w:line="360" w:lineRule="auto"/>
        <w:jc w:val="both"/>
        <w:rPr>
          <w:rFonts w:cstheme="minorHAnsi"/>
        </w:rPr>
      </w:pPr>
      <w:r w:rsidRPr="0068047A">
        <w:rPr>
          <w:rFonts w:eastAsia="Calibri" w:cstheme="minorHAnsi"/>
          <w:rtl/>
        </w:rPr>
        <w:t xml:space="preserve">לנוכח התפתחויות אלה, הפיקוח על הבנקים ממשיך לעקוב באופן הדוק אחר ההתפתחויות באשראי לענף, לבצע ניטור שוטף של הסיכונים המתפתחים בענף בהתאם לתחומי הפעילות השונים ולדרוש מהבנקים לקיים ניהול סיכונים מוקפד של האשראי בענף בהתאם </w:t>
      </w:r>
      <w:proofErr w:type="spellStart"/>
      <w:r w:rsidRPr="0068047A">
        <w:rPr>
          <w:rFonts w:eastAsia="Calibri" w:cstheme="minorHAnsi"/>
          <w:rtl/>
        </w:rPr>
        <w:t>לפרקטיקות</w:t>
      </w:r>
      <w:proofErr w:type="spellEnd"/>
      <w:r w:rsidRPr="0068047A">
        <w:rPr>
          <w:rFonts w:eastAsia="Calibri" w:cstheme="minorHAnsi"/>
          <w:rtl/>
        </w:rPr>
        <w:t xml:space="preserve"> מקובלות ונאותות.</w:t>
      </w:r>
      <w:r w:rsidRPr="0068047A">
        <w:rPr>
          <w:rFonts w:cstheme="minorHAnsi"/>
          <w:rtl/>
        </w:rPr>
        <w:t xml:space="preserve"> </w:t>
      </w:r>
    </w:p>
    <w:p w:rsidR="005A521F" w:rsidRPr="0068047A" w:rsidRDefault="005A521F" w:rsidP="005A521F">
      <w:pPr>
        <w:pStyle w:val="a3"/>
        <w:numPr>
          <w:ilvl w:val="0"/>
          <w:numId w:val="1"/>
        </w:numPr>
        <w:tabs>
          <w:tab w:val="left" w:pos="2315"/>
        </w:tabs>
        <w:spacing w:line="360" w:lineRule="auto"/>
        <w:jc w:val="both"/>
        <w:rPr>
          <w:rFonts w:eastAsia="Calibri" w:cstheme="minorHAnsi"/>
        </w:rPr>
      </w:pPr>
      <w:r w:rsidRPr="0068047A">
        <w:rPr>
          <w:rFonts w:eastAsia="Calibri" w:cstheme="minorHAnsi"/>
          <w:rtl/>
        </w:rPr>
        <w:t xml:space="preserve">בשנת 2025 </w:t>
      </w:r>
      <w:r w:rsidRPr="0068047A">
        <w:rPr>
          <w:rFonts w:eastAsia="Times New Roman" w:cstheme="minorHAnsi"/>
          <w:kern w:val="28"/>
          <w:rtl/>
        </w:rPr>
        <w:t xml:space="preserve">נרשמה צמיחה מתונה של כ-6 אחוזים ביתרת האשראי </w:t>
      </w:r>
      <w:proofErr w:type="spellStart"/>
      <w:r w:rsidRPr="0068047A">
        <w:rPr>
          <w:rFonts w:eastAsia="Times New Roman" w:cstheme="minorHAnsi"/>
          <w:kern w:val="28"/>
          <w:rtl/>
        </w:rPr>
        <w:t>המאזני</w:t>
      </w:r>
      <w:proofErr w:type="spellEnd"/>
      <w:r w:rsidRPr="0068047A">
        <w:rPr>
          <w:rFonts w:eastAsia="Times New Roman" w:cstheme="minorHAnsi"/>
          <w:kern w:val="28"/>
          <w:rtl/>
        </w:rPr>
        <w:t xml:space="preserve"> לקרקעות בחמש הקבוצות הבנקאיות הגדולות והיא הסתכמה בכ-104 מיליארד ש"ח. זאת לאחר ההאטה באשראי זה שחלה בשנים 2024-2023. </w:t>
      </w:r>
    </w:p>
    <w:p w:rsidR="005A521F" w:rsidRPr="0068047A" w:rsidRDefault="005A521F" w:rsidP="005A521F">
      <w:pPr>
        <w:pStyle w:val="a3"/>
        <w:numPr>
          <w:ilvl w:val="0"/>
          <w:numId w:val="1"/>
        </w:numPr>
        <w:tabs>
          <w:tab w:val="left" w:pos="2315"/>
        </w:tabs>
        <w:spacing w:line="360" w:lineRule="auto"/>
        <w:jc w:val="both"/>
        <w:rPr>
          <w:rFonts w:eastAsia="Calibri" w:cstheme="minorHAnsi"/>
        </w:rPr>
      </w:pPr>
      <w:r w:rsidRPr="0068047A">
        <w:rPr>
          <w:rFonts w:cstheme="minorHAnsi"/>
          <w:rtl/>
        </w:rPr>
        <w:t>בשנת 2025 נרשמה עלייה חדה בשיעור של כ-40 אחוזים באשראי הכספי שנועד למימון פרויקטים לבנייה למגורים - מכ-49 מיליארד ש"ח בסוף שנת 2024 לכ-69 מיליארד ש"ח בסוף שנת 2025. זאת בהמשך למגמת העלייה באשראי זה בשנים 2024-2023.</w:t>
      </w:r>
      <w:r w:rsidRPr="0068047A">
        <w:rPr>
          <w:rFonts w:eastAsia="Calibri" w:cstheme="minorHAnsi"/>
          <w:rtl/>
        </w:rPr>
        <w:t xml:space="preserve"> הגידול בצורכי המימון של היזמים לליווי בנייה למגורים בשנת 2025 מוסבר, בין היתר, בהאטה במספר העסקות לרכישת דירות חדשות, בהתייקרות עלויות הבנייה ובמבצעי </w:t>
      </w:r>
      <w:r w:rsidRPr="0068047A">
        <w:rPr>
          <w:rFonts w:cstheme="minorHAnsi"/>
          <w:rtl/>
        </w:rPr>
        <w:t>עידוד רכישת דירות שהציעו היזמים לרוכשים</w:t>
      </w:r>
      <w:r w:rsidRPr="0068047A">
        <w:rPr>
          <w:rFonts w:eastAsia="Calibri" w:cstheme="minorHAnsi"/>
          <w:rtl/>
        </w:rPr>
        <w:t>, שבמקרים מסוימים כוללים דחייה משמעותית בתשלומים בעבור הדירות שרכשו. בעקבות זאת, בשנת 2025 נרשמה שחיקה של כ-12 נקודות אחוז ביחס כושר הספיגה</w:t>
      </w:r>
      <w:r w:rsidRPr="0068047A">
        <w:rPr>
          <w:rFonts w:eastAsia="Times New Roman" w:cstheme="minorHAnsi"/>
          <w:kern w:val="28"/>
          <w:vertAlign w:val="superscript"/>
          <w:rtl/>
        </w:rPr>
        <w:footnoteReference w:id="1"/>
      </w:r>
      <w:r w:rsidRPr="0068047A">
        <w:rPr>
          <w:rFonts w:eastAsia="Calibri" w:cstheme="minorHAnsi"/>
          <w:rtl/>
        </w:rPr>
        <w:t xml:space="preserve"> הממוצע בפרויקטים לבנייה למגורים לשיעור של כ-58 אחוזים, </w:t>
      </w:r>
      <w:proofErr w:type="spellStart"/>
      <w:r w:rsidRPr="0068047A">
        <w:rPr>
          <w:rFonts w:eastAsia="Calibri" w:cstheme="minorHAnsi"/>
          <w:rtl/>
        </w:rPr>
        <w:t>אם־כי</w:t>
      </w:r>
      <w:proofErr w:type="spellEnd"/>
      <w:r w:rsidRPr="0068047A">
        <w:rPr>
          <w:rFonts w:eastAsia="Calibri" w:cstheme="minorHAnsi"/>
          <w:rtl/>
        </w:rPr>
        <w:t xml:space="preserve"> יחס זה עודנו מצביע על שולי ביטחון רחבים באופן יחסי. כמו־כן, בשנת 2025 חלה עלייה (בכ-9 נקודות אחוז) בנתח החשיפה הכוללת בחמש הקבוצות הבנקאיות הגדולות לפרויקטים שבהם קצב הביצוע ההנדסי גבוה מקצב המכירות</w:t>
      </w:r>
      <w:r w:rsidRPr="0068047A">
        <w:rPr>
          <w:rStyle w:val="a7"/>
          <w:rFonts w:eastAsia="Calibri" w:cstheme="minorHAnsi"/>
          <w:rtl/>
        </w:rPr>
        <w:footnoteReference w:id="2"/>
      </w:r>
      <w:r w:rsidRPr="0068047A">
        <w:rPr>
          <w:rFonts w:eastAsia="Calibri" w:cstheme="minorHAnsi"/>
          <w:rtl/>
        </w:rPr>
        <w:t xml:space="preserve"> - לכ-44 אחוזים בסוף 2025.</w:t>
      </w:r>
    </w:p>
    <w:bookmarkEnd w:id="0"/>
    <w:p w:rsidR="003E05EC" w:rsidRPr="005A521F" w:rsidRDefault="003E05EC">
      <w:pPr>
        <w:rPr>
          <w:rFonts w:cstheme="minorHAnsi"/>
        </w:rPr>
      </w:pPr>
    </w:p>
    <w:sectPr w:rsidR="003E05EC" w:rsidRPr="005A521F" w:rsidSect="00FA276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0AC" w:rsidRDefault="006A70AC" w:rsidP="005A521F">
      <w:pPr>
        <w:spacing w:after="0" w:line="240" w:lineRule="auto"/>
      </w:pPr>
      <w:r>
        <w:separator/>
      </w:r>
    </w:p>
  </w:endnote>
  <w:endnote w:type="continuationSeparator" w:id="0">
    <w:p w:rsidR="006A70AC" w:rsidRDefault="006A70AC" w:rsidP="005A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0AC" w:rsidRDefault="006A70AC" w:rsidP="005A521F">
      <w:pPr>
        <w:spacing w:after="0" w:line="240" w:lineRule="auto"/>
      </w:pPr>
      <w:r>
        <w:separator/>
      </w:r>
    </w:p>
  </w:footnote>
  <w:footnote w:type="continuationSeparator" w:id="0">
    <w:p w:rsidR="006A70AC" w:rsidRDefault="006A70AC" w:rsidP="005A521F">
      <w:pPr>
        <w:spacing w:after="0" w:line="240" w:lineRule="auto"/>
      </w:pPr>
      <w:r>
        <w:continuationSeparator/>
      </w:r>
    </w:p>
  </w:footnote>
  <w:footnote w:id="1">
    <w:p w:rsidR="005A521F" w:rsidRPr="003D5328" w:rsidRDefault="005A521F" w:rsidP="005A521F">
      <w:pPr>
        <w:pStyle w:val="a5"/>
        <w:spacing w:line="240" w:lineRule="auto"/>
        <w:rPr>
          <w:sz w:val="18"/>
          <w:szCs w:val="18"/>
          <w:rtl/>
        </w:rPr>
      </w:pPr>
      <w:r w:rsidRPr="003D5328">
        <w:rPr>
          <w:rStyle w:val="a7"/>
          <w:rFonts w:ascii="Assistant" w:hAnsi="Assistant" w:cs="Assistant"/>
        </w:rPr>
        <w:footnoteRef/>
      </w:r>
      <w:r w:rsidRPr="003D5328">
        <w:rPr>
          <w:sz w:val="18"/>
          <w:szCs w:val="18"/>
          <w:rtl/>
        </w:rPr>
        <w:t xml:space="preserve"> </w:t>
      </w:r>
      <w:r w:rsidRPr="003D5328">
        <w:rPr>
          <w:rFonts w:ascii="Assistant" w:hAnsi="Assistant" w:cs="Assistant" w:hint="eastAsia"/>
          <w:sz w:val="18"/>
          <w:szCs w:val="18"/>
          <w:rtl/>
        </w:rPr>
        <w:t>כושר</w:t>
      </w:r>
      <w:r w:rsidRPr="003D5328">
        <w:rPr>
          <w:rFonts w:ascii="Assistant" w:hAnsi="Assistant" w:cs="Assistant"/>
          <w:sz w:val="18"/>
          <w:szCs w:val="18"/>
          <w:rtl/>
        </w:rPr>
        <w:t xml:space="preserve"> הספיגה מבטא את שיעור הירידה המרבי האפשרי במחירי המכירה של הדירות מבלי שהבנק יספוג הפסדים מהפרויקט.</w:t>
      </w:r>
    </w:p>
  </w:footnote>
  <w:footnote w:id="2">
    <w:p w:rsidR="005A521F" w:rsidRPr="0035793F" w:rsidRDefault="005A521F" w:rsidP="005A521F">
      <w:pPr>
        <w:pStyle w:val="a5"/>
        <w:spacing w:line="240" w:lineRule="auto"/>
        <w:rPr>
          <w:rFonts w:ascii="Assistant" w:hAnsi="Assistant" w:cs="Assistant"/>
          <w:sz w:val="18"/>
          <w:szCs w:val="18"/>
        </w:rPr>
      </w:pPr>
      <w:r>
        <w:rPr>
          <w:rStyle w:val="a7"/>
        </w:rPr>
        <w:footnoteRef/>
      </w:r>
      <w:r>
        <w:rPr>
          <w:rtl/>
        </w:rPr>
        <w:t xml:space="preserve"> </w:t>
      </w:r>
      <w:r w:rsidRPr="0035793F">
        <w:rPr>
          <w:rFonts w:ascii="Assistant" w:hAnsi="Assistant" w:cs="Assistant"/>
          <w:sz w:val="18"/>
          <w:szCs w:val="18"/>
          <w:rtl/>
        </w:rPr>
        <w:t>פער בין קצב הביצוע ההנדסי ובין קצב המכירות משמש מדד לרמת הסיכון בפרויקט לבנייה</w:t>
      </w:r>
      <w:r>
        <w:rPr>
          <w:rFonts w:ascii="Assistant" w:hAnsi="Assistant" w:cs="Assistant" w:hint="cs"/>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3FFE"/>
    <w:multiLevelType w:val="hybridMultilevel"/>
    <w:tmpl w:val="15BE8DBA"/>
    <w:lvl w:ilvl="0" w:tplc="53F431C8">
      <w:numFmt w:val="bullet"/>
      <w:lvlText w:val=""/>
      <w:lvlJc w:val="left"/>
      <w:pPr>
        <w:ind w:left="360" w:hanging="360"/>
      </w:pPr>
      <w:rPr>
        <w:rFonts w:ascii="Symbol" w:eastAsiaTheme="minorHAnsi" w:hAnsi="Symbol" w:cstheme="minorBidi" w:hint="default"/>
      </w:rPr>
    </w:lvl>
    <w:lvl w:ilvl="1" w:tplc="0EB0EEAE" w:tentative="1">
      <w:start w:val="1"/>
      <w:numFmt w:val="bullet"/>
      <w:lvlText w:val="o"/>
      <w:lvlJc w:val="left"/>
      <w:pPr>
        <w:ind w:left="1080" w:hanging="360"/>
      </w:pPr>
      <w:rPr>
        <w:rFonts w:ascii="Courier New" w:hAnsi="Courier New" w:cs="Courier New" w:hint="default"/>
      </w:rPr>
    </w:lvl>
    <w:lvl w:ilvl="2" w:tplc="3476E4C6" w:tentative="1">
      <w:start w:val="1"/>
      <w:numFmt w:val="bullet"/>
      <w:lvlText w:val=""/>
      <w:lvlJc w:val="left"/>
      <w:pPr>
        <w:ind w:left="1800" w:hanging="360"/>
      </w:pPr>
      <w:rPr>
        <w:rFonts w:ascii="Wingdings" w:hAnsi="Wingdings" w:hint="default"/>
      </w:rPr>
    </w:lvl>
    <w:lvl w:ilvl="3" w:tplc="FDF8DD08" w:tentative="1">
      <w:start w:val="1"/>
      <w:numFmt w:val="bullet"/>
      <w:lvlText w:val=""/>
      <w:lvlJc w:val="left"/>
      <w:pPr>
        <w:ind w:left="2520" w:hanging="360"/>
      </w:pPr>
      <w:rPr>
        <w:rFonts w:ascii="Symbol" w:hAnsi="Symbol" w:hint="default"/>
      </w:rPr>
    </w:lvl>
    <w:lvl w:ilvl="4" w:tplc="34368BD6" w:tentative="1">
      <w:start w:val="1"/>
      <w:numFmt w:val="bullet"/>
      <w:lvlText w:val="o"/>
      <w:lvlJc w:val="left"/>
      <w:pPr>
        <w:ind w:left="3240" w:hanging="360"/>
      </w:pPr>
      <w:rPr>
        <w:rFonts w:ascii="Courier New" w:hAnsi="Courier New" w:cs="Courier New" w:hint="default"/>
      </w:rPr>
    </w:lvl>
    <w:lvl w:ilvl="5" w:tplc="1EE81BE6" w:tentative="1">
      <w:start w:val="1"/>
      <w:numFmt w:val="bullet"/>
      <w:lvlText w:val=""/>
      <w:lvlJc w:val="left"/>
      <w:pPr>
        <w:ind w:left="3960" w:hanging="360"/>
      </w:pPr>
      <w:rPr>
        <w:rFonts w:ascii="Wingdings" w:hAnsi="Wingdings" w:hint="default"/>
      </w:rPr>
    </w:lvl>
    <w:lvl w:ilvl="6" w:tplc="C7D022CA" w:tentative="1">
      <w:start w:val="1"/>
      <w:numFmt w:val="bullet"/>
      <w:lvlText w:val=""/>
      <w:lvlJc w:val="left"/>
      <w:pPr>
        <w:ind w:left="4680" w:hanging="360"/>
      </w:pPr>
      <w:rPr>
        <w:rFonts w:ascii="Symbol" w:hAnsi="Symbol" w:hint="default"/>
      </w:rPr>
    </w:lvl>
    <w:lvl w:ilvl="7" w:tplc="0F741F28" w:tentative="1">
      <w:start w:val="1"/>
      <w:numFmt w:val="bullet"/>
      <w:lvlText w:val="o"/>
      <w:lvlJc w:val="left"/>
      <w:pPr>
        <w:ind w:left="5400" w:hanging="360"/>
      </w:pPr>
      <w:rPr>
        <w:rFonts w:ascii="Courier New" w:hAnsi="Courier New" w:cs="Courier New" w:hint="default"/>
      </w:rPr>
    </w:lvl>
    <w:lvl w:ilvl="8" w:tplc="BD062464"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3F"/>
    <w:rsid w:val="00050AA1"/>
    <w:rsid w:val="00066C04"/>
    <w:rsid w:val="000D699D"/>
    <w:rsid w:val="00125DC0"/>
    <w:rsid w:val="0013258C"/>
    <w:rsid w:val="001B29B9"/>
    <w:rsid w:val="00372822"/>
    <w:rsid w:val="003C2838"/>
    <w:rsid w:val="003E05EC"/>
    <w:rsid w:val="0043782F"/>
    <w:rsid w:val="00536F7B"/>
    <w:rsid w:val="00572E7D"/>
    <w:rsid w:val="005A521F"/>
    <w:rsid w:val="005C1E1B"/>
    <w:rsid w:val="0063573F"/>
    <w:rsid w:val="006479D6"/>
    <w:rsid w:val="0068047A"/>
    <w:rsid w:val="006848C8"/>
    <w:rsid w:val="006A70AC"/>
    <w:rsid w:val="006A7C22"/>
    <w:rsid w:val="009002B2"/>
    <w:rsid w:val="00924F91"/>
    <w:rsid w:val="009554E0"/>
    <w:rsid w:val="00AD49BB"/>
    <w:rsid w:val="00B25D00"/>
    <w:rsid w:val="00C8554F"/>
    <w:rsid w:val="00D36A9A"/>
    <w:rsid w:val="00DC337E"/>
    <w:rsid w:val="00ED2AC7"/>
    <w:rsid w:val="00F726A6"/>
    <w:rsid w:val="00F80107"/>
    <w:rsid w:val="00FA2761"/>
    <w:rsid w:val="00FC3B9A"/>
    <w:rsid w:val="00FF71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23DD4-533F-4FAE-BE15-62525903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21F"/>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פיסקת רשימה12,פיסקת רשימה121,פיסקת רשימה2,פיסקת רשימה11"/>
    <w:basedOn w:val="a"/>
    <w:link w:val="a4"/>
    <w:uiPriority w:val="34"/>
    <w:qFormat/>
    <w:rsid w:val="005A521F"/>
    <w:pPr>
      <w:ind w:left="720"/>
      <w:contextualSpacing/>
    </w:pPr>
  </w:style>
  <w:style w:type="paragraph" w:styleId="a5">
    <w:name w:val="footnote text"/>
    <w:aliases w:val="fn,fn Char,single space,Footnote Text Char Char Char Char Char Char,Footnote Text Char1,Footnote Text Char Char,Footnote,Fußnote,FSR footnote,lábléc,FOOTNOTES,Footnote Text Char2 Char,Footnote Text Char1 Char Char,Testo_note"/>
    <w:basedOn w:val="a"/>
    <w:link w:val="a6"/>
    <w:uiPriority w:val="99"/>
    <w:rsid w:val="005A521F"/>
    <w:pPr>
      <w:tabs>
        <w:tab w:val="left" w:pos="567"/>
        <w:tab w:val="left" w:pos="1134"/>
        <w:tab w:val="left" w:pos="1814"/>
        <w:tab w:val="left" w:pos="2665"/>
      </w:tabs>
      <w:spacing w:after="0" w:line="360" w:lineRule="auto"/>
      <w:jc w:val="both"/>
    </w:pPr>
    <w:rPr>
      <w:rFonts w:ascii="Times New Roman" w:eastAsia="Times New Roman" w:hAnsi="Times New Roman" w:cs="David"/>
      <w:sz w:val="20"/>
      <w:szCs w:val="20"/>
    </w:rPr>
  </w:style>
  <w:style w:type="character" w:customStyle="1" w:styleId="a6">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Testo_note תו"/>
    <w:basedOn w:val="a0"/>
    <w:link w:val="a5"/>
    <w:uiPriority w:val="99"/>
    <w:rsid w:val="005A521F"/>
    <w:rPr>
      <w:rFonts w:ascii="Times New Roman" w:eastAsia="Times New Roman" w:hAnsi="Times New Roman" w:cs="David"/>
      <w:sz w:val="20"/>
      <w:szCs w:val="20"/>
    </w:rPr>
  </w:style>
  <w:style w:type="character" w:styleId="a7">
    <w:name w:val="footnote reference"/>
    <w:aliases w:val="Footnote Reference_0,Footnote Reference Number,Footnote Reference_LVL6,Footnote Reference_LVL61,Footnote Reference_LVL62,Footnote Reference_LVL63,Footnote Reference_LVL64,fr,SUPERS,EN Footnote Reference,number,טקסט הערת שוליים חדש"/>
    <w:uiPriority w:val="99"/>
    <w:rsid w:val="005A521F"/>
    <w:rPr>
      <w:vertAlign w:val="superscript"/>
    </w:rPr>
  </w:style>
  <w:style w:type="character" w:customStyle="1" w:styleId="a4">
    <w:name w:val="פיסקת רשימה תו"/>
    <w:aliases w:val="פיסקת רשימה12 תו,פיסקת רשימה121 תו,פיסקת רשימה2 תו,פיסקת רשימה11 תו"/>
    <w:basedOn w:val="a0"/>
    <w:link w:val="a3"/>
    <w:uiPriority w:val="34"/>
    <w:locked/>
    <w:rsid w:val="005A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1636</Characters>
  <Application>Microsoft Office Word</Application>
  <DocSecurity>0</DocSecurity>
  <Lines>13</Lines>
  <Paragraphs>3</Paragraphs>
  <ScaleCrop>false</ScaleCrop>
  <Company>BOI</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לירון בן עמוס</dc:creator>
  <cp:keywords/>
  <dc:description/>
  <cp:lastModifiedBy>לירון בן עמוס</cp:lastModifiedBy>
  <cp:revision>6</cp:revision>
  <dcterms:created xsi:type="dcterms:W3CDTF">2026-05-12T06:53:00Z</dcterms:created>
  <dcterms:modified xsi:type="dcterms:W3CDTF">2026-05-12T07:07:00Z</dcterms:modified>
</cp:coreProperties>
</file>