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D2AB7" w14:textId="77777777" w:rsidR="00B44B19" w:rsidRDefault="00B44B19" w:rsidP="00B44B19">
      <w:pPr>
        <w:bidi w:val="0"/>
        <w:jc w:val="center"/>
      </w:pPr>
      <w:bookmarkStart w:id="0" w:name="_GoBack"/>
      <w:bookmarkEnd w:id="0"/>
      <w:r>
        <w:rPr>
          <w:rFonts w:cs="Arial" w:hint="cs"/>
          <w:noProof/>
          <w:rtl/>
        </w:rPr>
        <w:drawing>
          <wp:anchor distT="0" distB="0" distL="114300" distR="114300" simplePos="0" relativeHeight="251659264" behindDoc="0" locked="0" layoutInCell="1" allowOverlap="1" wp14:anchorId="2830D0A6" wp14:editId="73C13574">
            <wp:simplePos x="0" y="0"/>
            <wp:positionH relativeFrom="margin">
              <wp:align>center</wp:align>
            </wp:positionH>
            <wp:positionV relativeFrom="margin">
              <wp:posOffset>-424180</wp:posOffset>
            </wp:positionV>
            <wp:extent cx="1054800" cy="105480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800" cy="105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C6B79" w14:textId="77777777" w:rsidR="00B44B19" w:rsidRPr="00E8008F" w:rsidRDefault="00B44B19" w:rsidP="00B44B19">
      <w:pPr>
        <w:bidi w:val="0"/>
        <w:jc w:val="center"/>
        <w:rPr>
          <w:rtl/>
        </w:rPr>
      </w:pPr>
    </w:p>
    <w:p w14:paraId="4673D540" w14:textId="77777777" w:rsidR="00B44B19" w:rsidRDefault="00B44B19" w:rsidP="00B44B19">
      <w:pPr>
        <w:pStyle w:val="LetterheadBOI"/>
      </w:pPr>
    </w:p>
    <w:p w14:paraId="64C8DF59" w14:textId="77777777" w:rsidR="00B44B19" w:rsidRDefault="00B44B19" w:rsidP="00B44B19">
      <w:pPr>
        <w:pStyle w:val="LetterheadBOI"/>
      </w:pPr>
    </w:p>
    <w:p w14:paraId="092D5724" w14:textId="77777777" w:rsidR="00B44B19" w:rsidRPr="008E4D8E" w:rsidRDefault="00B44B19" w:rsidP="00B44B19">
      <w:pPr>
        <w:pStyle w:val="LetterheadBOI"/>
      </w:pPr>
      <w:r w:rsidRPr="008E4D8E">
        <w:t>BANK OF ISRAEL</w:t>
      </w:r>
    </w:p>
    <w:p w14:paraId="2B74B295" w14:textId="77777777" w:rsidR="00B44B19" w:rsidRPr="008E4D8E" w:rsidRDefault="00B44B19" w:rsidP="00B44B19">
      <w:pPr>
        <w:pStyle w:val="Letterhead2"/>
        <w:rPr>
          <w:b/>
        </w:rPr>
      </w:pPr>
      <w:r w:rsidRPr="008E4D8E">
        <w:t>Office of the Spokesperson and Economic Information</w:t>
      </w:r>
    </w:p>
    <w:p w14:paraId="36F3C1F1" w14:textId="77777777" w:rsidR="00B44B19" w:rsidRDefault="00B44B19" w:rsidP="00B44B19">
      <w:pPr>
        <w:bidi w:val="0"/>
        <w:jc w:val="center"/>
        <w:rPr>
          <w:rFonts w:cs="David"/>
          <w:b/>
          <w:bCs/>
          <w:sz w:val="26"/>
          <w:szCs w:val="26"/>
        </w:rPr>
      </w:pPr>
    </w:p>
    <w:p w14:paraId="4063FCCA" w14:textId="726B587C" w:rsidR="00B44B19" w:rsidRDefault="00C55EB9" w:rsidP="00A30AC5">
      <w:pPr>
        <w:bidi w:val="0"/>
        <w:jc w:val="right"/>
      </w:pPr>
      <w:r>
        <w:t>October 3</w:t>
      </w:r>
      <w:r w:rsidR="00AA5B2F">
        <w:t>, 202</w:t>
      </w:r>
      <w:r w:rsidR="00A30AC5">
        <w:t>2</w:t>
      </w:r>
    </w:p>
    <w:p w14:paraId="56E59ABD" w14:textId="77777777" w:rsidR="00B44B19" w:rsidRDefault="00B44B19" w:rsidP="008F2323">
      <w:pPr>
        <w:bidi w:val="0"/>
        <w:jc w:val="center"/>
        <w:rPr>
          <w:b/>
          <w:bCs/>
        </w:rPr>
      </w:pPr>
    </w:p>
    <w:p w14:paraId="416E17D5" w14:textId="314E12A9" w:rsidR="00A21D01" w:rsidRPr="00B44B19" w:rsidRDefault="00A21D01" w:rsidP="00C55EB9">
      <w:pPr>
        <w:bidi w:val="0"/>
        <w:jc w:val="center"/>
        <w:rPr>
          <w:b/>
          <w:bCs/>
          <w:sz w:val="28"/>
          <w:szCs w:val="28"/>
        </w:rPr>
      </w:pPr>
      <w:r w:rsidRPr="00B44B19">
        <w:rPr>
          <w:b/>
          <w:bCs/>
          <w:sz w:val="28"/>
          <w:szCs w:val="28"/>
        </w:rPr>
        <w:t xml:space="preserve">Research Department Staff Forecast, </w:t>
      </w:r>
      <w:r w:rsidR="00C55EB9">
        <w:rPr>
          <w:b/>
          <w:bCs/>
          <w:sz w:val="28"/>
          <w:szCs w:val="28"/>
        </w:rPr>
        <w:t>October</w:t>
      </w:r>
      <w:r w:rsidR="00A30AC5">
        <w:rPr>
          <w:b/>
          <w:bCs/>
          <w:sz w:val="28"/>
          <w:szCs w:val="28"/>
        </w:rPr>
        <w:t xml:space="preserve"> 2022</w:t>
      </w:r>
    </w:p>
    <w:p w14:paraId="379511AF" w14:textId="77777777" w:rsidR="00252B31" w:rsidRDefault="00252B31" w:rsidP="007D70EA">
      <w:pPr>
        <w:bidi w:val="0"/>
        <w:spacing w:line="360" w:lineRule="auto"/>
        <w:jc w:val="both"/>
        <w:rPr>
          <w:b/>
          <w:bCs/>
        </w:rPr>
      </w:pPr>
    </w:p>
    <w:p w14:paraId="6CD42F1A" w14:textId="77777777" w:rsidR="00A21D01" w:rsidRPr="00D60117" w:rsidRDefault="00A21D01" w:rsidP="00252B31">
      <w:pPr>
        <w:bidi w:val="0"/>
        <w:spacing w:line="360" w:lineRule="auto"/>
        <w:jc w:val="both"/>
      </w:pPr>
      <w:r w:rsidRPr="00D60117">
        <w:rPr>
          <w:b/>
          <w:bCs/>
        </w:rPr>
        <w:t>Abstract</w:t>
      </w:r>
    </w:p>
    <w:p w14:paraId="1B95D56F" w14:textId="6B3712D7" w:rsidR="00B766FF" w:rsidRDefault="00B766FF" w:rsidP="00C55EB9">
      <w:pPr>
        <w:bidi w:val="0"/>
        <w:jc w:val="both"/>
      </w:pPr>
      <w:r>
        <w:t xml:space="preserve">This document presents the macroeconomic staff forecast formulated by the Bank of Israel Research Department in </w:t>
      </w:r>
      <w:r w:rsidR="00C55EB9">
        <w:t>October</w:t>
      </w:r>
      <w:r w:rsidR="00A30AC5">
        <w:t xml:space="preserve"> 2022</w:t>
      </w:r>
      <w:r w:rsidR="00A30AC5">
        <w:rPr>
          <w:rStyle w:val="ac"/>
        </w:rPr>
        <w:footnoteReference w:id="1"/>
      </w:r>
      <w:r>
        <w:t xml:space="preserve"> concerning the main macroeconomic variables—GDP, inflation, and the interest rate. </w:t>
      </w:r>
    </w:p>
    <w:p w14:paraId="69B8F603" w14:textId="77C2CB38" w:rsidR="005D7D3B" w:rsidRDefault="005D7D3B" w:rsidP="005D7D3B">
      <w:pPr>
        <w:bidi w:val="0"/>
        <w:jc w:val="both"/>
      </w:pPr>
    </w:p>
    <w:p w14:paraId="26481551" w14:textId="1C871AB6" w:rsidR="008707BC" w:rsidRDefault="008707BC" w:rsidP="00E5507A">
      <w:pPr>
        <w:bidi w:val="0"/>
        <w:jc w:val="both"/>
      </w:pPr>
      <w:r>
        <w:t xml:space="preserve">According to the forecast, GDP is expected to grow by </w:t>
      </w:r>
      <w:r w:rsidR="00C55EB9">
        <w:t>6</w:t>
      </w:r>
      <w:r>
        <w:t xml:space="preserve"> percent in 2022, and by </w:t>
      </w:r>
      <w:r w:rsidR="00C518BB">
        <w:t>3</w:t>
      </w:r>
      <w:r>
        <w:t xml:space="preserve"> percent in 2023</w:t>
      </w:r>
      <w:r w:rsidRPr="00BA6033">
        <w:t xml:space="preserve">.  </w:t>
      </w:r>
      <w:r>
        <w:t xml:space="preserve">The inflation rate in the coming four quarters (ending in the </w:t>
      </w:r>
      <w:r w:rsidR="00C55EB9">
        <w:t>third</w:t>
      </w:r>
      <w:r>
        <w:t xml:space="preserve"> quarter of 2023) is expected to be </w:t>
      </w:r>
      <w:r w:rsidR="00C55EB9">
        <w:t>2.7</w:t>
      </w:r>
      <w:r>
        <w:t xml:space="preserve"> percent. </w:t>
      </w:r>
      <w:r w:rsidRPr="00BA6033">
        <w:t>The inflatio</w:t>
      </w:r>
      <w:r>
        <w:t xml:space="preserve">n rate in 2022 is expected to be </w:t>
      </w:r>
      <w:r w:rsidR="00C518BB">
        <w:t>4</w:t>
      </w:r>
      <w:r>
        <w:t>.</w:t>
      </w:r>
      <w:r w:rsidR="00C55EB9">
        <w:t>6</w:t>
      </w:r>
      <w:r>
        <w:t xml:space="preserve"> percent, and inflation in 2023 is expected to be 2</w:t>
      </w:r>
      <w:r w:rsidR="00C518BB">
        <w:t>.</w:t>
      </w:r>
      <w:r w:rsidR="00C55EB9">
        <w:t>5</w:t>
      </w:r>
      <w:r>
        <w:t xml:space="preserve"> percent.  According to the forecast, the monetary interest rate is expected to </w:t>
      </w:r>
      <w:r w:rsidR="00C55EB9">
        <w:t xml:space="preserve">average 3.5 </w:t>
      </w:r>
      <w:r>
        <w:t>percent</w:t>
      </w:r>
      <w:r w:rsidR="00C518BB">
        <w:t xml:space="preserve"> </w:t>
      </w:r>
      <w:r>
        <w:t xml:space="preserve">in the </w:t>
      </w:r>
      <w:r w:rsidR="00C55EB9">
        <w:t>third</w:t>
      </w:r>
      <w:r>
        <w:t xml:space="preserve"> quarter of 2023. </w:t>
      </w:r>
    </w:p>
    <w:p w14:paraId="06FB2666" w14:textId="0F36041A" w:rsidR="005D7D3B" w:rsidRDefault="00AE4B42" w:rsidP="00324468">
      <w:pPr>
        <w:bidi w:val="0"/>
        <w:jc w:val="both"/>
      </w:pPr>
      <w:r>
        <w:t xml:space="preserve">  </w:t>
      </w:r>
    </w:p>
    <w:p w14:paraId="17CF83B2" w14:textId="0EFC0681" w:rsidR="008C5F5F" w:rsidRDefault="008C5F5F" w:rsidP="008C5F5F">
      <w:pPr>
        <w:bidi w:val="0"/>
        <w:jc w:val="both"/>
      </w:pPr>
    </w:p>
    <w:p w14:paraId="2FFC1BF2" w14:textId="77777777" w:rsidR="00A21D01" w:rsidRPr="001D3FCD" w:rsidRDefault="0060705B" w:rsidP="00A21D01">
      <w:pPr>
        <w:bidi w:val="0"/>
        <w:spacing w:line="360" w:lineRule="auto"/>
        <w:jc w:val="both"/>
        <w:rPr>
          <w:b/>
          <w:bCs/>
        </w:rPr>
      </w:pPr>
      <w:r>
        <w:rPr>
          <w:b/>
          <w:bCs/>
        </w:rPr>
        <w:t xml:space="preserve">The </w:t>
      </w:r>
      <w:r w:rsidR="00A21D01">
        <w:rPr>
          <w:b/>
          <w:bCs/>
        </w:rPr>
        <w:t xml:space="preserve">Forecast </w:t>
      </w:r>
    </w:p>
    <w:p w14:paraId="204C0B6F" w14:textId="1B825919" w:rsidR="004675C1" w:rsidRPr="00D60117" w:rsidRDefault="004675C1" w:rsidP="004675C1">
      <w:pPr>
        <w:bidi w:val="0"/>
        <w:jc w:val="both"/>
      </w:pPr>
      <w:r w:rsidRPr="0048372A">
        <w:t>The Bank of Israel Research Department compiles a staff forecast of macroeconomic developments on a quarterly basis. The staff forecast is based on several models, various data sources, and assessments based on economists’ judgment. The Bank’s DSGE (Dynamic Stochastic General Equilibrium) model developed in the Research Department—a structural model based on microeconomic foundations—plays a primary role in formulating the macroeconomic forecast.</w:t>
      </w:r>
      <w:r w:rsidRPr="0048372A">
        <w:rPr>
          <w:rStyle w:val="ac"/>
        </w:rPr>
        <w:footnoteReference w:id="2"/>
      </w:r>
      <w:r w:rsidRPr="0048372A">
        <w:t xml:space="preserve"> The model provides a framework for analyzing the forces that have an effect on the economy, and allows information from various sources to be combined into a macroeconomic forecast of real and nominal variables, with an internally consistent “economic story”.</w:t>
      </w:r>
    </w:p>
    <w:p w14:paraId="36CDE9B1" w14:textId="77777777" w:rsidR="00A21D01" w:rsidRPr="00D60117" w:rsidRDefault="00A21D01" w:rsidP="00A21D01">
      <w:pPr>
        <w:bidi w:val="0"/>
        <w:jc w:val="both"/>
      </w:pPr>
    </w:p>
    <w:p w14:paraId="148B0CEF" w14:textId="77777777" w:rsidR="00A21D01" w:rsidRPr="00D60117" w:rsidRDefault="00A21D01" w:rsidP="00A21D01">
      <w:pPr>
        <w:numPr>
          <w:ilvl w:val="0"/>
          <w:numId w:val="9"/>
        </w:numPr>
        <w:bidi w:val="0"/>
        <w:spacing w:line="360" w:lineRule="auto"/>
        <w:ind w:left="357" w:hanging="357"/>
        <w:jc w:val="both"/>
        <w:rPr>
          <w:b/>
          <w:bCs/>
        </w:rPr>
      </w:pPr>
      <w:r w:rsidRPr="00D60117">
        <w:rPr>
          <w:b/>
          <w:bCs/>
        </w:rPr>
        <w:t>The global environment</w:t>
      </w:r>
    </w:p>
    <w:p w14:paraId="357BFA4D" w14:textId="40887125" w:rsidR="00E662FF" w:rsidRDefault="00A21D01" w:rsidP="00DD3474">
      <w:pPr>
        <w:bidi w:val="0"/>
        <w:jc w:val="both"/>
      </w:pPr>
      <w:r>
        <w:t>Our assessments of expected developments in the global economy are based mainly on projections by international institutions (the International Monetary Fund and the OECD) and foreign investment houses.</w:t>
      </w:r>
      <w:r w:rsidR="00C55EB9">
        <w:t xml:space="preserve">  Their growth forecasts for the advanced economies were revised downward, mainly for 2023.  Accordingly,</w:t>
      </w:r>
      <w:r>
        <w:t xml:space="preserve"> </w:t>
      </w:r>
      <w:r w:rsidR="00C55EB9">
        <w:t>w</w:t>
      </w:r>
      <w:r w:rsidR="00256A10">
        <w:t xml:space="preserve">e assume that GDP </w:t>
      </w:r>
      <w:r w:rsidR="00256A10" w:rsidRPr="00AD5C82">
        <w:t>growth in the advanced economies</w:t>
      </w:r>
      <w:r w:rsidR="00256A10">
        <w:t xml:space="preserve"> will </w:t>
      </w:r>
      <w:r w:rsidR="00C518BB">
        <w:t>be</w:t>
      </w:r>
      <w:r w:rsidR="00256A10">
        <w:t xml:space="preserve"> </w:t>
      </w:r>
      <w:r w:rsidR="00C518BB">
        <w:t>2.</w:t>
      </w:r>
      <w:r w:rsidR="00C55EB9">
        <w:t>4</w:t>
      </w:r>
      <w:r w:rsidR="00256A10">
        <w:t xml:space="preserve"> percent in 2022, and </w:t>
      </w:r>
      <w:r w:rsidR="00C55EB9">
        <w:t>0.4</w:t>
      </w:r>
      <w:r w:rsidR="00AD5C82">
        <w:t xml:space="preserve"> percent in </w:t>
      </w:r>
      <w:r w:rsidR="00256A10">
        <w:t>2023 (</w:t>
      </w:r>
      <w:r w:rsidR="00C55EB9">
        <w:t>compared with 2.7 percent for 2022 and 1.9 percent for 2023 in the previous</w:t>
      </w:r>
      <w:r w:rsidR="00E3127C">
        <w:t xml:space="preserve"> (July)</w:t>
      </w:r>
      <w:r w:rsidR="00C55EB9">
        <w:t xml:space="preserve"> forecast)</w:t>
      </w:r>
      <w:r w:rsidR="00256A10">
        <w:t xml:space="preserve">. </w:t>
      </w:r>
      <w:r w:rsidR="00C55EB9">
        <w:t xml:space="preserve">The slowdown in growth is expected to be reflected in world trade as well, regarding which we assume growth of 4.0 percent in 2022, which will moderate to 2.5 percent in 2023 (compared with 5.0 percent and 4.0 percent respectively in the previous forecast).  </w:t>
      </w:r>
      <w:r w:rsidR="00763FAB" w:rsidRPr="00566CFA">
        <w:t xml:space="preserve">The </w:t>
      </w:r>
      <w:r w:rsidR="00A7026F" w:rsidRPr="00566CFA">
        <w:t>i</w:t>
      </w:r>
      <w:r w:rsidR="00F63250" w:rsidRPr="00566CFA">
        <w:t>nflation</w:t>
      </w:r>
      <w:r w:rsidR="00763FAB" w:rsidRPr="00566CFA">
        <w:t xml:space="preserve"> </w:t>
      </w:r>
      <w:r w:rsidR="00C55EB9">
        <w:t>forecasts for</w:t>
      </w:r>
      <w:r w:rsidR="00F63250" w:rsidRPr="00566CFA">
        <w:t xml:space="preserve"> the </w:t>
      </w:r>
      <w:r w:rsidR="00A47365">
        <w:t>advanced</w:t>
      </w:r>
      <w:r w:rsidR="00F63250" w:rsidRPr="00566CFA">
        <w:t xml:space="preserve"> economies</w:t>
      </w:r>
      <w:r w:rsidR="00A7026F" w:rsidRPr="00566CFA">
        <w:t xml:space="preserve"> </w:t>
      </w:r>
      <w:r w:rsidR="00C55EB9">
        <w:t xml:space="preserve">were revised upward, and we assume that inflation in those economies will be 8.3 </w:t>
      </w:r>
      <w:r w:rsidR="00C55EB9">
        <w:lastRenderedPageBreak/>
        <w:t>percent in 2022 and 2.9 percent in 2023 (compared with</w:t>
      </w:r>
      <w:r w:rsidR="00763FAB" w:rsidRPr="00566CFA">
        <w:t xml:space="preserve"> </w:t>
      </w:r>
      <w:r w:rsidR="00C518BB">
        <w:t>6.7</w:t>
      </w:r>
      <w:r w:rsidR="00763FAB" w:rsidRPr="00566CFA">
        <w:t xml:space="preserve"> percent in 2022</w:t>
      </w:r>
      <w:r w:rsidR="00C518BB">
        <w:t xml:space="preserve"> </w:t>
      </w:r>
      <w:r w:rsidR="00763FAB" w:rsidRPr="00566CFA">
        <w:t xml:space="preserve">and </w:t>
      </w:r>
      <w:r w:rsidR="00256A10" w:rsidRPr="00566CFA">
        <w:t>2.</w:t>
      </w:r>
      <w:r w:rsidR="00C518BB">
        <w:t>3</w:t>
      </w:r>
      <w:r w:rsidR="00763FAB" w:rsidRPr="00566CFA">
        <w:t xml:space="preserve"> percent in 2023</w:t>
      </w:r>
      <w:r w:rsidR="00C518BB">
        <w:t xml:space="preserve"> in the previous forecast)</w:t>
      </w:r>
      <w:r w:rsidR="00256A10" w:rsidRPr="00566CFA">
        <w:t>.</w:t>
      </w:r>
      <w:r w:rsidR="00C518BB">
        <w:t xml:space="preserve">  The increase in the inflation forecast was accompanied by a</w:t>
      </w:r>
      <w:r w:rsidR="00C55EB9">
        <w:t>n</w:t>
      </w:r>
      <w:r w:rsidR="00C518BB">
        <w:t xml:space="preserve"> </w:t>
      </w:r>
      <w:r w:rsidR="00C55EB9">
        <w:t>upward</w:t>
      </w:r>
      <w:r w:rsidR="00C518BB">
        <w:t xml:space="preserve"> revision of the </w:t>
      </w:r>
      <w:r w:rsidR="00AD5C82">
        <w:t xml:space="preserve">global </w:t>
      </w:r>
      <w:r w:rsidR="00C518BB">
        <w:t>interest rate forecast, such that the</w:t>
      </w:r>
      <w:r w:rsidR="00BD0469">
        <w:t xml:space="preserve"> average interest rate</w:t>
      </w:r>
      <w:r w:rsidR="00C518BB">
        <w:t xml:space="preserve"> in the </w:t>
      </w:r>
      <w:r w:rsidR="00AD5C82">
        <w:t>advanced</w:t>
      </w:r>
      <w:r w:rsidR="00C518BB">
        <w:t xml:space="preserve"> economies is expected to be </w:t>
      </w:r>
      <w:r w:rsidR="00C55EB9">
        <w:t>3.0</w:t>
      </w:r>
      <w:r w:rsidR="00C518BB">
        <w:t xml:space="preserve"> percent in 2022</w:t>
      </w:r>
      <w:r w:rsidR="00C55EB9">
        <w:t xml:space="preserve"> and to remain similar until the end of 2023 </w:t>
      </w:r>
      <w:r w:rsidR="00C518BB">
        <w:t xml:space="preserve">(compared with </w:t>
      </w:r>
      <w:r w:rsidR="00C55EB9">
        <w:t>2.2</w:t>
      </w:r>
      <w:r w:rsidR="00C518BB">
        <w:t xml:space="preserve"> percent in </w:t>
      </w:r>
      <w:r w:rsidR="00C55EB9">
        <w:t xml:space="preserve">2022 </w:t>
      </w:r>
      <w:r w:rsidR="00C518BB">
        <w:t xml:space="preserve">and 2.4 percent in 2023 in the previous forecast). </w:t>
      </w:r>
      <w:r w:rsidR="00763FAB">
        <w:t xml:space="preserve">The price of Brent oil </w:t>
      </w:r>
      <w:r w:rsidR="00C55EB9">
        <w:t>declined to</w:t>
      </w:r>
      <w:r w:rsidR="00763FAB">
        <w:t xml:space="preserve"> about $</w:t>
      </w:r>
      <w:r w:rsidR="00C55EB9">
        <w:t>85</w:t>
      </w:r>
      <w:r w:rsidR="00763FAB">
        <w:t xml:space="preserve"> per barrel </w:t>
      </w:r>
      <w:r w:rsidR="00C55EB9">
        <w:t>at the end of September</w:t>
      </w:r>
      <w:r w:rsidR="00763FAB">
        <w:t xml:space="preserve">, </w:t>
      </w:r>
      <w:r w:rsidR="00C55EB9">
        <w:t xml:space="preserve">compared with $118 </w:t>
      </w:r>
      <w:r w:rsidR="00C518BB">
        <w:t>at the time of the previous forecast</w:t>
      </w:r>
      <w:r w:rsidR="00614BA6" w:rsidRPr="00F97DDA">
        <w:t>.</w:t>
      </w:r>
    </w:p>
    <w:p w14:paraId="703E2EC4" w14:textId="77777777" w:rsidR="007E443D" w:rsidRDefault="007E443D" w:rsidP="007E443D">
      <w:pPr>
        <w:bidi w:val="0"/>
        <w:jc w:val="both"/>
      </w:pPr>
    </w:p>
    <w:p w14:paraId="1C950A65" w14:textId="77777777" w:rsidR="00A21D01" w:rsidRDefault="00A21D01" w:rsidP="0087184F">
      <w:pPr>
        <w:numPr>
          <w:ilvl w:val="0"/>
          <w:numId w:val="9"/>
        </w:numPr>
        <w:bidi w:val="0"/>
        <w:spacing w:line="360" w:lineRule="auto"/>
        <w:ind w:left="357" w:hanging="357"/>
        <w:jc w:val="both"/>
        <w:rPr>
          <w:b/>
          <w:bCs/>
        </w:rPr>
      </w:pPr>
      <w:r w:rsidRPr="00D66FAE">
        <w:rPr>
          <w:b/>
          <w:bCs/>
        </w:rPr>
        <w:t>Real activity in</w:t>
      </w:r>
      <w:r w:rsidRPr="00D60117">
        <w:rPr>
          <w:b/>
          <w:bCs/>
        </w:rPr>
        <w:t xml:space="preserve"> Israel</w:t>
      </w:r>
    </w:p>
    <w:p w14:paraId="4F7B4EBD" w14:textId="6D48D67D" w:rsidR="00407E88" w:rsidRDefault="009A24EF" w:rsidP="00E5507A">
      <w:pPr>
        <w:bidi w:val="0"/>
        <w:jc w:val="both"/>
      </w:pPr>
      <w:r>
        <w:rPr>
          <w:b/>
          <w:bCs/>
        </w:rPr>
        <w:t xml:space="preserve">GDP </w:t>
      </w:r>
      <w:r w:rsidR="00A379B9">
        <w:rPr>
          <w:b/>
          <w:bCs/>
        </w:rPr>
        <w:t>is expected to</w:t>
      </w:r>
      <w:r>
        <w:rPr>
          <w:b/>
          <w:bCs/>
        </w:rPr>
        <w:t xml:space="preserve"> increase by </w:t>
      </w:r>
      <w:r w:rsidR="00407E88">
        <w:rPr>
          <w:b/>
          <w:bCs/>
        </w:rPr>
        <w:t>6</w:t>
      </w:r>
      <w:r>
        <w:rPr>
          <w:b/>
          <w:bCs/>
        </w:rPr>
        <w:t xml:space="preserve"> percent in 2022</w:t>
      </w:r>
      <w:r w:rsidR="00763FAB" w:rsidRPr="00BA6033">
        <w:rPr>
          <w:b/>
          <w:bCs/>
        </w:rPr>
        <w:t xml:space="preserve">, and </w:t>
      </w:r>
      <w:r w:rsidR="00C518BB">
        <w:rPr>
          <w:b/>
          <w:bCs/>
        </w:rPr>
        <w:t>3</w:t>
      </w:r>
      <w:r w:rsidR="00763FAB" w:rsidRPr="00BA6033">
        <w:rPr>
          <w:b/>
          <w:bCs/>
        </w:rPr>
        <w:t xml:space="preserve"> percent in 2023</w:t>
      </w:r>
      <w:r w:rsidRPr="00BA6033">
        <w:t xml:space="preserve"> (Table 1).</w:t>
      </w:r>
      <w:r w:rsidR="00407E88">
        <w:t xml:space="preserve">  National Accounts data published since the previous forecast </w:t>
      </w:r>
      <w:r w:rsidR="00DD3474">
        <w:t xml:space="preserve">(for the period ending in the second quarter of 2022) </w:t>
      </w:r>
      <w:r w:rsidR="00407E88">
        <w:t xml:space="preserve">show that GDP over the past three quarters has been higher than the </w:t>
      </w:r>
      <w:proofErr w:type="spellStart"/>
      <w:r w:rsidR="00407E88">
        <w:t>precrisis</w:t>
      </w:r>
      <w:proofErr w:type="spellEnd"/>
      <w:r w:rsidR="00407E88">
        <w:t xml:space="preserve"> trend line. </w:t>
      </w:r>
      <w:r w:rsidR="00DD3474">
        <w:t>Furthermore, indicators for the third quarter of 2022 continue to show a high level of activity.</w:t>
      </w:r>
      <w:r w:rsidR="00407E88">
        <w:t xml:space="preserve"> In view of this, the growth forecast for 2022 was revised upward.  In contrast, our assessment is that GDP growth will moderate in 2023, such that its level will</w:t>
      </w:r>
      <w:r w:rsidR="00DD3474">
        <w:t xml:space="preserve"> be around </w:t>
      </w:r>
      <w:r w:rsidR="00407E88">
        <w:t>the trend line</w:t>
      </w:r>
      <w:r w:rsidR="00DD3474">
        <w:t xml:space="preserve"> or slightly below it</w:t>
      </w:r>
      <w:r w:rsidR="00407E88">
        <w:t>.  The expected slowdown in growth is due to expected moderations in the growth of world trade, and in GDP growth in advanced economies, as well as an increase in the real interest rate in Israel within the forecast period.  Th</w:t>
      </w:r>
      <w:r w:rsidR="00DD3474">
        <w:t xml:space="preserve">e current </w:t>
      </w:r>
      <w:r w:rsidR="00407E88">
        <w:t>forecast reflects a higher level of activity in 2022–23 than the previous forecast, as shown by the upward revision of the forecasted deviation of GDP from the trend.</w:t>
      </w:r>
    </w:p>
    <w:p w14:paraId="3E73D79E" w14:textId="77777777" w:rsidR="00407E88" w:rsidRDefault="00407E88" w:rsidP="00407E88">
      <w:pPr>
        <w:bidi w:val="0"/>
        <w:jc w:val="both"/>
      </w:pPr>
    </w:p>
    <w:p w14:paraId="58EBE8A9" w14:textId="5C18F350" w:rsidR="00407E88" w:rsidRDefault="00407E88" w:rsidP="00DD3474">
      <w:pPr>
        <w:bidi w:val="0"/>
        <w:jc w:val="both"/>
      </w:pPr>
      <w:r>
        <w:t xml:space="preserve">At the forecast’s starting point, the labor market is tight, with a higher employment rate </w:t>
      </w:r>
      <w:r w:rsidR="00DD3474">
        <w:t>in the primary working ages</w:t>
      </w:r>
      <w:r>
        <w:t xml:space="preserve"> and a lower unemployment rate than before the COVID-19 crisis.  Within the forecast period, our assessment is that the labor market will remain tight, but will gradually return to the typical </w:t>
      </w:r>
      <w:proofErr w:type="spellStart"/>
      <w:r>
        <w:t>precrisis</w:t>
      </w:r>
      <w:proofErr w:type="spellEnd"/>
      <w:r>
        <w:t xml:space="preserve"> rates.  In particular, </w:t>
      </w:r>
      <w:r w:rsidR="00DD3474">
        <w:t xml:space="preserve">we forecast that </w:t>
      </w:r>
      <w:r>
        <w:t xml:space="preserve">the employment rate </w:t>
      </w:r>
      <w:r w:rsidR="00DD3474">
        <w:t>among the primary working ages will</w:t>
      </w:r>
      <w:r>
        <w:t xml:space="preserve"> decline to</w:t>
      </w:r>
      <w:r w:rsidR="00DD3474">
        <w:t xml:space="preserve"> an average of</w:t>
      </w:r>
      <w:r>
        <w:t xml:space="preserve"> 77.9 percent</w:t>
      </w:r>
      <w:r w:rsidR="00DD3474">
        <w:t xml:space="preserve"> in 2023</w:t>
      </w:r>
      <w:r>
        <w:t xml:space="preserve">, and the unemployment rate </w:t>
      </w:r>
      <w:r w:rsidR="00DD3474">
        <w:t>will</w:t>
      </w:r>
      <w:r>
        <w:t xml:space="preserve"> increase to </w:t>
      </w:r>
      <w:r w:rsidR="00DD3474">
        <w:t xml:space="preserve">an average of </w:t>
      </w:r>
      <w:r>
        <w:t>3.5 percent</w:t>
      </w:r>
      <w:r w:rsidR="00DD3474">
        <w:t xml:space="preserve"> in the same year</w:t>
      </w:r>
      <w:r>
        <w:t>.</w:t>
      </w:r>
    </w:p>
    <w:p w14:paraId="4E4FEAE4" w14:textId="018428FC" w:rsidR="00A379B9" w:rsidRDefault="00A379B9" w:rsidP="00407E88">
      <w:pPr>
        <w:bidi w:val="0"/>
        <w:jc w:val="both"/>
      </w:pPr>
    </w:p>
    <w:p w14:paraId="6A566666" w14:textId="493F6EAF" w:rsidR="00A379B9" w:rsidRDefault="00A379B9" w:rsidP="00DD3474">
      <w:pPr>
        <w:bidi w:val="0"/>
        <w:jc w:val="both"/>
      </w:pPr>
      <w:r>
        <w:t xml:space="preserve">Regarding </w:t>
      </w:r>
      <w:r w:rsidR="00CC3BC3">
        <w:t>the State budget</w:t>
      </w:r>
      <w:r>
        <w:t>,</w:t>
      </w:r>
      <w:r w:rsidR="00CC3BC3">
        <w:t xml:space="preserve"> in view of higher-than-expected tax revenues</w:t>
      </w:r>
      <w:r w:rsidR="00407E88">
        <w:t xml:space="preserve"> and lower than expected expenditures</w:t>
      </w:r>
      <w:r w:rsidR="00CC3BC3">
        <w:t>,</w:t>
      </w:r>
      <w:r>
        <w:t xml:space="preserve"> </w:t>
      </w:r>
      <w:r w:rsidR="003A6075">
        <w:t>t</w:t>
      </w:r>
      <w:r w:rsidR="00566CFA">
        <w:t>he deficit is expected to be</w:t>
      </w:r>
      <w:r w:rsidR="00CC3BC3">
        <w:t xml:space="preserve"> lower than our assessment in the previous forecast.  </w:t>
      </w:r>
      <w:r w:rsidR="004D5A93">
        <w:t>T</w:t>
      </w:r>
      <w:r w:rsidR="00CC3BC3">
        <w:t>he deficit is expected to be</w:t>
      </w:r>
      <w:r w:rsidR="00566CFA">
        <w:t xml:space="preserve"> </w:t>
      </w:r>
      <w:r w:rsidR="00CC3BC3">
        <w:t>0.</w:t>
      </w:r>
      <w:r w:rsidR="00407E88">
        <w:t>3</w:t>
      </w:r>
      <w:r w:rsidR="00566CFA">
        <w:t xml:space="preserve"> percent of GDP</w:t>
      </w:r>
      <w:r w:rsidR="004D5A93">
        <w:t xml:space="preserve"> in 2022</w:t>
      </w:r>
      <w:r w:rsidR="00B32D05">
        <w:t xml:space="preserve">, and </w:t>
      </w:r>
      <w:r w:rsidR="00407E88">
        <w:t xml:space="preserve">about </w:t>
      </w:r>
      <w:r w:rsidR="00B32D05">
        <w:t>1</w:t>
      </w:r>
      <w:r w:rsidR="00407E88">
        <w:t xml:space="preserve"> </w:t>
      </w:r>
      <w:r w:rsidR="00B32D05">
        <w:t>percent of GDP in 2023.</w:t>
      </w:r>
      <w:r w:rsidR="00566CFA">
        <w:t xml:space="preserve"> </w:t>
      </w:r>
      <w:r w:rsidR="00407E88">
        <w:t xml:space="preserve">In view of the uncertainty regarding the timing and composition of the next budget, the forecast for 2023 </w:t>
      </w:r>
      <w:r w:rsidR="00DD3474">
        <w:t>is based on</w:t>
      </w:r>
      <w:r w:rsidR="00407E88">
        <w:t xml:space="preserve"> a working assumption that the 2023 budget will include some increase in the expenditure ceiling.  This assumption reflects an estimate of the cost of various programs and actions that the government has approved or is expected to approve.</w:t>
      </w:r>
    </w:p>
    <w:p w14:paraId="0037B78D" w14:textId="77777777" w:rsidR="00B32D05" w:rsidRDefault="00B32D05" w:rsidP="00B32D05">
      <w:pPr>
        <w:bidi w:val="0"/>
        <w:jc w:val="both"/>
      </w:pPr>
    </w:p>
    <w:tbl>
      <w:tblPr>
        <w:tblStyle w:val="a7"/>
        <w:tblpPr w:leftFromText="180" w:rightFromText="180" w:vertAnchor="page" w:horzAnchor="margin" w:tblpXSpec="center" w:tblpY="1066"/>
        <w:tblW w:w="10631" w:type="dxa"/>
        <w:tblLayout w:type="fixed"/>
        <w:tblLook w:val="04A0" w:firstRow="1" w:lastRow="0" w:firstColumn="1" w:lastColumn="0" w:noHBand="0" w:noVBand="1"/>
      </w:tblPr>
      <w:tblGrid>
        <w:gridCol w:w="4680"/>
        <w:gridCol w:w="849"/>
        <w:gridCol w:w="953"/>
        <w:gridCol w:w="1173"/>
        <w:gridCol w:w="992"/>
        <w:gridCol w:w="992"/>
        <w:gridCol w:w="992"/>
      </w:tblGrid>
      <w:tr w:rsidR="007638FC" w:rsidRPr="007A4B17" w14:paraId="5CA136D8" w14:textId="77777777" w:rsidTr="004E4FDD">
        <w:trPr>
          <w:trHeight w:val="200"/>
        </w:trPr>
        <w:tc>
          <w:tcPr>
            <w:tcW w:w="10631" w:type="dxa"/>
            <w:gridSpan w:val="7"/>
            <w:tcBorders>
              <w:top w:val="single" w:sz="4" w:space="0" w:color="auto"/>
              <w:bottom w:val="single" w:sz="4" w:space="0" w:color="auto"/>
              <w:right w:val="single" w:sz="4" w:space="0" w:color="auto"/>
            </w:tcBorders>
          </w:tcPr>
          <w:p w14:paraId="29C775D3" w14:textId="77777777" w:rsidR="007638FC" w:rsidRPr="00B13C35" w:rsidRDefault="007638FC" w:rsidP="004E4FDD">
            <w:pPr>
              <w:bidi w:val="0"/>
              <w:rPr>
                <w:b/>
                <w:bCs/>
                <w:color w:val="0070C0"/>
              </w:rPr>
            </w:pPr>
            <w:r w:rsidRPr="00B13C35">
              <w:rPr>
                <w:b/>
                <w:bCs/>
                <w:color w:val="0070C0"/>
              </w:rPr>
              <w:lastRenderedPageBreak/>
              <w:t>Table 1</w:t>
            </w:r>
          </w:p>
          <w:p w14:paraId="63FFED20" w14:textId="77777777" w:rsidR="007638FC" w:rsidRDefault="007638FC" w:rsidP="004E4FDD">
            <w:pPr>
              <w:bidi w:val="0"/>
              <w:rPr>
                <w:b/>
                <w:bCs/>
                <w:color w:val="0070C0"/>
              </w:rPr>
            </w:pPr>
            <w:r w:rsidRPr="00B13C35">
              <w:rPr>
                <w:b/>
                <w:bCs/>
                <w:color w:val="0070C0"/>
              </w:rPr>
              <w:t>Research Department Staff Forecast for 20</w:t>
            </w:r>
            <w:r>
              <w:rPr>
                <w:b/>
                <w:bCs/>
                <w:color w:val="0070C0"/>
              </w:rPr>
              <w:t>22–</w:t>
            </w:r>
            <w:r w:rsidRPr="00B13C35">
              <w:rPr>
                <w:b/>
                <w:bCs/>
                <w:color w:val="0070C0"/>
              </w:rPr>
              <w:t>20</w:t>
            </w:r>
            <w:r>
              <w:rPr>
                <w:b/>
                <w:bCs/>
                <w:color w:val="0070C0"/>
              </w:rPr>
              <w:t>23</w:t>
            </w:r>
          </w:p>
          <w:p w14:paraId="6C38DDC8" w14:textId="77777777" w:rsidR="007638FC" w:rsidRPr="00B13C35" w:rsidRDefault="007638FC" w:rsidP="004E4FDD">
            <w:pPr>
              <w:bidi w:val="0"/>
              <w:jc w:val="right"/>
              <w:rPr>
                <w:b/>
                <w:bCs/>
                <w:color w:val="0070C0"/>
              </w:rPr>
            </w:pPr>
            <w:r w:rsidRPr="00B13C35">
              <w:rPr>
                <w:color w:val="0070C0"/>
                <w:sz w:val="22"/>
                <w:szCs w:val="22"/>
              </w:rPr>
              <w:t xml:space="preserve">(rates of change, </w:t>
            </w:r>
            <w:proofErr w:type="spellStart"/>
            <w:r w:rsidRPr="00B13C35">
              <w:rPr>
                <w:color w:val="0070C0"/>
                <w:sz w:val="22"/>
                <w:szCs w:val="22"/>
              </w:rPr>
              <w:t>percent</w:t>
            </w:r>
            <w:r>
              <w:rPr>
                <w:color w:val="0070C0"/>
                <w:sz w:val="22"/>
                <w:szCs w:val="22"/>
                <w:vertAlign w:val="superscript"/>
              </w:rPr>
              <w:t>a</w:t>
            </w:r>
            <w:proofErr w:type="spellEnd"/>
            <w:r w:rsidRPr="00B13C35">
              <w:rPr>
                <w:color w:val="0070C0"/>
                <w:sz w:val="22"/>
                <w:szCs w:val="22"/>
              </w:rPr>
              <w:t>, unless stated otherwise</w:t>
            </w:r>
            <w:r>
              <w:rPr>
                <w:color w:val="0070C0"/>
                <w:sz w:val="22"/>
                <w:szCs w:val="22"/>
              </w:rPr>
              <w:t>)</w:t>
            </w:r>
          </w:p>
        </w:tc>
      </w:tr>
      <w:tr w:rsidR="007638FC" w:rsidRPr="007A4B17" w14:paraId="4B2ADB81" w14:textId="77777777" w:rsidTr="004E4FDD">
        <w:tc>
          <w:tcPr>
            <w:tcW w:w="4680" w:type="dxa"/>
            <w:tcBorders>
              <w:bottom w:val="nil"/>
            </w:tcBorders>
            <w:vAlign w:val="bottom"/>
          </w:tcPr>
          <w:p w14:paraId="2FC1D99B" w14:textId="77777777" w:rsidR="007638FC" w:rsidRPr="00A50C95" w:rsidRDefault="007638FC" w:rsidP="004E4FDD">
            <w:pPr>
              <w:bidi w:val="0"/>
              <w:rPr>
                <w:sz w:val="20"/>
                <w:szCs w:val="20"/>
              </w:rPr>
            </w:pPr>
          </w:p>
        </w:tc>
        <w:tc>
          <w:tcPr>
            <w:tcW w:w="849" w:type="dxa"/>
            <w:tcBorders>
              <w:bottom w:val="nil"/>
            </w:tcBorders>
          </w:tcPr>
          <w:p w14:paraId="3AC5E0AE"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2021</w:t>
            </w:r>
          </w:p>
        </w:tc>
        <w:tc>
          <w:tcPr>
            <w:tcW w:w="953" w:type="dxa"/>
            <w:tcBorders>
              <w:bottom w:val="nil"/>
              <w:right w:val="nil"/>
            </w:tcBorders>
          </w:tcPr>
          <w:p w14:paraId="54495717" w14:textId="77777777" w:rsidR="007638FC" w:rsidRPr="00A50C95"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Forecast for 2022</w:t>
            </w:r>
          </w:p>
        </w:tc>
        <w:tc>
          <w:tcPr>
            <w:tcW w:w="1173" w:type="dxa"/>
            <w:tcBorders>
              <w:left w:val="nil"/>
              <w:bottom w:val="nil"/>
            </w:tcBorders>
            <w:shd w:val="clear" w:color="auto" w:fill="C6D9F1" w:themeFill="text2" w:themeFillTint="33"/>
          </w:tcPr>
          <w:p w14:paraId="1C9EEC11" w14:textId="77777777"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Change from the April forecast</w:t>
            </w:r>
          </w:p>
        </w:tc>
        <w:tc>
          <w:tcPr>
            <w:tcW w:w="992" w:type="dxa"/>
            <w:tcBorders>
              <w:bottom w:val="nil"/>
              <w:right w:val="nil"/>
            </w:tcBorders>
          </w:tcPr>
          <w:p w14:paraId="17D3126F" w14:textId="77777777"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Forecast for 2023</w:t>
            </w:r>
          </w:p>
        </w:tc>
        <w:tc>
          <w:tcPr>
            <w:tcW w:w="992" w:type="dxa"/>
            <w:tcBorders>
              <w:left w:val="nil"/>
              <w:bottom w:val="nil"/>
              <w:right w:val="single" w:sz="4" w:space="0" w:color="auto"/>
            </w:tcBorders>
            <w:shd w:val="clear" w:color="auto" w:fill="C6D9F1" w:themeFill="text2" w:themeFillTint="33"/>
          </w:tcPr>
          <w:p w14:paraId="1776E007" w14:textId="77777777"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Change from the April forecast</w:t>
            </w:r>
          </w:p>
        </w:tc>
        <w:tc>
          <w:tcPr>
            <w:tcW w:w="992" w:type="dxa"/>
            <w:tcBorders>
              <w:left w:val="nil"/>
              <w:bottom w:val="nil"/>
              <w:right w:val="single" w:sz="4" w:space="0" w:color="auto"/>
            </w:tcBorders>
          </w:tcPr>
          <w:p w14:paraId="467D2CC2" w14:textId="77777777" w:rsidR="007638FC" w:rsidRDefault="007638FC" w:rsidP="004E4FDD">
            <w:pPr>
              <w:bidi w:val="0"/>
              <w:jc w:val="center"/>
              <w:rPr>
                <w:rFonts w:asciiTheme="majorBidi" w:hAnsiTheme="majorBidi" w:cstheme="majorBidi"/>
                <w:sz w:val="20"/>
                <w:szCs w:val="20"/>
              </w:rPr>
            </w:pPr>
          </w:p>
        </w:tc>
      </w:tr>
      <w:tr w:rsidR="007638FC" w:rsidRPr="007A4B17" w14:paraId="3526B7F0" w14:textId="77777777" w:rsidTr="004E4FDD">
        <w:tc>
          <w:tcPr>
            <w:tcW w:w="4680" w:type="dxa"/>
            <w:tcBorders>
              <w:bottom w:val="single" w:sz="4" w:space="0" w:color="auto"/>
            </w:tcBorders>
            <w:vAlign w:val="bottom"/>
          </w:tcPr>
          <w:p w14:paraId="4633B336" w14:textId="77777777" w:rsidR="007638FC" w:rsidRPr="00404ACD" w:rsidRDefault="007638FC" w:rsidP="004E4FDD">
            <w:pPr>
              <w:bidi w:val="0"/>
              <w:rPr>
                <w:b/>
                <w:bCs/>
                <w:sz w:val="20"/>
                <w:szCs w:val="20"/>
              </w:rPr>
            </w:pPr>
            <w:r w:rsidRPr="00404ACD">
              <w:rPr>
                <w:b/>
                <w:bCs/>
                <w:sz w:val="20"/>
                <w:szCs w:val="20"/>
              </w:rPr>
              <w:t>GDP</w:t>
            </w:r>
          </w:p>
        </w:tc>
        <w:tc>
          <w:tcPr>
            <w:tcW w:w="849" w:type="dxa"/>
            <w:tcBorders>
              <w:bottom w:val="single" w:sz="4" w:space="0" w:color="auto"/>
            </w:tcBorders>
          </w:tcPr>
          <w:p w14:paraId="486F062B" w14:textId="4332628F" w:rsidR="007638FC" w:rsidRPr="00404ACD" w:rsidRDefault="007638FC" w:rsidP="007638FC">
            <w:pPr>
              <w:bidi w:val="0"/>
              <w:jc w:val="center"/>
              <w:rPr>
                <w:rFonts w:asciiTheme="majorBidi" w:hAnsiTheme="majorBidi" w:cstheme="majorBidi"/>
                <w:b/>
                <w:bCs/>
                <w:sz w:val="20"/>
                <w:szCs w:val="20"/>
              </w:rPr>
            </w:pPr>
            <w:r>
              <w:rPr>
                <w:rFonts w:asciiTheme="majorBidi" w:hAnsiTheme="majorBidi" w:cstheme="majorBidi"/>
                <w:b/>
                <w:bCs/>
                <w:sz w:val="20"/>
                <w:szCs w:val="20"/>
              </w:rPr>
              <w:t>8.6</w:t>
            </w:r>
          </w:p>
        </w:tc>
        <w:tc>
          <w:tcPr>
            <w:tcW w:w="953" w:type="dxa"/>
            <w:tcBorders>
              <w:bottom w:val="single" w:sz="4" w:space="0" w:color="auto"/>
              <w:right w:val="nil"/>
            </w:tcBorders>
          </w:tcPr>
          <w:p w14:paraId="664C7A82" w14:textId="1FC157AE"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6.0</w:t>
            </w:r>
          </w:p>
        </w:tc>
        <w:tc>
          <w:tcPr>
            <w:tcW w:w="1173" w:type="dxa"/>
            <w:tcBorders>
              <w:left w:val="nil"/>
              <w:bottom w:val="single" w:sz="4" w:space="0" w:color="auto"/>
            </w:tcBorders>
            <w:shd w:val="clear" w:color="auto" w:fill="C6D9F1" w:themeFill="text2" w:themeFillTint="33"/>
          </w:tcPr>
          <w:p w14:paraId="1F04B3BB" w14:textId="12309270"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1.0</w:t>
            </w:r>
          </w:p>
        </w:tc>
        <w:tc>
          <w:tcPr>
            <w:tcW w:w="992" w:type="dxa"/>
            <w:tcBorders>
              <w:bottom w:val="single" w:sz="4" w:space="0" w:color="auto"/>
              <w:right w:val="nil"/>
            </w:tcBorders>
            <w:vAlign w:val="bottom"/>
          </w:tcPr>
          <w:p w14:paraId="126FD2FF" w14:textId="6651B41C" w:rsidR="007638FC" w:rsidRPr="00404ACD" w:rsidRDefault="007638FC" w:rsidP="007638FC">
            <w:pPr>
              <w:bidi w:val="0"/>
              <w:jc w:val="center"/>
              <w:rPr>
                <w:rFonts w:asciiTheme="majorBidi" w:hAnsiTheme="majorBidi" w:cstheme="majorBidi"/>
                <w:b/>
                <w:bCs/>
                <w:sz w:val="20"/>
                <w:szCs w:val="20"/>
              </w:rPr>
            </w:pPr>
            <w:r>
              <w:rPr>
                <w:rFonts w:asciiTheme="majorBidi" w:hAnsiTheme="majorBidi" w:cstheme="majorBidi"/>
                <w:b/>
                <w:bCs/>
                <w:sz w:val="20"/>
                <w:szCs w:val="20"/>
              </w:rPr>
              <w:t>3.0</w:t>
            </w:r>
          </w:p>
        </w:tc>
        <w:tc>
          <w:tcPr>
            <w:tcW w:w="992" w:type="dxa"/>
            <w:tcBorders>
              <w:left w:val="nil"/>
              <w:bottom w:val="single" w:sz="4" w:space="0" w:color="auto"/>
              <w:right w:val="single" w:sz="4" w:space="0" w:color="auto"/>
            </w:tcBorders>
            <w:shd w:val="clear" w:color="auto" w:fill="C6D9F1" w:themeFill="text2" w:themeFillTint="33"/>
          </w:tcPr>
          <w:p w14:paraId="66FE2DBE" w14:textId="77777777"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-0.5</w:t>
            </w:r>
          </w:p>
        </w:tc>
        <w:tc>
          <w:tcPr>
            <w:tcW w:w="992" w:type="dxa"/>
            <w:tcBorders>
              <w:left w:val="nil"/>
              <w:bottom w:val="single" w:sz="4" w:space="0" w:color="auto"/>
              <w:right w:val="single" w:sz="4" w:space="0" w:color="auto"/>
            </w:tcBorders>
          </w:tcPr>
          <w:p w14:paraId="402DB933" w14:textId="77777777" w:rsidR="007638FC" w:rsidRDefault="007638FC" w:rsidP="004E4FDD">
            <w:pPr>
              <w:bidi w:val="0"/>
              <w:jc w:val="center"/>
              <w:rPr>
                <w:rFonts w:asciiTheme="majorBidi" w:hAnsiTheme="majorBidi" w:cstheme="majorBidi"/>
                <w:b/>
                <w:bCs/>
                <w:sz w:val="20"/>
                <w:szCs w:val="20"/>
              </w:rPr>
            </w:pPr>
          </w:p>
        </w:tc>
      </w:tr>
      <w:tr w:rsidR="007638FC" w:rsidRPr="007A4B17" w14:paraId="0E89A436" w14:textId="77777777" w:rsidTr="004E4FDD">
        <w:tc>
          <w:tcPr>
            <w:tcW w:w="4680" w:type="dxa"/>
            <w:tcBorders>
              <w:bottom w:val="single" w:sz="4" w:space="0" w:color="auto"/>
            </w:tcBorders>
            <w:vAlign w:val="bottom"/>
          </w:tcPr>
          <w:p w14:paraId="296B46EF" w14:textId="77777777" w:rsidR="007638FC" w:rsidRPr="00A50C95" w:rsidRDefault="007638FC" w:rsidP="004E4FDD">
            <w:pPr>
              <w:bidi w:val="0"/>
              <w:rPr>
                <w:sz w:val="20"/>
                <w:szCs w:val="20"/>
              </w:rPr>
            </w:pPr>
            <w:r>
              <w:rPr>
                <w:sz w:val="20"/>
                <w:szCs w:val="20"/>
              </w:rPr>
              <w:t>Private consumption</w:t>
            </w:r>
          </w:p>
        </w:tc>
        <w:tc>
          <w:tcPr>
            <w:tcW w:w="849" w:type="dxa"/>
            <w:tcBorders>
              <w:bottom w:val="single" w:sz="4" w:space="0" w:color="auto"/>
            </w:tcBorders>
          </w:tcPr>
          <w:p w14:paraId="138D0303" w14:textId="00756BAF"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11.1</w:t>
            </w:r>
          </w:p>
        </w:tc>
        <w:tc>
          <w:tcPr>
            <w:tcW w:w="953" w:type="dxa"/>
            <w:tcBorders>
              <w:bottom w:val="single" w:sz="4" w:space="0" w:color="auto"/>
              <w:right w:val="nil"/>
            </w:tcBorders>
          </w:tcPr>
          <w:p w14:paraId="23B948CF" w14:textId="2A09C07F"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8.0</w:t>
            </w:r>
          </w:p>
        </w:tc>
        <w:tc>
          <w:tcPr>
            <w:tcW w:w="1173" w:type="dxa"/>
            <w:tcBorders>
              <w:left w:val="nil"/>
              <w:bottom w:val="single" w:sz="4" w:space="0" w:color="auto"/>
            </w:tcBorders>
            <w:shd w:val="clear" w:color="auto" w:fill="C6D9F1" w:themeFill="text2" w:themeFillTint="33"/>
          </w:tcPr>
          <w:p w14:paraId="162AE1F4" w14:textId="532A879A"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0.5</w:t>
            </w:r>
          </w:p>
        </w:tc>
        <w:tc>
          <w:tcPr>
            <w:tcW w:w="992" w:type="dxa"/>
            <w:tcBorders>
              <w:bottom w:val="single" w:sz="4" w:space="0" w:color="auto"/>
              <w:right w:val="nil"/>
            </w:tcBorders>
            <w:vAlign w:val="bottom"/>
          </w:tcPr>
          <w:p w14:paraId="062AFC53" w14:textId="3697B2A6"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3.5</w:t>
            </w:r>
          </w:p>
        </w:tc>
        <w:tc>
          <w:tcPr>
            <w:tcW w:w="992" w:type="dxa"/>
            <w:tcBorders>
              <w:left w:val="nil"/>
              <w:bottom w:val="single" w:sz="4" w:space="0" w:color="auto"/>
              <w:right w:val="single" w:sz="4" w:space="0" w:color="auto"/>
            </w:tcBorders>
            <w:shd w:val="clear" w:color="auto" w:fill="C6D9F1" w:themeFill="text2" w:themeFillTint="33"/>
          </w:tcPr>
          <w:p w14:paraId="3A1EB5D9" w14:textId="10F4A32A"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-1.0</w:t>
            </w:r>
          </w:p>
        </w:tc>
        <w:tc>
          <w:tcPr>
            <w:tcW w:w="992" w:type="dxa"/>
            <w:tcBorders>
              <w:left w:val="nil"/>
              <w:bottom w:val="single" w:sz="4" w:space="0" w:color="auto"/>
              <w:right w:val="single" w:sz="4" w:space="0" w:color="auto"/>
            </w:tcBorders>
          </w:tcPr>
          <w:p w14:paraId="47331A6D" w14:textId="77777777" w:rsidR="007638FC" w:rsidRDefault="007638FC" w:rsidP="004E4FDD">
            <w:pPr>
              <w:bidi w:val="0"/>
              <w:jc w:val="center"/>
              <w:rPr>
                <w:rFonts w:asciiTheme="majorBidi" w:hAnsiTheme="majorBidi" w:cstheme="majorBidi"/>
                <w:sz w:val="20"/>
                <w:szCs w:val="20"/>
              </w:rPr>
            </w:pPr>
          </w:p>
        </w:tc>
      </w:tr>
      <w:tr w:rsidR="007638FC" w:rsidRPr="007A4B17" w14:paraId="721A29F3" w14:textId="77777777" w:rsidTr="004E4FDD">
        <w:tc>
          <w:tcPr>
            <w:tcW w:w="4680" w:type="dxa"/>
            <w:tcBorders>
              <w:bottom w:val="single" w:sz="4" w:space="0" w:color="auto"/>
            </w:tcBorders>
            <w:vAlign w:val="bottom"/>
          </w:tcPr>
          <w:p w14:paraId="516D7293" w14:textId="77777777" w:rsidR="007638FC" w:rsidRDefault="007638FC" w:rsidP="004E4FDD">
            <w:pPr>
              <w:bidi w:val="0"/>
              <w:rPr>
                <w:sz w:val="20"/>
                <w:szCs w:val="20"/>
              </w:rPr>
            </w:pPr>
            <w:r>
              <w:rPr>
                <w:sz w:val="20"/>
                <w:szCs w:val="20"/>
              </w:rPr>
              <w:t>Fixed capital formation (excl. ships and aircraft)</w:t>
            </w:r>
          </w:p>
        </w:tc>
        <w:tc>
          <w:tcPr>
            <w:tcW w:w="849" w:type="dxa"/>
            <w:tcBorders>
              <w:bottom w:val="single" w:sz="4" w:space="0" w:color="auto"/>
            </w:tcBorders>
          </w:tcPr>
          <w:p w14:paraId="6ED14BC3" w14:textId="2E01A7C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12.2</w:t>
            </w:r>
          </w:p>
        </w:tc>
        <w:tc>
          <w:tcPr>
            <w:tcW w:w="953" w:type="dxa"/>
            <w:tcBorders>
              <w:bottom w:val="single" w:sz="4" w:space="0" w:color="auto"/>
              <w:right w:val="nil"/>
            </w:tcBorders>
          </w:tcPr>
          <w:p w14:paraId="6E547A4A" w14:textId="3DAC1C4D"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8.0</w:t>
            </w:r>
          </w:p>
        </w:tc>
        <w:tc>
          <w:tcPr>
            <w:tcW w:w="1173" w:type="dxa"/>
            <w:tcBorders>
              <w:left w:val="nil"/>
              <w:bottom w:val="single" w:sz="4" w:space="0" w:color="auto"/>
            </w:tcBorders>
            <w:shd w:val="clear" w:color="auto" w:fill="C6D9F1" w:themeFill="text2" w:themeFillTint="33"/>
          </w:tcPr>
          <w:p w14:paraId="39E44BDD" w14:textId="74651AC3"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3.0</w:t>
            </w:r>
          </w:p>
        </w:tc>
        <w:tc>
          <w:tcPr>
            <w:tcW w:w="992" w:type="dxa"/>
            <w:tcBorders>
              <w:bottom w:val="single" w:sz="4" w:space="0" w:color="auto"/>
              <w:right w:val="nil"/>
            </w:tcBorders>
            <w:vAlign w:val="bottom"/>
          </w:tcPr>
          <w:p w14:paraId="063F352E"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3.0</w:t>
            </w:r>
          </w:p>
        </w:tc>
        <w:tc>
          <w:tcPr>
            <w:tcW w:w="992" w:type="dxa"/>
            <w:tcBorders>
              <w:left w:val="nil"/>
              <w:bottom w:val="single" w:sz="4" w:space="0" w:color="auto"/>
              <w:right w:val="single" w:sz="4" w:space="0" w:color="auto"/>
            </w:tcBorders>
            <w:shd w:val="clear" w:color="auto" w:fill="C6D9F1" w:themeFill="text2" w:themeFillTint="33"/>
          </w:tcPr>
          <w:p w14:paraId="41E7DBA9" w14:textId="3BE0FD6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0.0</w:t>
            </w:r>
          </w:p>
        </w:tc>
        <w:tc>
          <w:tcPr>
            <w:tcW w:w="992" w:type="dxa"/>
            <w:tcBorders>
              <w:left w:val="nil"/>
              <w:bottom w:val="single" w:sz="4" w:space="0" w:color="auto"/>
              <w:right w:val="single" w:sz="4" w:space="0" w:color="auto"/>
            </w:tcBorders>
          </w:tcPr>
          <w:p w14:paraId="76E2B3D7" w14:textId="77777777" w:rsidR="007638FC" w:rsidRDefault="007638FC" w:rsidP="004E4FDD">
            <w:pPr>
              <w:bidi w:val="0"/>
              <w:jc w:val="center"/>
              <w:rPr>
                <w:rFonts w:asciiTheme="majorBidi" w:hAnsiTheme="majorBidi" w:cstheme="majorBidi"/>
                <w:sz w:val="20"/>
                <w:szCs w:val="20"/>
              </w:rPr>
            </w:pPr>
          </w:p>
        </w:tc>
      </w:tr>
      <w:tr w:rsidR="007638FC" w:rsidRPr="007A4B17" w14:paraId="239CC5A3" w14:textId="77777777" w:rsidTr="004E4FDD">
        <w:tc>
          <w:tcPr>
            <w:tcW w:w="4680" w:type="dxa"/>
            <w:tcBorders>
              <w:bottom w:val="single" w:sz="4" w:space="0" w:color="auto"/>
            </w:tcBorders>
            <w:vAlign w:val="bottom"/>
          </w:tcPr>
          <w:p w14:paraId="70C85060" w14:textId="77777777" w:rsidR="007638FC" w:rsidRDefault="007638FC" w:rsidP="004E4FDD">
            <w:pPr>
              <w:bidi w:val="0"/>
              <w:rPr>
                <w:sz w:val="20"/>
                <w:szCs w:val="20"/>
              </w:rPr>
            </w:pPr>
            <w:r>
              <w:rPr>
                <w:sz w:val="20"/>
                <w:szCs w:val="20"/>
              </w:rPr>
              <w:t>Public consumption (excl. defense imports)</w:t>
            </w:r>
          </w:p>
        </w:tc>
        <w:tc>
          <w:tcPr>
            <w:tcW w:w="849" w:type="dxa"/>
            <w:tcBorders>
              <w:bottom w:val="single" w:sz="4" w:space="0" w:color="auto"/>
            </w:tcBorders>
          </w:tcPr>
          <w:p w14:paraId="4FC071E1" w14:textId="30721B18"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3.7</w:t>
            </w:r>
          </w:p>
        </w:tc>
        <w:tc>
          <w:tcPr>
            <w:tcW w:w="953" w:type="dxa"/>
            <w:tcBorders>
              <w:bottom w:val="single" w:sz="4" w:space="0" w:color="auto"/>
              <w:right w:val="nil"/>
            </w:tcBorders>
          </w:tcPr>
          <w:p w14:paraId="24DD9A15"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4.0</w:t>
            </w:r>
          </w:p>
        </w:tc>
        <w:tc>
          <w:tcPr>
            <w:tcW w:w="1173" w:type="dxa"/>
            <w:tcBorders>
              <w:left w:val="nil"/>
              <w:bottom w:val="single" w:sz="4" w:space="0" w:color="auto"/>
            </w:tcBorders>
            <w:shd w:val="clear" w:color="auto" w:fill="C6D9F1" w:themeFill="text2" w:themeFillTint="33"/>
          </w:tcPr>
          <w:p w14:paraId="646CED32"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0.0</w:t>
            </w:r>
          </w:p>
        </w:tc>
        <w:tc>
          <w:tcPr>
            <w:tcW w:w="992" w:type="dxa"/>
            <w:tcBorders>
              <w:bottom w:val="single" w:sz="4" w:space="0" w:color="auto"/>
              <w:right w:val="nil"/>
            </w:tcBorders>
            <w:vAlign w:val="bottom"/>
          </w:tcPr>
          <w:p w14:paraId="41D481A3" w14:textId="4A748051"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4.0</w:t>
            </w:r>
          </w:p>
        </w:tc>
        <w:tc>
          <w:tcPr>
            <w:tcW w:w="992" w:type="dxa"/>
            <w:tcBorders>
              <w:left w:val="nil"/>
              <w:bottom w:val="single" w:sz="4" w:space="0" w:color="auto"/>
              <w:right w:val="single" w:sz="4" w:space="0" w:color="auto"/>
            </w:tcBorders>
            <w:shd w:val="clear" w:color="auto" w:fill="C6D9F1" w:themeFill="text2" w:themeFillTint="33"/>
          </w:tcPr>
          <w:p w14:paraId="107E2854" w14:textId="1E9AC36F"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1.0</w:t>
            </w:r>
          </w:p>
        </w:tc>
        <w:tc>
          <w:tcPr>
            <w:tcW w:w="992" w:type="dxa"/>
            <w:tcBorders>
              <w:left w:val="nil"/>
              <w:bottom w:val="single" w:sz="4" w:space="0" w:color="auto"/>
              <w:right w:val="single" w:sz="4" w:space="0" w:color="auto"/>
            </w:tcBorders>
          </w:tcPr>
          <w:p w14:paraId="52DDD763" w14:textId="77777777" w:rsidR="007638FC" w:rsidRDefault="007638FC" w:rsidP="004E4FDD">
            <w:pPr>
              <w:bidi w:val="0"/>
              <w:jc w:val="center"/>
              <w:rPr>
                <w:rFonts w:asciiTheme="majorBidi" w:hAnsiTheme="majorBidi" w:cstheme="majorBidi"/>
                <w:sz w:val="20"/>
                <w:szCs w:val="20"/>
              </w:rPr>
            </w:pPr>
          </w:p>
        </w:tc>
      </w:tr>
      <w:tr w:rsidR="007638FC" w:rsidRPr="007A4B17" w14:paraId="07F0D057" w14:textId="77777777" w:rsidTr="004E4FDD">
        <w:tc>
          <w:tcPr>
            <w:tcW w:w="4680" w:type="dxa"/>
            <w:tcBorders>
              <w:bottom w:val="single" w:sz="4" w:space="0" w:color="auto"/>
            </w:tcBorders>
            <w:vAlign w:val="bottom"/>
          </w:tcPr>
          <w:p w14:paraId="5056BB6E" w14:textId="77777777" w:rsidR="007638FC" w:rsidRDefault="007638FC" w:rsidP="004E4FDD">
            <w:pPr>
              <w:bidi w:val="0"/>
              <w:rPr>
                <w:sz w:val="20"/>
                <w:szCs w:val="20"/>
              </w:rPr>
            </w:pPr>
            <w:r>
              <w:rPr>
                <w:sz w:val="20"/>
                <w:szCs w:val="20"/>
              </w:rPr>
              <w:t>Exports (excl. diamonds and startups)</w:t>
            </w:r>
          </w:p>
        </w:tc>
        <w:tc>
          <w:tcPr>
            <w:tcW w:w="849" w:type="dxa"/>
            <w:tcBorders>
              <w:bottom w:val="single" w:sz="4" w:space="0" w:color="auto"/>
            </w:tcBorders>
          </w:tcPr>
          <w:p w14:paraId="2A615429" w14:textId="15BD8837"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11.8</w:t>
            </w:r>
          </w:p>
        </w:tc>
        <w:tc>
          <w:tcPr>
            <w:tcW w:w="953" w:type="dxa"/>
            <w:tcBorders>
              <w:bottom w:val="single" w:sz="4" w:space="0" w:color="auto"/>
              <w:right w:val="nil"/>
            </w:tcBorders>
          </w:tcPr>
          <w:p w14:paraId="72E683A1" w14:textId="08C8405D"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8.0</w:t>
            </w:r>
          </w:p>
        </w:tc>
        <w:tc>
          <w:tcPr>
            <w:tcW w:w="1173" w:type="dxa"/>
            <w:tcBorders>
              <w:left w:val="nil"/>
              <w:bottom w:val="single" w:sz="4" w:space="0" w:color="auto"/>
            </w:tcBorders>
            <w:shd w:val="clear" w:color="auto" w:fill="C6D9F1" w:themeFill="text2" w:themeFillTint="33"/>
          </w:tcPr>
          <w:p w14:paraId="1054B66C" w14:textId="6505CC49"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5.0</w:t>
            </w:r>
          </w:p>
        </w:tc>
        <w:tc>
          <w:tcPr>
            <w:tcW w:w="992" w:type="dxa"/>
            <w:tcBorders>
              <w:bottom w:val="single" w:sz="4" w:space="0" w:color="auto"/>
              <w:right w:val="nil"/>
            </w:tcBorders>
            <w:vAlign w:val="bottom"/>
          </w:tcPr>
          <w:p w14:paraId="1CE6F553"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2.5</w:t>
            </w:r>
          </w:p>
        </w:tc>
        <w:tc>
          <w:tcPr>
            <w:tcW w:w="992" w:type="dxa"/>
            <w:tcBorders>
              <w:left w:val="nil"/>
              <w:bottom w:val="single" w:sz="4" w:space="0" w:color="auto"/>
              <w:right w:val="single" w:sz="4" w:space="0" w:color="auto"/>
            </w:tcBorders>
            <w:shd w:val="clear" w:color="auto" w:fill="C6D9F1" w:themeFill="text2" w:themeFillTint="33"/>
          </w:tcPr>
          <w:p w14:paraId="635E2B72" w14:textId="53B28C95"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0.0</w:t>
            </w:r>
          </w:p>
        </w:tc>
        <w:tc>
          <w:tcPr>
            <w:tcW w:w="992" w:type="dxa"/>
            <w:tcBorders>
              <w:left w:val="nil"/>
              <w:bottom w:val="single" w:sz="4" w:space="0" w:color="auto"/>
              <w:right w:val="single" w:sz="4" w:space="0" w:color="auto"/>
            </w:tcBorders>
          </w:tcPr>
          <w:p w14:paraId="2EB59A65" w14:textId="77777777" w:rsidR="007638FC" w:rsidRDefault="007638FC" w:rsidP="004E4FDD">
            <w:pPr>
              <w:bidi w:val="0"/>
              <w:jc w:val="center"/>
              <w:rPr>
                <w:rFonts w:asciiTheme="majorBidi" w:hAnsiTheme="majorBidi" w:cstheme="majorBidi"/>
                <w:sz w:val="20"/>
                <w:szCs w:val="20"/>
              </w:rPr>
            </w:pPr>
          </w:p>
        </w:tc>
      </w:tr>
      <w:tr w:rsidR="007638FC" w:rsidRPr="007A4B17" w14:paraId="1DDA51F7" w14:textId="77777777" w:rsidTr="004E4FDD">
        <w:tc>
          <w:tcPr>
            <w:tcW w:w="4680" w:type="dxa"/>
            <w:tcBorders>
              <w:bottom w:val="nil"/>
            </w:tcBorders>
            <w:vAlign w:val="bottom"/>
          </w:tcPr>
          <w:p w14:paraId="3C753D32" w14:textId="77777777" w:rsidR="007638FC" w:rsidRPr="00A50C95" w:rsidRDefault="007638FC" w:rsidP="004E4FDD">
            <w:pPr>
              <w:bidi w:val="0"/>
              <w:rPr>
                <w:sz w:val="20"/>
                <w:szCs w:val="20"/>
              </w:rPr>
            </w:pPr>
            <w:r>
              <w:rPr>
                <w:sz w:val="20"/>
                <w:szCs w:val="20"/>
              </w:rPr>
              <w:t>Civilian imports (excl. diamonds, ships, and aircraft)</w:t>
            </w:r>
          </w:p>
        </w:tc>
        <w:tc>
          <w:tcPr>
            <w:tcW w:w="849" w:type="dxa"/>
            <w:tcBorders>
              <w:bottom w:val="nil"/>
            </w:tcBorders>
          </w:tcPr>
          <w:p w14:paraId="78B98BB7" w14:textId="3046B1D2"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18.2</w:t>
            </w:r>
          </w:p>
        </w:tc>
        <w:tc>
          <w:tcPr>
            <w:tcW w:w="953" w:type="dxa"/>
            <w:tcBorders>
              <w:bottom w:val="nil"/>
              <w:right w:val="nil"/>
            </w:tcBorders>
          </w:tcPr>
          <w:p w14:paraId="0131E28C" w14:textId="13B89D1D" w:rsidR="007638FC" w:rsidRPr="00A50C95"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12.5</w:t>
            </w:r>
          </w:p>
        </w:tc>
        <w:tc>
          <w:tcPr>
            <w:tcW w:w="1173" w:type="dxa"/>
            <w:tcBorders>
              <w:left w:val="nil"/>
              <w:bottom w:val="nil"/>
            </w:tcBorders>
            <w:shd w:val="clear" w:color="auto" w:fill="C6D9F1" w:themeFill="text2" w:themeFillTint="33"/>
          </w:tcPr>
          <w:p w14:paraId="71CCBA19" w14:textId="22342202"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5.0</w:t>
            </w:r>
          </w:p>
        </w:tc>
        <w:tc>
          <w:tcPr>
            <w:tcW w:w="992" w:type="dxa"/>
            <w:tcBorders>
              <w:bottom w:val="nil"/>
              <w:right w:val="nil"/>
            </w:tcBorders>
            <w:vAlign w:val="bottom"/>
          </w:tcPr>
          <w:p w14:paraId="560C357C" w14:textId="1434FECA" w:rsidR="007638FC" w:rsidRPr="003C7BEB"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3.5</w:t>
            </w:r>
          </w:p>
        </w:tc>
        <w:tc>
          <w:tcPr>
            <w:tcW w:w="992" w:type="dxa"/>
            <w:tcBorders>
              <w:left w:val="nil"/>
              <w:bottom w:val="nil"/>
              <w:right w:val="single" w:sz="4" w:space="0" w:color="auto"/>
            </w:tcBorders>
            <w:shd w:val="clear" w:color="auto" w:fill="C6D9F1" w:themeFill="text2" w:themeFillTint="33"/>
          </w:tcPr>
          <w:p w14:paraId="2D6CCAB6" w14:textId="2968822C"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0.5</w:t>
            </w:r>
          </w:p>
        </w:tc>
        <w:tc>
          <w:tcPr>
            <w:tcW w:w="992" w:type="dxa"/>
            <w:tcBorders>
              <w:left w:val="nil"/>
              <w:bottom w:val="nil"/>
              <w:right w:val="single" w:sz="4" w:space="0" w:color="auto"/>
            </w:tcBorders>
          </w:tcPr>
          <w:p w14:paraId="41A97AD7" w14:textId="77777777" w:rsidR="007638FC" w:rsidRDefault="007638FC" w:rsidP="004E4FDD">
            <w:pPr>
              <w:bidi w:val="0"/>
              <w:jc w:val="center"/>
              <w:rPr>
                <w:rFonts w:asciiTheme="majorBidi" w:hAnsiTheme="majorBidi" w:cstheme="majorBidi"/>
                <w:sz w:val="20"/>
                <w:szCs w:val="20"/>
              </w:rPr>
            </w:pPr>
          </w:p>
        </w:tc>
      </w:tr>
      <w:tr w:rsidR="007638FC" w:rsidRPr="007A4B17" w14:paraId="2EC26024" w14:textId="77777777" w:rsidTr="004E4FDD">
        <w:tc>
          <w:tcPr>
            <w:tcW w:w="4680" w:type="dxa"/>
            <w:tcBorders>
              <w:bottom w:val="single" w:sz="4" w:space="0" w:color="auto"/>
            </w:tcBorders>
            <w:vAlign w:val="bottom"/>
          </w:tcPr>
          <w:p w14:paraId="5B872B9F" w14:textId="77777777" w:rsidR="007638FC" w:rsidRPr="00404ACD" w:rsidRDefault="007638FC" w:rsidP="004E4FDD">
            <w:pPr>
              <w:bidi w:val="0"/>
              <w:rPr>
                <w:b/>
                <w:bCs/>
                <w:sz w:val="20"/>
                <w:szCs w:val="20"/>
              </w:rPr>
            </w:pPr>
            <w:r>
              <w:rPr>
                <w:b/>
                <w:bCs/>
                <w:sz w:val="20"/>
                <w:szCs w:val="20"/>
              </w:rPr>
              <w:t xml:space="preserve">GDP deviation from the </w:t>
            </w:r>
            <w:proofErr w:type="spellStart"/>
            <w:r>
              <w:rPr>
                <w:b/>
                <w:bCs/>
                <w:sz w:val="20"/>
                <w:szCs w:val="20"/>
              </w:rPr>
              <w:t>precrisis</w:t>
            </w:r>
            <w:proofErr w:type="spellEnd"/>
            <w:r>
              <w:rPr>
                <w:b/>
                <w:bCs/>
                <w:sz w:val="20"/>
                <w:szCs w:val="20"/>
              </w:rPr>
              <w:t xml:space="preserve"> trend (percent)</w:t>
            </w:r>
          </w:p>
        </w:tc>
        <w:tc>
          <w:tcPr>
            <w:tcW w:w="849" w:type="dxa"/>
            <w:tcBorders>
              <w:bottom w:val="single" w:sz="4" w:space="0" w:color="auto"/>
            </w:tcBorders>
          </w:tcPr>
          <w:p w14:paraId="6BA16A1F" w14:textId="1A03084B"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-1.4</w:t>
            </w:r>
          </w:p>
        </w:tc>
        <w:tc>
          <w:tcPr>
            <w:tcW w:w="953" w:type="dxa"/>
            <w:tcBorders>
              <w:bottom w:val="single" w:sz="4" w:space="0" w:color="auto"/>
              <w:right w:val="nil"/>
            </w:tcBorders>
          </w:tcPr>
          <w:p w14:paraId="2A710EAA" w14:textId="4C6678E1"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0.5</w:t>
            </w:r>
          </w:p>
        </w:tc>
        <w:tc>
          <w:tcPr>
            <w:tcW w:w="1173" w:type="dxa"/>
            <w:tcBorders>
              <w:left w:val="nil"/>
              <w:bottom w:val="single" w:sz="4" w:space="0" w:color="auto"/>
            </w:tcBorders>
            <w:shd w:val="clear" w:color="auto" w:fill="C6D9F1" w:themeFill="text2" w:themeFillTint="33"/>
          </w:tcPr>
          <w:p w14:paraId="4E4C5CB5" w14:textId="553B2E7D"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1.1</w:t>
            </w:r>
          </w:p>
        </w:tc>
        <w:tc>
          <w:tcPr>
            <w:tcW w:w="992" w:type="dxa"/>
            <w:tcBorders>
              <w:bottom w:val="single" w:sz="4" w:space="0" w:color="auto"/>
              <w:right w:val="nil"/>
            </w:tcBorders>
            <w:vAlign w:val="bottom"/>
          </w:tcPr>
          <w:p w14:paraId="628D7A7F" w14:textId="1348D15E" w:rsidR="007638FC" w:rsidRPr="00404ACD" w:rsidRDefault="007638FC" w:rsidP="007638FC">
            <w:pPr>
              <w:bidi w:val="0"/>
              <w:jc w:val="center"/>
              <w:rPr>
                <w:rFonts w:asciiTheme="majorBidi" w:hAnsiTheme="majorBidi" w:cstheme="majorBidi"/>
                <w:b/>
                <w:bCs/>
                <w:sz w:val="20"/>
                <w:szCs w:val="20"/>
              </w:rPr>
            </w:pPr>
            <w:r>
              <w:rPr>
                <w:rFonts w:asciiTheme="majorBidi" w:hAnsiTheme="majorBidi" w:cstheme="majorBidi"/>
                <w:b/>
                <w:bCs/>
                <w:sz w:val="20"/>
                <w:szCs w:val="20"/>
              </w:rPr>
              <w:t>-0.5</w:t>
            </w:r>
          </w:p>
        </w:tc>
        <w:tc>
          <w:tcPr>
            <w:tcW w:w="992" w:type="dxa"/>
            <w:tcBorders>
              <w:left w:val="nil"/>
              <w:bottom w:val="single" w:sz="4" w:space="0" w:color="auto"/>
              <w:right w:val="single" w:sz="4" w:space="0" w:color="auto"/>
            </w:tcBorders>
            <w:shd w:val="clear" w:color="auto" w:fill="C6D9F1" w:themeFill="text2" w:themeFillTint="33"/>
          </w:tcPr>
          <w:p w14:paraId="68A145CE" w14:textId="71FB3B95" w:rsidR="007638FC" w:rsidRPr="00404ACD" w:rsidRDefault="007638FC" w:rsidP="004E4FDD">
            <w:pPr>
              <w:bidi w:val="0"/>
              <w:jc w:val="center"/>
              <w:rPr>
                <w:rFonts w:asciiTheme="majorBidi" w:hAnsiTheme="majorBidi" w:cstheme="majorBidi"/>
                <w:b/>
                <w:bCs/>
                <w:sz w:val="20"/>
                <w:szCs w:val="20"/>
              </w:rPr>
            </w:pPr>
            <w:r>
              <w:rPr>
                <w:rFonts w:asciiTheme="majorBidi" w:hAnsiTheme="majorBidi" w:cstheme="majorBidi"/>
                <w:b/>
                <w:bCs/>
                <w:sz w:val="20"/>
                <w:szCs w:val="20"/>
              </w:rPr>
              <w:t>0.4</w:t>
            </w:r>
          </w:p>
        </w:tc>
        <w:tc>
          <w:tcPr>
            <w:tcW w:w="992" w:type="dxa"/>
            <w:tcBorders>
              <w:left w:val="nil"/>
              <w:bottom w:val="single" w:sz="4" w:space="0" w:color="auto"/>
              <w:right w:val="single" w:sz="4" w:space="0" w:color="auto"/>
            </w:tcBorders>
          </w:tcPr>
          <w:p w14:paraId="0DFFF0B7" w14:textId="77777777" w:rsidR="007638FC" w:rsidRDefault="007638FC" w:rsidP="004E4FDD">
            <w:pPr>
              <w:bidi w:val="0"/>
              <w:jc w:val="center"/>
              <w:rPr>
                <w:rFonts w:asciiTheme="majorBidi" w:hAnsiTheme="majorBidi" w:cstheme="majorBidi"/>
                <w:b/>
                <w:bCs/>
                <w:sz w:val="20"/>
                <w:szCs w:val="20"/>
              </w:rPr>
            </w:pPr>
          </w:p>
        </w:tc>
      </w:tr>
      <w:tr w:rsidR="007638FC" w:rsidRPr="007A4B17" w14:paraId="1E4EA3FC" w14:textId="77777777" w:rsidTr="004E4FDD">
        <w:tc>
          <w:tcPr>
            <w:tcW w:w="4680" w:type="dxa"/>
            <w:tcBorders>
              <w:bottom w:val="single" w:sz="4" w:space="0" w:color="auto"/>
            </w:tcBorders>
            <w:vAlign w:val="bottom"/>
          </w:tcPr>
          <w:p w14:paraId="71EF1FBD" w14:textId="77777777" w:rsidR="007638FC" w:rsidRPr="00A50C95" w:rsidRDefault="007638FC" w:rsidP="004E4FDD">
            <w:pPr>
              <w:bidi w:val="0"/>
              <w:rPr>
                <w:sz w:val="20"/>
                <w:szCs w:val="20"/>
              </w:rPr>
            </w:pPr>
            <w:r>
              <w:rPr>
                <w:sz w:val="20"/>
                <w:szCs w:val="20"/>
              </w:rPr>
              <w:t>Unemployment</w:t>
            </w:r>
            <w:r w:rsidRPr="00A50C95">
              <w:rPr>
                <w:sz w:val="20"/>
                <w:szCs w:val="20"/>
              </w:rPr>
              <w:t xml:space="preserve"> rat</w:t>
            </w:r>
            <w:r>
              <w:rPr>
                <w:sz w:val="20"/>
                <w:szCs w:val="20"/>
              </w:rPr>
              <w:t>e (average for the year, age 25–64)</w:t>
            </w:r>
          </w:p>
        </w:tc>
        <w:tc>
          <w:tcPr>
            <w:tcW w:w="849" w:type="dxa"/>
            <w:tcBorders>
              <w:bottom w:val="single" w:sz="4" w:space="0" w:color="auto"/>
            </w:tcBorders>
          </w:tcPr>
          <w:p w14:paraId="7DA18D9E"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4.6</w:t>
            </w:r>
          </w:p>
        </w:tc>
        <w:tc>
          <w:tcPr>
            <w:tcW w:w="953" w:type="dxa"/>
            <w:tcBorders>
              <w:bottom w:val="single" w:sz="4" w:space="0" w:color="auto"/>
              <w:right w:val="nil"/>
            </w:tcBorders>
          </w:tcPr>
          <w:p w14:paraId="39C2DF42" w14:textId="2F0CF588" w:rsidR="007638FC" w:rsidRPr="00A50C95"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3.1</w:t>
            </w:r>
          </w:p>
        </w:tc>
        <w:tc>
          <w:tcPr>
            <w:tcW w:w="1173" w:type="dxa"/>
            <w:tcBorders>
              <w:left w:val="nil"/>
              <w:bottom w:val="single" w:sz="4" w:space="0" w:color="auto"/>
            </w:tcBorders>
            <w:shd w:val="clear" w:color="auto" w:fill="C6D9F1" w:themeFill="text2" w:themeFillTint="33"/>
          </w:tcPr>
          <w:p w14:paraId="03FBC05F" w14:textId="77777777"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-0.2</w:t>
            </w:r>
          </w:p>
        </w:tc>
        <w:tc>
          <w:tcPr>
            <w:tcW w:w="992" w:type="dxa"/>
            <w:tcBorders>
              <w:bottom w:val="single" w:sz="4" w:space="0" w:color="auto"/>
              <w:right w:val="nil"/>
            </w:tcBorders>
            <w:vAlign w:val="bottom"/>
          </w:tcPr>
          <w:p w14:paraId="6C0FA45F" w14:textId="77777777" w:rsidR="007638FC" w:rsidRPr="003C7BEB"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3.5</w:t>
            </w:r>
          </w:p>
        </w:tc>
        <w:tc>
          <w:tcPr>
            <w:tcW w:w="992" w:type="dxa"/>
            <w:tcBorders>
              <w:left w:val="nil"/>
              <w:bottom w:val="single" w:sz="4" w:space="0" w:color="auto"/>
              <w:right w:val="single" w:sz="4" w:space="0" w:color="auto"/>
            </w:tcBorders>
            <w:shd w:val="clear" w:color="auto" w:fill="C6D9F1" w:themeFill="text2" w:themeFillTint="33"/>
          </w:tcPr>
          <w:p w14:paraId="2F21C2A1" w14:textId="310F3909" w:rsidR="007638FC" w:rsidRPr="003C7BEB"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0.0</w:t>
            </w:r>
          </w:p>
        </w:tc>
        <w:tc>
          <w:tcPr>
            <w:tcW w:w="992" w:type="dxa"/>
            <w:tcBorders>
              <w:left w:val="nil"/>
              <w:bottom w:val="single" w:sz="4" w:space="0" w:color="auto"/>
              <w:right w:val="single" w:sz="4" w:space="0" w:color="auto"/>
            </w:tcBorders>
          </w:tcPr>
          <w:p w14:paraId="3D34668A" w14:textId="77777777" w:rsidR="007638FC" w:rsidRDefault="007638FC" w:rsidP="004E4FDD">
            <w:pPr>
              <w:bidi w:val="0"/>
              <w:jc w:val="center"/>
              <w:rPr>
                <w:rFonts w:asciiTheme="majorBidi" w:hAnsiTheme="majorBidi" w:cstheme="majorBidi"/>
                <w:sz w:val="20"/>
                <w:szCs w:val="20"/>
              </w:rPr>
            </w:pPr>
          </w:p>
        </w:tc>
      </w:tr>
      <w:tr w:rsidR="007638FC" w:rsidRPr="007A4B17" w14:paraId="690EE195" w14:textId="77777777" w:rsidTr="004E4FDD">
        <w:tc>
          <w:tcPr>
            <w:tcW w:w="4680" w:type="dxa"/>
            <w:tcBorders>
              <w:top w:val="single" w:sz="4" w:space="0" w:color="auto"/>
              <w:bottom w:val="single" w:sz="4" w:space="0" w:color="auto"/>
            </w:tcBorders>
            <w:vAlign w:val="bottom"/>
          </w:tcPr>
          <w:p w14:paraId="49F5CAF2" w14:textId="77777777" w:rsidR="007638FC" w:rsidRPr="00DC3F7B" w:rsidRDefault="007638FC" w:rsidP="004E4FDD">
            <w:pPr>
              <w:bidi w:val="0"/>
              <w:rPr>
                <w:b/>
                <w:bCs/>
                <w:sz w:val="20"/>
                <w:szCs w:val="20"/>
              </w:rPr>
            </w:pPr>
            <w:r>
              <w:rPr>
                <w:sz w:val="20"/>
                <w:szCs w:val="20"/>
              </w:rPr>
              <w:t>Employment rate (average for the year, ages 25–64)</w:t>
            </w:r>
          </w:p>
        </w:tc>
        <w:tc>
          <w:tcPr>
            <w:tcW w:w="849" w:type="dxa"/>
            <w:tcBorders>
              <w:top w:val="single" w:sz="4" w:space="0" w:color="auto"/>
              <w:bottom w:val="single" w:sz="4" w:space="0" w:color="auto"/>
            </w:tcBorders>
          </w:tcPr>
          <w:p w14:paraId="75777BEE" w14:textId="77777777" w:rsidR="007638FC" w:rsidRPr="009F2CC9" w:rsidRDefault="007638FC" w:rsidP="004E4FDD">
            <w:pPr>
              <w:bidi w:val="0"/>
              <w:jc w:val="center"/>
              <w:rPr>
                <w:rFonts w:asciiTheme="majorBidi" w:hAnsiTheme="majorBidi" w:cstheme="majorBidi"/>
                <w:sz w:val="20"/>
                <w:szCs w:val="20"/>
              </w:rPr>
            </w:pPr>
            <w:r w:rsidRPr="009F2CC9">
              <w:rPr>
                <w:rFonts w:asciiTheme="majorBidi" w:hAnsiTheme="majorBidi" w:cstheme="majorBidi"/>
                <w:sz w:val="20"/>
                <w:szCs w:val="20"/>
              </w:rPr>
              <w:t>75.7</w:t>
            </w:r>
          </w:p>
        </w:tc>
        <w:tc>
          <w:tcPr>
            <w:tcW w:w="953" w:type="dxa"/>
            <w:tcBorders>
              <w:top w:val="single" w:sz="4" w:space="0" w:color="auto"/>
              <w:bottom w:val="single" w:sz="4" w:space="0" w:color="auto"/>
              <w:right w:val="nil"/>
            </w:tcBorders>
          </w:tcPr>
          <w:p w14:paraId="03DA4762" w14:textId="520B4068" w:rsidR="007638FC" w:rsidRPr="009F2CC9" w:rsidRDefault="007638FC" w:rsidP="007638FC">
            <w:pPr>
              <w:bidi w:val="0"/>
              <w:jc w:val="center"/>
              <w:rPr>
                <w:rFonts w:asciiTheme="majorBidi" w:hAnsiTheme="majorBidi" w:cstheme="majorBidi"/>
                <w:sz w:val="20"/>
                <w:szCs w:val="20"/>
              </w:rPr>
            </w:pPr>
            <w:r w:rsidRPr="009F2CC9">
              <w:rPr>
                <w:rFonts w:asciiTheme="majorBidi" w:hAnsiTheme="majorBidi" w:cstheme="majorBidi"/>
                <w:sz w:val="20"/>
                <w:szCs w:val="20"/>
              </w:rPr>
              <w:t>78.7</w:t>
            </w:r>
          </w:p>
        </w:tc>
        <w:tc>
          <w:tcPr>
            <w:tcW w:w="1173" w:type="dxa"/>
            <w:tcBorders>
              <w:top w:val="single" w:sz="4" w:space="0" w:color="auto"/>
              <w:left w:val="nil"/>
              <w:bottom w:val="single" w:sz="4" w:space="0" w:color="auto"/>
            </w:tcBorders>
            <w:shd w:val="clear" w:color="auto" w:fill="C6D9F1" w:themeFill="text2" w:themeFillTint="33"/>
          </w:tcPr>
          <w:p w14:paraId="67F1400F" w14:textId="7E5AD8CD" w:rsidR="007638FC" w:rsidRPr="009F2CC9" w:rsidRDefault="007638FC" w:rsidP="004E4FDD">
            <w:pPr>
              <w:bidi w:val="0"/>
              <w:jc w:val="center"/>
              <w:rPr>
                <w:rFonts w:asciiTheme="majorBidi" w:hAnsiTheme="majorBidi" w:cstheme="majorBidi"/>
                <w:sz w:val="20"/>
                <w:szCs w:val="20"/>
              </w:rPr>
            </w:pPr>
            <w:r w:rsidRPr="009F2CC9">
              <w:rPr>
                <w:rFonts w:asciiTheme="majorBidi" w:hAnsiTheme="majorBidi" w:cstheme="majorBidi"/>
                <w:sz w:val="20"/>
                <w:szCs w:val="20"/>
              </w:rPr>
              <w:t>0.4</w:t>
            </w:r>
          </w:p>
        </w:tc>
        <w:tc>
          <w:tcPr>
            <w:tcW w:w="992" w:type="dxa"/>
            <w:tcBorders>
              <w:top w:val="single" w:sz="4" w:space="0" w:color="auto"/>
              <w:bottom w:val="single" w:sz="4" w:space="0" w:color="auto"/>
              <w:right w:val="nil"/>
            </w:tcBorders>
            <w:vAlign w:val="bottom"/>
          </w:tcPr>
          <w:p w14:paraId="2D3367E7" w14:textId="62CE7514" w:rsidR="007638FC" w:rsidRPr="009F2CC9" w:rsidRDefault="007638FC" w:rsidP="007638FC">
            <w:pPr>
              <w:bidi w:val="0"/>
              <w:jc w:val="center"/>
              <w:rPr>
                <w:rFonts w:asciiTheme="majorBidi" w:hAnsiTheme="majorBidi" w:cstheme="majorBidi"/>
                <w:sz w:val="20"/>
                <w:szCs w:val="20"/>
              </w:rPr>
            </w:pPr>
            <w:r w:rsidRPr="009F2CC9">
              <w:rPr>
                <w:rFonts w:asciiTheme="majorBidi" w:hAnsiTheme="majorBidi" w:cstheme="majorBidi"/>
                <w:sz w:val="20"/>
                <w:szCs w:val="20"/>
              </w:rPr>
              <w:t>77.9</w:t>
            </w:r>
          </w:p>
        </w:tc>
        <w:tc>
          <w:tcPr>
            <w:tcW w:w="992" w:type="dxa"/>
            <w:tcBorders>
              <w:top w:val="single" w:sz="4" w:space="0" w:color="auto"/>
              <w:left w:val="nil"/>
              <w:bottom w:val="single" w:sz="4" w:space="0" w:color="auto"/>
              <w:right w:val="single" w:sz="4" w:space="0" w:color="auto"/>
            </w:tcBorders>
            <w:shd w:val="clear" w:color="auto" w:fill="C6D9F1" w:themeFill="text2" w:themeFillTint="33"/>
          </w:tcPr>
          <w:p w14:paraId="2825C456" w14:textId="035470E6" w:rsidR="007638FC" w:rsidRPr="009F2CC9" w:rsidRDefault="007638FC" w:rsidP="004E4FDD">
            <w:pPr>
              <w:bidi w:val="0"/>
              <w:jc w:val="center"/>
              <w:rPr>
                <w:rFonts w:asciiTheme="majorBidi" w:hAnsiTheme="majorBidi" w:cstheme="majorBidi"/>
                <w:sz w:val="20"/>
                <w:szCs w:val="20"/>
              </w:rPr>
            </w:pPr>
            <w:r w:rsidRPr="009F2CC9">
              <w:rPr>
                <w:rFonts w:asciiTheme="majorBidi" w:hAnsiTheme="majorBidi" w:cstheme="majorBidi"/>
                <w:sz w:val="20"/>
                <w:szCs w:val="20"/>
              </w:rPr>
              <w:t>0.2</w:t>
            </w:r>
          </w:p>
        </w:tc>
        <w:tc>
          <w:tcPr>
            <w:tcW w:w="992" w:type="dxa"/>
            <w:tcBorders>
              <w:top w:val="single" w:sz="4" w:space="0" w:color="auto"/>
              <w:left w:val="nil"/>
              <w:bottom w:val="single" w:sz="4" w:space="0" w:color="auto"/>
              <w:right w:val="single" w:sz="4" w:space="0" w:color="auto"/>
            </w:tcBorders>
          </w:tcPr>
          <w:p w14:paraId="4BE9F2A8" w14:textId="77777777" w:rsidR="007638FC" w:rsidRDefault="007638FC" w:rsidP="004E4FDD">
            <w:pPr>
              <w:bidi w:val="0"/>
              <w:jc w:val="center"/>
              <w:rPr>
                <w:rFonts w:asciiTheme="majorBidi" w:hAnsiTheme="majorBidi" w:cstheme="majorBidi"/>
                <w:b/>
                <w:bCs/>
                <w:sz w:val="20"/>
                <w:szCs w:val="20"/>
              </w:rPr>
            </w:pPr>
          </w:p>
        </w:tc>
      </w:tr>
      <w:tr w:rsidR="007638FC" w:rsidRPr="007A4B17" w14:paraId="38928CD2" w14:textId="77777777" w:rsidTr="004E4FDD">
        <w:tc>
          <w:tcPr>
            <w:tcW w:w="4680" w:type="dxa"/>
            <w:tcBorders>
              <w:top w:val="single" w:sz="4" w:space="0" w:color="auto"/>
              <w:bottom w:val="single" w:sz="4" w:space="0" w:color="auto"/>
            </w:tcBorders>
            <w:vAlign w:val="bottom"/>
          </w:tcPr>
          <w:p w14:paraId="7AF10710" w14:textId="77777777" w:rsidR="007638FC" w:rsidRPr="00A50C95" w:rsidRDefault="007638FC" w:rsidP="004E4FDD">
            <w:pPr>
              <w:bidi w:val="0"/>
              <w:rPr>
                <w:sz w:val="20"/>
                <w:szCs w:val="20"/>
              </w:rPr>
            </w:pPr>
            <w:r>
              <w:rPr>
                <w:sz w:val="20"/>
                <w:szCs w:val="20"/>
              </w:rPr>
              <w:t>Government deficit (percent of GDP)</w:t>
            </w:r>
          </w:p>
        </w:tc>
        <w:tc>
          <w:tcPr>
            <w:tcW w:w="849" w:type="dxa"/>
            <w:tcBorders>
              <w:top w:val="single" w:sz="4" w:space="0" w:color="auto"/>
              <w:bottom w:val="single" w:sz="4" w:space="0" w:color="auto"/>
            </w:tcBorders>
          </w:tcPr>
          <w:p w14:paraId="0BA8ED46"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4.4</w:t>
            </w:r>
          </w:p>
        </w:tc>
        <w:tc>
          <w:tcPr>
            <w:tcW w:w="953" w:type="dxa"/>
            <w:tcBorders>
              <w:top w:val="single" w:sz="4" w:space="0" w:color="auto"/>
              <w:bottom w:val="single" w:sz="4" w:space="0" w:color="auto"/>
              <w:right w:val="nil"/>
            </w:tcBorders>
          </w:tcPr>
          <w:p w14:paraId="6AA33EAA" w14:textId="2FDA45AF"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0.3</w:t>
            </w:r>
          </w:p>
        </w:tc>
        <w:tc>
          <w:tcPr>
            <w:tcW w:w="1173" w:type="dxa"/>
            <w:tcBorders>
              <w:top w:val="single" w:sz="4" w:space="0" w:color="auto"/>
              <w:left w:val="nil"/>
              <w:bottom w:val="single" w:sz="4" w:space="0" w:color="auto"/>
            </w:tcBorders>
            <w:shd w:val="clear" w:color="auto" w:fill="C6D9F1" w:themeFill="text2" w:themeFillTint="33"/>
          </w:tcPr>
          <w:p w14:paraId="13A7EE5B" w14:textId="1558519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-0.4</w:t>
            </w:r>
          </w:p>
        </w:tc>
        <w:tc>
          <w:tcPr>
            <w:tcW w:w="992" w:type="dxa"/>
            <w:tcBorders>
              <w:top w:val="single" w:sz="4" w:space="0" w:color="auto"/>
              <w:bottom w:val="single" w:sz="4" w:space="0" w:color="auto"/>
              <w:right w:val="nil"/>
            </w:tcBorders>
            <w:vAlign w:val="bottom"/>
          </w:tcPr>
          <w:p w14:paraId="2C6FD06F" w14:textId="1D5D2B18"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1.0</w:t>
            </w:r>
          </w:p>
        </w:tc>
        <w:tc>
          <w:tcPr>
            <w:tcW w:w="992" w:type="dxa"/>
            <w:tcBorders>
              <w:top w:val="single" w:sz="4" w:space="0" w:color="auto"/>
              <w:left w:val="nil"/>
              <w:bottom w:val="single" w:sz="4" w:space="0" w:color="auto"/>
              <w:right w:val="single" w:sz="4" w:space="0" w:color="auto"/>
            </w:tcBorders>
            <w:shd w:val="clear" w:color="auto" w:fill="C6D9F1" w:themeFill="text2" w:themeFillTint="33"/>
          </w:tcPr>
          <w:p w14:paraId="589BEEB7" w14:textId="3D0412FC"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-0.2</w:t>
            </w:r>
          </w:p>
        </w:tc>
        <w:tc>
          <w:tcPr>
            <w:tcW w:w="992" w:type="dxa"/>
            <w:tcBorders>
              <w:top w:val="single" w:sz="4" w:space="0" w:color="auto"/>
              <w:left w:val="nil"/>
              <w:bottom w:val="single" w:sz="4" w:space="0" w:color="auto"/>
              <w:right w:val="single" w:sz="4" w:space="0" w:color="auto"/>
            </w:tcBorders>
          </w:tcPr>
          <w:p w14:paraId="7121CBC1" w14:textId="77777777" w:rsidR="007638FC" w:rsidRDefault="007638FC" w:rsidP="004E4FDD">
            <w:pPr>
              <w:bidi w:val="0"/>
              <w:jc w:val="center"/>
              <w:rPr>
                <w:rFonts w:asciiTheme="majorBidi" w:hAnsiTheme="majorBidi" w:cstheme="majorBidi"/>
                <w:sz w:val="20"/>
                <w:szCs w:val="20"/>
              </w:rPr>
            </w:pPr>
          </w:p>
        </w:tc>
      </w:tr>
      <w:tr w:rsidR="007638FC" w:rsidRPr="007A4B17" w14:paraId="5392EC8A" w14:textId="77777777" w:rsidTr="004E4FDD">
        <w:tc>
          <w:tcPr>
            <w:tcW w:w="4680" w:type="dxa"/>
            <w:tcBorders>
              <w:top w:val="single" w:sz="4" w:space="0" w:color="auto"/>
              <w:bottom w:val="single" w:sz="4" w:space="0" w:color="auto"/>
            </w:tcBorders>
            <w:vAlign w:val="bottom"/>
          </w:tcPr>
          <w:p w14:paraId="693128BB" w14:textId="77777777" w:rsidR="007638FC" w:rsidRDefault="007638FC" w:rsidP="004E4FDD">
            <w:pPr>
              <w:bidi w:val="0"/>
              <w:rPr>
                <w:sz w:val="20"/>
                <w:szCs w:val="20"/>
              </w:rPr>
            </w:pPr>
            <w:r>
              <w:rPr>
                <w:sz w:val="20"/>
                <w:szCs w:val="20"/>
              </w:rPr>
              <w:t>Debt to GDP ratio (percent)</w:t>
            </w:r>
          </w:p>
        </w:tc>
        <w:tc>
          <w:tcPr>
            <w:tcW w:w="849" w:type="dxa"/>
            <w:tcBorders>
              <w:top w:val="single" w:sz="4" w:space="0" w:color="auto"/>
              <w:bottom w:val="single" w:sz="4" w:space="0" w:color="auto"/>
            </w:tcBorders>
          </w:tcPr>
          <w:p w14:paraId="1DF482F9" w14:textId="080CB30F" w:rsidR="007638FC" w:rsidRDefault="00E5507A" w:rsidP="004E4FDD">
            <w:pPr>
              <w:bidi w:val="0"/>
              <w:jc w:val="center"/>
              <w:rPr>
                <w:rFonts w:asciiTheme="majorBidi" w:hAnsiTheme="majorBidi" w:cstheme="majorBidi"/>
                <w:sz w:val="20"/>
                <w:szCs w:val="20"/>
              </w:rPr>
            </w:pPr>
            <w:r>
              <w:rPr>
                <w:rFonts w:asciiTheme="majorBidi" w:hAnsiTheme="majorBidi" w:cstheme="majorBidi"/>
                <w:sz w:val="20"/>
                <w:szCs w:val="20"/>
              </w:rPr>
              <w:t>68</w:t>
            </w:r>
          </w:p>
        </w:tc>
        <w:tc>
          <w:tcPr>
            <w:tcW w:w="953" w:type="dxa"/>
            <w:tcBorders>
              <w:top w:val="single" w:sz="4" w:space="0" w:color="auto"/>
              <w:bottom w:val="single" w:sz="4" w:space="0" w:color="auto"/>
              <w:right w:val="nil"/>
            </w:tcBorders>
          </w:tcPr>
          <w:p w14:paraId="485159A8" w14:textId="56855B6E" w:rsidR="007638FC" w:rsidRDefault="007638FC" w:rsidP="007638FC">
            <w:pPr>
              <w:bidi w:val="0"/>
              <w:jc w:val="center"/>
              <w:rPr>
                <w:rFonts w:asciiTheme="majorBidi" w:hAnsiTheme="majorBidi" w:cstheme="majorBidi"/>
                <w:sz w:val="20"/>
                <w:szCs w:val="20"/>
                <w:rtl/>
              </w:rPr>
            </w:pPr>
            <w:r>
              <w:rPr>
                <w:rFonts w:asciiTheme="majorBidi" w:hAnsiTheme="majorBidi" w:cstheme="majorBidi"/>
                <w:sz w:val="20"/>
                <w:szCs w:val="20"/>
              </w:rPr>
              <w:t>65</w:t>
            </w:r>
          </w:p>
        </w:tc>
        <w:tc>
          <w:tcPr>
            <w:tcW w:w="1173" w:type="dxa"/>
            <w:tcBorders>
              <w:top w:val="single" w:sz="4" w:space="0" w:color="auto"/>
              <w:left w:val="nil"/>
              <w:bottom w:val="single" w:sz="4" w:space="0" w:color="auto"/>
            </w:tcBorders>
            <w:shd w:val="clear" w:color="auto" w:fill="C6D9F1" w:themeFill="text2" w:themeFillTint="33"/>
          </w:tcPr>
          <w:p w14:paraId="73E95BA5"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-1.0</w:t>
            </w:r>
          </w:p>
        </w:tc>
        <w:tc>
          <w:tcPr>
            <w:tcW w:w="992" w:type="dxa"/>
            <w:tcBorders>
              <w:top w:val="single" w:sz="4" w:space="0" w:color="auto"/>
              <w:bottom w:val="single" w:sz="4" w:space="0" w:color="auto"/>
              <w:right w:val="nil"/>
            </w:tcBorders>
            <w:vAlign w:val="bottom"/>
          </w:tcPr>
          <w:p w14:paraId="5A6DAC12" w14:textId="19040AC0"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63</w:t>
            </w:r>
          </w:p>
        </w:tc>
        <w:tc>
          <w:tcPr>
            <w:tcW w:w="992" w:type="dxa"/>
            <w:tcBorders>
              <w:top w:val="single" w:sz="4" w:space="0" w:color="auto"/>
              <w:left w:val="nil"/>
              <w:bottom w:val="single" w:sz="4" w:space="0" w:color="auto"/>
              <w:right w:val="single" w:sz="4" w:space="0" w:color="auto"/>
            </w:tcBorders>
            <w:shd w:val="clear" w:color="auto" w:fill="C6D9F1" w:themeFill="text2" w:themeFillTint="33"/>
          </w:tcPr>
          <w:p w14:paraId="3C6F145E" w14:textId="35F25A05"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-1.0</w:t>
            </w:r>
          </w:p>
        </w:tc>
        <w:tc>
          <w:tcPr>
            <w:tcW w:w="992" w:type="dxa"/>
            <w:tcBorders>
              <w:top w:val="single" w:sz="4" w:space="0" w:color="auto"/>
              <w:left w:val="nil"/>
              <w:bottom w:val="single" w:sz="4" w:space="0" w:color="auto"/>
              <w:right w:val="single" w:sz="4" w:space="0" w:color="auto"/>
            </w:tcBorders>
          </w:tcPr>
          <w:p w14:paraId="0C6D2E39" w14:textId="77777777" w:rsidR="007638FC" w:rsidRDefault="007638FC" w:rsidP="004E4FDD">
            <w:pPr>
              <w:bidi w:val="0"/>
              <w:jc w:val="center"/>
              <w:rPr>
                <w:rFonts w:asciiTheme="majorBidi" w:hAnsiTheme="majorBidi" w:cstheme="majorBidi"/>
                <w:sz w:val="20"/>
                <w:szCs w:val="20"/>
              </w:rPr>
            </w:pPr>
          </w:p>
        </w:tc>
      </w:tr>
      <w:tr w:rsidR="007638FC" w:rsidRPr="007A4B17" w14:paraId="5F1DBECF" w14:textId="77777777" w:rsidTr="004E4FDD">
        <w:tc>
          <w:tcPr>
            <w:tcW w:w="4680" w:type="dxa"/>
            <w:tcBorders>
              <w:top w:val="single" w:sz="4" w:space="0" w:color="auto"/>
              <w:bottom w:val="single" w:sz="4" w:space="0" w:color="auto"/>
            </w:tcBorders>
            <w:vAlign w:val="bottom"/>
          </w:tcPr>
          <w:p w14:paraId="46894DF0" w14:textId="77777777" w:rsidR="007638FC" w:rsidRPr="009F1F95" w:rsidRDefault="007638FC" w:rsidP="004E4FDD">
            <w:pPr>
              <w:bidi w:val="0"/>
              <w:rPr>
                <w:sz w:val="20"/>
                <w:szCs w:val="20"/>
                <w:vertAlign w:val="superscript"/>
              </w:rPr>
            </w:pPr>
            <w:r>
              <w:rPr>
                <w:sz w:val="20"/>
                <w:szCs w:val="20"/>
              </w:rPr>
              <w:t>Inflation (percent)</w:t>
            </w:r>
            <w:r>
              <w:rPr>
                <w:sz w:val="20"/>
                <w:szCs w:val="20"/>
                <w:vertAlign w:val="superscript"/>
              </w:rPr>
              <w:t>b</w:t>
            </w:r>
          </w:p>
        </w:tc>
        <w:tc>
          <w:tcPr>
            <w:tcW w:w="849" w:type="dxa"/>
            <w:tcBorders>
              <w:top w:val="single" w:sz="4" w:space="0" w:color="auto"/>
              <w:bottom w:val="single" w:sz="4" w:space="0" w:color="auto"/>
            </w:tcBorders>
          </w:tcPr>
          <w:p w14:paraId="1C7FC7EE" w14:textId="77777777"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2.5</w:t>
            </w:r>
          </w:p>
        </w:tc>
        <w:tc>
          <w:tcPr>
            <w:tcW w:w="953" w:type="dxa"/>
            <w:tcBorders>
              <w:top w:val="single" w:sz="4" w:space="0" w:color="auto"/>
              <w:bottom w:val="single" w:sz="4" w:space="0" w:color="auto"/>
              <w:right w:val="nil"/>
            </w:tcBorders>
          </w:tcPr>
          <w:p w14:paraId="6D25C3D5" w14:textId="7516076E"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4.6</w:t>
            </w:r>
          </w:p>
        </w:tc>
        <w:tc>
          <w:tcPr>
            <w:tcW w:w="1173" w:type="dxa"/>
            <w:tcBorders>
              <w:top w:val="single" w:sz="4" w:space="0" w:color="auto"/>
              <w:left w:val="nil"/>
              <w:bottom w:val="single" w:sz="4" w:space="0" w:color="auto"/>
            </w:tcBorders>
            <w:shd w:val="clear" w:color="auto" w:fill="C6D9F1" w:themeFill="text2" w:themeFillTint="33"/>
          </w:tcPr>
          <w:p w14:paraId="5CD6C26E" w14:textId="2D46F1F9" w:rsidR="007638FC" w:rsidRDefault="007638FC" w:rsidP="004E4FDD">
            <w:pPr>
              <w:bidi w:val="0"/>
              <w:jc w:val="center"/>
              <w:rPr>
                <w:rFonts w:asciiTheme="majorBidi" w:hAnsiTheme="majorBidi" w:cstheme="majorBidi"/>
                <w:sz w:val="20"/>
                <w:szCs w:val="20"/>
              </w:rPr>
            </w:pPr>
            <w:r>
              <w:rPr>
                <w:rFonts w:asciiTheme="majorBidi" w:hAnsiTheme="majorBidi" w:cstheme="majorBidi"/>
                <w:sz w:val="20"/>
                <w:szCs w:val="20"/>
              </w:rPr>
              <w:t>0.1</w:t>
            </w:r>
          </w:p>
        </w:tc>
        <w:tc>
          <w:tcPr>
            <w:tcW w:w="992" w:type="dxa"/>
            <w:tcBorders>
              <w:top w:val="single" w:sz="4" w:space="0" w:color="auto"/>
              <w:bottom w:val="single" w:sz="4" w:space="0" w:color="auto"/>
              <w:right w:val="nil"/>
            </w:tcBorders>
            <w:vAlign w:val="bottom"/>
          </w:tcPr>
          <w:p w14:paraId="35EDE023" w14:textId="2705F4A0"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2.5</w:t>
            </w:r>
          </w:p>
        </w:tc>
        <w:tc>
          <w:tcPr>
            <w:tcW w:w="992" w:type="dxa"/>
            <w:tcBorders>
              <w:top w:val="single" w:sz="4" w:space="0" w:color="auto"/>
              <w:left w:val="nil"/>
              <w:bottom w:val="single" w:sz="4" w:space="0" w:color="auto"/>
              <w:right w:val="single" w:sz="4" w:space="0" w:color="auto"/>
            </w:tcBorders>
            <w:shd w:val="clear" w:color="auto" w:fill="C6D9F1" w:themeFill="text2" w:themeFillTint="33"/>
          </w:tcPr>
          <w:p w14:paraId="01BC60F5" w14:textId="7EF5271B" w:rsidR="007638FC" w:rsidRDefault="007638FC" w:rsidP="007638FC">
            <w:pPr>
              <w:bidi w:val="0"/>
              <w:jc w:val="center"/>
              <w:rPr>
                <w:rFonts w:asciiTheme="majorBidi" w:hAnsiTheme="majorBidi" w:cstheme="majorBidi"/>
                <w:sz w:val="20"/>
                <w:szCs w:val="20"/>
              </w:rPr>
            </w:pPr>
            <w:r>
              <w:rPr>
                <w:rFonts w:asciiTheme="majorBidi" w:hAnsiTheme="majorBidi" w:cstheme="majorBidi"/>
                <w:sz w:val="20"/>
                <w:szCs w:val="20"/>
              </w:rPr>
              <w:t>0.1</w:t>
            </w:r>
          </w:p>
        </w:tc>
        <w:tc>
          <w:tcPr>
            <w:tcW w:w="992" w:type="dxa"/>
            <w:tcBorders>
              <w:top w:val="single" w:sz="4" w:space="0" w:color="auto"/>
              <w:left w:val="nil"/>
              <w:bottom w:val="single" w:sz="4" w:space="0" w:color="auto"/>
              <w:right w:val="single" w:sz="4" w:space="0" w:color="auto"/>
            </w:tcBorders>
          </w:tcPr>
          <w:p w14:paraId="32E039FF" w14:textId="77777777" w:rsidR="007638FC" w:rsidRDefault="007638FC" w:rsidP="004E4FDD">
            <w:pPr>
              <w:bidi w:val="0"/>
              <w:jc w:val="center"/>
              <w:rPr>
                <w:rFonts w:asciiTheme="majorBidi" w:hAnsiTheme="majorBidi" w:cstheme="majorBidi"/>
                <w:sz w:val="20"/>
                <w:szCs w:val="20"/>
              </w:rPr>
            </w:pPr>
          </w:p>
        </w:tc>
      </w:tr>
      <w:tr w:rsidR="007638FC" w:rsidRPr="007A4B17" w14:paraId="08808160" w14:textId="77777777" w:rsidTr="004E4FDD">
        <w:tc>
          <w:tcPr>
            <w:tcW w:w="10631" w:type="dxa"/>
            <w:gridSpan w:val="7"/>
            <w:tcBorders>
              <w:top w:val="single" w:sz="4" w:space="0" w:color="auto"/>
              <w:bottom w:val="single" w:sz="4" w:space="0" w:color="auto"/>
              <w:right w:val="single" w:sz="4" w:space="0" w:color="auto"/>
            </w:tcBorders>
            <w:vAlign w:val="bottom"/>
          </w:tcPr>
          <w:p w14:paraId="132DED82" w14:textId="77777777" w:rsidR="007638FC" w:rsidRDefault="007638FC" w:rsidP="004E4FDD">
            <w:pPr>
              <w:bidi w:val="0"/>
              <w:rPr>
                <w:rFonts w:asciiTheme="majorBidi" w:hAnsiTheme="majorBidi" w:cstheme="majorBidi"/>
                <w:sz w:val="18"/>
                <w:szCs w:val="18"/>
              </w:rPr>
            </w:pPr>
            <w:proofErr w:type="spellStart"/>
            <w:proofErr w:type="gramStart"/>
            <w:r w:rsidRPr="009F1F95">
              <w:rPr>
                <w:rFonts w:asciiTheme="majorBidi" w:hAnsiTheme="majorBidi" w:cstheme="majorBidi"/>
                <w:sz w:val="18"/>
                <w:szCs w:val="18"/>
                <w:vertAlign w:val="superscript"/>
              </w:rPr>
              <w:t>a</w:t>
            </w:r>
            <w:proofErr w:type="spellEnd"/>
            <w:proofErr w:type="gramEnd"/>
            <w:r w:rsidRPr="009F1F95">
              <w:rPr>
                <w:rFonts w:asciiTheme="majorBidi" w:hAnsiTheme="majorBidi" w:cstheme="majorBidi"/>
                <w:sz w:val="18"/>
                <w:szCs w:val="18"/>
                <w:vertAlign w:val="superscript"/>
              </w:rPr>
              <w:t xml:space="preserve"> </w:t>
            </w:r>
            <w:r w:rsidRPr="009F1F95">
              <w:rPr>
                <w:rFonts w:asciiTheme="majorBidi" w:hAnsiTheme="majorBidi" w:cstheme="majorBidi"/>
                <w:sz w:val="18"/>
                <w:szCs w:val="18"/>
              </w:rPr>
              <w:t>In the forecast of National Accounts components, the rate of change is rounded to the nearest half percentage point.</w:t>
            </w:r>
          </w:p>
          <w:p w14:paraId="63FD53B0" w14:textId="77777777" w:rsidR="007638FC" w:rsidRPr="009F1F95" w:rsidRDefault="007638FC" w:rsidP="004E4FDD">
            <w:pPr>
              <w:bidi w:val="0"/>
              <w:rPr>
                <w:rFonts w:asciiTheme="majorBidi" w:hAnsiTheme="majorBidi" w:cstheme="majorBidi"/>
                <w:sz w:val="18"/>
                <w:szCs w:val="18"/>
                <w:vertAlign w:val="superscript"/>
              </w:rPr>
            </w:pPr>
            <w:proofErr w:type="gramStart"/>
            <w:r>
              <w:rPr>
                <w:rFonts w:asciiTheme="majorBidi" w:hAnsiTheme="majorBidi" w:cstheme="majorBidi"/>
                <w:sz w:val="18"/>
                <w:szCs w:val="18"/>
                <w:vertAlign w:val="superscript"/>
              </w:rPr>
              <w:t>b</w:t>
            </w:r>
            <w:proofErr w:type="gramEnd"/>
            <w:r>
              <w:rPr>
                <w:rFonts w:asciiTheme="majorBidi" w:hAnsiTheme="majorBidi" w:cstheme="majorBidi"/>
                <w:sz w:val="18"/>
                <w:szCs w:val="18"/>
              </w:rPr>
              <w:t xml:space="preserve"> The average of the Consumer Price Index in the last quarter of the year compared with the average in the last quarter of the previous year.</w:t>
            </w:r>
          </w:p>
        </w:tc>
      </w:tr>
    </w:tbl>
    <w:p w14:paraId="2BD93849" w14:textId="47511A0B" w:rsidR="005B6C8C" w:rsidRDefault="005B6C8C" w:rsidP="005B6C8C">
      <w:pPr>
        <w:bidi w:val="0"/>
        <w:spacing w:line="360" w:lineRule="auto"/>
        <w:jc w:val="both"/>
      </w:pPr>
    </w:p>
    <w:p w14:paraId="66F48950" w14:textId="0651268D" w:rsidR="00A21D01" w:rsidRPr="005C08DC" w:rsidRDefault="00A21D01" w:rsidP="005B6C8C">
      <w:pPr>
        <w:numPr>
          <w:ilvl w:val="0"/>
          <w:numId w:val="9"/>
        </w:numPr>
        <w:bidi w:val="0"/>
        <w:spacing w:line="360" w:lineRule="auto"/>
        <w:ind w:left="357" w:hanging="357"/>
        <w:jc w:val="both"/>
        <w:rPr>
          <w:b/>
          <w:bCs/>
        </w:rPr>
      </w:pPr>
      <w:r w:rsidRPr="005C08DC">
        <w:rPr>
          <w:b/>
          <w:bCs/>
        </w:rPr>
        <w:t xml:space="preserve">Inflation and interest rates </w:t>
      </w:r>
    </w:p>
    <w:p w14:paraId="086DB063" w14:textId="2EAE5A5A" w:rsidR="009523E0" w:rsidRDefault="004F6E9A" w:rsidP="00DD3474">
      <w:pPr>
        <w:bidi w:val="0"/>
        <w:jc w:val="both"/>
      </w:pPr>
      <w:r>
        <w:t xml:space="preserve">According to our assessment, </w:t>
      </w:r>
      <w:r w:rsidR="002260C5">
        <w:rPr>
          <w:b/>
          <w:bCs/>
        </w:rPr>
        <w:t>inflation in the next four quarters</w:t>
      </w:r>
      <w:r w:rsidR="00541457">
        <w:rPr>
          <w:b/>
          <w:bCs/>
        </w:rPr>
        <w:t xml:space="preserve"> (ending in the </w:t>
      </w:r>
      <w:r w:rsidR="007638FC">
        <w:rPr>
          <w:b/>
          <w:bCs/>
        </w:rPr>
        <w:t>third</w:t>
      </w:r>
      <w:r w:rsidR="00541457">
        <w:rPr>
          <w:b/>
          <w:bCs/>
        </w:rPr>
        <w:t xml:space="preserve"> quarter of 202</w:t>
      </w:r>
      <w:r w:rsidR="00F71FEA">
        <w:rPr>
          <w:b/>
          <w:bCs/>
        </w:rPr>
        <w:t>3</w:t>
      </w:r>
      <w:r w:rsidR="00541457">
        <w:rPr>
          <w:b/>
          <w:bCs/>
        </w:rPr>
        <w:t>)</w:t>
      </w:r>
      <w:r w:rsidR="002260C5">
        <w:rPr>
          <w:b/>
          <w:bCs/>
        </w:rPr>
        <w:t xml:space="preserve"> is expected to be </w:t>
      </w:r>
      <w:r w:rsidR="007638FC">
        <w:rPr>
          <w:b/>
          <w:bCs/>
        </w:rPr>
        <w:t>2.7</w:t>
      </w:r>
      <w:r w:rsidR="002260C5">
        <w:rPr>
          <w:b/>
          <w:bCs/>
        </w:rPr>
        <w:t xml:space="preserve"> percent</w:t>
      </w:r>
      <w:r w:rsidR="00B8089B">
        <w:t xml:space="preserve"> (Table 2</w:t>
      </w:r>
      <w:r w:rsidR="00B8089B">
        <w:rPr>
          <w:rFonts w:hint="cs"/>
          <w:rtl/>
        </w:rPr>
        <w:t>(</w:t>
      </w:r>
      <w:r w:rsidR="00F71FEA" w:rsidRPr="00B8089B">
        <w:t>.</w:t>
      </w:r>
      <w:r w:rsidR="009523E0">
        <w:t xml:space="preserve"> Inflation in 2022 is expected to be 4.</w:t>
      </w:r>
      <w:r w:rsidR="007638FC">
        <w:t>6</w:t>
      </w:r>
      <w:r w:rsidR="009523E0">
        <w:t xml:space="preserve"> percent</w:t>
      </w:r>
      <w:r w:rsidR="007638FC">
        <w:t xml:space="preserve"> (compared with 4.5 percent in the previous forecast), and</w:t>
      </w:r>
      <w:r w:rsidR="00F71FEA" w:rsidRPr="009523E0">
        <w:t xml:space="preserve"> </w:t>
      </w:r>
      <w:r w:rsidR="007638FC">
        <w:t>i</w:t>
      </w:r>
      <w:r w:rsidR="002260C5" w:rsidRPr="009523E0">
        <w:t>nflation i</w:t>
      </w:r>
      <w:r w:rsidRPr="009523E0">
        <w:t>n 202</w:t>
      </w:r>
      <w:r w:rsidR="00D37267" w:rsidRPr="009523E0">
        <w:t>3</w:t>
      </w:r>
      <w:r w:rsidR="00BA4EBD" w:rsidRPr="009523E0">
        <w:t xml:space="preserve"> is expected to be 2.</w:t>
      </w:r>
      <w:r w:rsidR="007638FC">
        <w:t>5</w:t>
      </w:r>
      <w:r w:rsidR="00BA4EBD" w:rsidRPr="009523E0">
        <w:t xml:space="preserve"> percent</w:t>
      </w:r>
      <w:r w:rsidR="007638FC">
        <w:t xml:space="preserve"> (compared with 2.4 percent in the previous forecast)</w:t>
      </w:r>
      <w:r w:rsidR="009523E0">
        <w:t>.</w:t>
      </w:r>
      <w:r w:rsidR="00D37267" w:rsidRPr="009523E0">
        <w:t xml:space="preserve"> </w:t>
      </w:r>
      <w:r w:rsidR="007638FC">
        <w:t xml:space="preserve">In our assessment, the recent increase in inflation is due to both supply-side pressures from outside the domestic economy and high domestic demand. Within the forecast range, we expect that the </w:t>
      </w:r>
      <w:r w:rsidR="00DD3474">
        <w:t>B</w:t>
      </w:r>
      <w:r w:rsidR="007638FC">
        <w:t xml:space="preserve">ank of Israel interest rate will continue to increase, which will </w:t>
      </w:r>
      <w:r w:rsidR="00DD3474">
        <w:t>aid</w:t>
      </w:r>
      <w:r w:rsidR="007638FC">
        <w:t xml:space="preserve"> the stabilization of inflation.  In addition, </w:t>
      </w:r>
      <w:r w:rsidR="00DD3474">
        <w:t xml:space="preserve">the decline that has taken place in oil prices and the forecasted decline in </w:t>
      </w:r>
      <w:r w:rsidR="007638FC">
        <w:t xml:space="preserve">inflation </w:t>
      </w:r>
      <w:r w:rsidR="00DD3474">
        <w:t xml:space="preserve">in the advanced economies are expected to moderate inflation </w:t>
      </w:r>
      <w:r w:rsidR="007638FC">
        <w:t xml:space="preserve">in the prices of tradable goods.  </w:t>
      </w:r>
      <w:r w:rsidR="00DD3474">
        <w:t>T</w:t>
      </w:r>
      <w:r w:rsidR="007638FC">
        <w:t>he inflation forecast was revised slightly upward</w:t>
      </w:r>
      <w:r w:rsidR="00DD3474">
        <w:t xml:space="preserve"> from the previous forecast</w:t>
      </w:r>
      <w:r w:rsidR="007638FC">
        <w:t>.  While the revision was affected by the increase in inflation forecasts in the advanced economies, the forecast</w:t>
      </w:r>
      <w:r w:rsidR="00DD3474">
        <w:t xml:space="preserve"> for the </w:t>
      </w:r>
      <w:r w:rsidR="007638FC">
        <w:t>Bank of Israel interest rate was revised upward, and oil prices declined since the previous forecast.</w:t>
      </w:r>
    </w:p>
    <w:p w14:paraId="762FD6F1" w14:textId="77777777" w:rsidR="009523E0" w:rsidRDefault="009523E0" w:rsidP="009523E0">
      <w:pPr>
        <w:bidi w:val="0"/>
        <w:jc w:val="both"/>
      </w:pPr>
    </w:p>
    <w:p w14:paraId="79A93321" w14:textId="679DBF37" w:rsidR="000C3AA1" w:rsidRPr="000C3AA1" w:rsidRDefault="000C3AA1" w:rsidP="00A2696D">
      <w:pPr>
        <w:bidi w:val="0"/>
        <w:jc w:val="both"/>
      </w:pPr>
      <w:r>
        <w:t xml:space="preserve">Our assessment is that </w:t>
      </w:r>
      <w:r>
        <w:rPr>
          <w:b/>
          <w:bCs/>
        </w:rPr>
        <w:t xml:space="preserve">the interest rate will </w:t>
      </w:r>
      <w:r w:rsidR="007638FC">
        <w:rPr>
          <w:b/>
          <w:bCs/>
        </w:rPr>
        <w:t>average</w:t>
      </w:r>
      <w:r>
        <w:rPr>
          <w:b/>
          <w:bCs/>
        </w:rPr>
        <w:t xml:space="preserve"> </w:t>
      </w:r>
      <w:r w:rsidR="007638FC">
        <w:rPr>
          <w:b/>
          <w:bCs/>
        </w:rPr>
        <w:t>3.50</w:t>
      </w:r>
      <w:r>
        <w:rPr>
          <w:b/>
          <w:bCs/>
        </w:rPr>
        <w:t xml:space="preserve"> percent in </w:t>
      </w:r>
      <w:r w:rsidR="009523E0">
        <w:rPr>
          <w:b/>
          <w:bCs/>
        </w:rPr>
        <w:t xml:space="preserve">the </w:t>
      </w:r>
      <w:r w:rsidR="007638FC">
        <w:rPr>
          <w:b/>
          <w:bCs/>
        </w:rPr>
        <w:t>third</w:t>
      </w:r>
      <w:r w:rsidR="009523E0">
        <w:rPr>
          <w:b/>
          <w:bCs/>
        </w:rPr>
        <w:t xml:space="preserve"> quarter of 2023</w:t>
      </w:r>
      <w:r>
        <w:t xml:space="preserve"> (Table 2).  </w:t>
      </w:r>
      <w:r w:rsidR="009523E0">
        <w:t xml:space="preserve">This assessment reflects a </w:t>
      </w:r>
      <w:r w:rsidR="007638FC">
        <w:t xml:space="preserve">continued </w:t>
      </w:r>
      <w:r w:rsidR="009523E0">
        <w:t xml:space="preserve">increase from its current level, due to the inflation </w:t>
      </w:r>
      <w:r w:rsidR="00A2696D">
        <w:t>level</w:t>
      </w:r>
      <w:r w:rsidR="009523E0">
        <w:t xml:space="preserve"> that is higher than the </w:t>
      </w:r>
      <w:r w:rsidR="0016240A">
        <w:t xml:space="preserve">upper bound </w:t>
      </w:r>
      <w:r w:rsidR="009523E0">
        <w:t>of the target range</w:t>
      </w:r>
      <w:r w:rsidR="00A2696D">
        <w:t xml:space="preserve"> and the</w:t>
      </w:r>
      <w:r w:rsidR="009523E0">
        <w:t xml:space="preserve"> high level of activity. </w:t>
      </w:r>
    </w:p>
    <w:p w14:paraId="2138C6BC" w14:textId="2E946BD0" w:rsidR="00C45ED5" w:rsidRDefault="00C45ED5" w:rsidP="00C45ED5">
      <w:pPr>
        <w:bidi w:val="0"/>
        <w:jc w:val="both"/>
      </w:pPr>
    </w:p>
    <w:p w14:paraId="5C1B51C5" w14:textId="0462AD35" w:rsidR="00682563" w:rsidRDefault="00682563" w:rsidP="00A2696D">
      <w:pPr>
        <w:bidi w:val="0"/>
        <w:jc w:val="both"/>
      </w:pPr>
      <w:r>
        <w:t xml:space="preserve">Table 2 shows that the Research Department’s staff forecast regarding </w:t>
      </w:r>
      <w:r w:rsidR="00A2696D">
        <w:t>the interest rate</w:t>
      </w:r>
      <w:r>
        <w:t xml:space="preserve"> in one year is </w:t>
      </w:r>
      <w:r w:rsidR="00A2696D">
        <w:t>higher than</w:t>
      </w:r>
      <w:r>
        <w:t xml:space="preserve"> the average of the private forecasters’ projections</w:t>
      </w:r>
      <w:r w:rsidR="00A2696D">
        <w:t>,</w:t>
      </w:r>
      <w:r>
        <w:t xml:space="preserve"> and</w:t>
      </w:r>
      <w:r w:rsidR="0016240A">
        <w:t xml:space="preserve"> </w:t>
      </w:r>
      <w:r w:rsidR="00A2696D">
        <w:t>the inflation forecast is</w:t>
      </w:r>
      <w:r w:rsidR="0016240A">
        <w:t xml:space="preserve"> lower</w:t>
      </w:r>
      <w:r w:rsidR="000C3AA1">
        <w:t xml:space="preserve">. </w:t>
      </w:r>
      <w:r w:rsidR="00A53FEA">
        <w:t xml:space="preserve"> T</w:t>
      </w:r>
      <w:r w:rsidR="000C3AA1">
        <w:t>he Research Department’s forecast</w:t>
      </w:r>
      <w:r w:rsidR="00A2696D">
        <w:t>s</w:t>
      </w:r>
      <w:r w:rsidR="00A53FEA">
        <w:t xml:space="preserve"> regarding </w:t>
      </w:r>
      <w:r w:rsidR="00A2696D">
        <w:t xml:space="preserve">both </w:t>
      </w:r>
      <w:r w:rsidR="00D44EA6">
        <w:t xml:space="preserve">the </w:t>
      </w:r>
      <w:r w:rsidR="00A53FEA">
        <w:t xml:space="preserve">interest rate </w:t>
      </w:r>
      <w:r w:rsidR="00A2696D">
        <w:t xml:space="preserve">and inflation in one year are lower </w:t>
      </w:r>
      <w:r w:rsidR="00DD44D1">
        <w:t>than</w:t>
      </w:r>
      <w:r w:rsidR="00A53FEA">
        <w:t xml:space="preserve"> </w:t>
      </w:r>
      <w:r w:rsidR="00D44EA6">
        <w:t xml:space="preserve">the </w:t>
      </w:r>
      <w:r w:rsidR="00A2696D">
        <w:t>forecasts</w:t>
      </w:r>
      <w:r w:rsidR="00A53FEA">
        <w:t xml:space="preserve"> derived from the capital market.</w:t>
      </w:r>
      <w:r>
        <w:t xml:space="preserve"> </w:t>
      </w:r>
    </w:p>
    <w:p w14:paraId="32C18420" w14:textId="77777777" w:rsidR="0010114F" w:rsidRDefault="0010114F" w:rsidP="006E2552">
      <w:pPr>
        <w:bidi w:val="0"/>
        <w:jc w:val="both"/>
      </w:pPr>
    </w:p>
    <w:p w14:paraId="44F6950B" w14:textId="77777777" w:rsidR="005F6371" w:rsidRPr="00C031F8" w:rsidRDefault="005F6371" w:rsidP="005F6371">
      <w:pPr>
        <w:bidi w:val="0"/>
        <w:jc w:val="both"/>
      </w:pPr>
    </w:p>
    <w:tbl>
      <w:tblPr>
        <w:tblW w:w="8233" w:type="dxa"/>
        <w:tblInd w:w="93" w:type="dxa"/>
        <w:tblLook w:val="04A0" w:firstRow="1" w:lastRow="0" w:firstColumn="1" w:lastColumn="0" w:noHBand="0" w:noVBand="1"/>
      </w:tblPr>
      <w:tblGrid>
        <w:gridCol w:w="2480"/>
        <w:gridCol w:w="2094"/>
        <w:gridCol w:w="1540"/>
        <w:gridCol w:w="2119"/>
      </w:tblGrid>
      <w:tr w:rsidR="00A21D01" w:rsidRPr="00B23575" w14:paraId="734E7EC1"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2C0A388" w14:textId="77777777" w:rsidR="00A21D01" w:rsidRPr="00F75C0A" w:rsidRDefault="002945D2" w:rsidP="006E2552">
            <w:pPr>
              <w:bidi w:val="0"/>
              <w:rPr>
                <w:rFonts w:asciiTheme="majorBidi" w:hAnsiTheme="majorBidi" w:cstheme="majorBidi"/>
                <w:b/>
                <w:bCs/>
                <w:color w:val="0070C0"/>
              </w:rPr>
            </w:pPr>
            <w:r w:rsidRPr="00F75C0A">
              <w:rPr>
                <w:color w:val="0070C0"/>
              </w:rPr>
              <w:lastRenderedPageBreak/>
              <w:br w:type="page"/>
            </w:r>
            <w:r w:rsidR="00A21D01" w:rsidRPr="00F75C0A">
              <w:rPr>
                <w:rFonts w:asciiTheme="majorBidi" w:hAnsiTheme="majorBidi" w:cstheme="majorBidi"/>
                <w:b/>
                <w:bCs/>
                <w:color w:val="0070C0"/>
              </w:rPr>
              <w:t xml:space="preserve">Table </w:t>
            </w:r>
            <w:r w:rsidR="006E2552">
              <w:rPr>
                <w:rFonts w:asciiTheme="majorBidi" w:hAnsiTheme="majorBidi" w:cstheme="majorBidi"/>
                <w:b/>
                <w:bCs/>
                <w:color w:val="0070C0"/>
              </w:rPr>
              <w:t>2</w:t>
            </w:r>
          </w:p>
        </w:tc>
      </w:tr>
      <w:tr w:rsidR="00A21D01" w:rsidRPr="00B23575" w14:paraId="30B4D728"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2561B6F7" w14:textId="72B11D2D" w:rsidR="00A21D01" w:rsidRPr="00F75C0A" w:rsidRDefault="00453D2B" w:rsidP="00D62B59">
            <w:pPr>
              <w:bidi w:val="0"/>
              <w:rPr>
                <w:rFonts w:asciiTheme="majorBidi" w:hAnsiTheme="majorBidi" w:cstheme="majorBidi"/>
                <w:b/>
                <w:bCs/>
                <w:color w:val="0070C0"/>
              </w:rPr>
            </w:pPr>
            <w:r w:rsidRPr="00F75C0A">
              <w:rPr>
                <w:rFonts w:asciiTheme="majorBidi" w:hAnsiTheme="majorBidi" w:cstheme="majorBidi"/>
                <w:b/>
                <w:bCs/>
                <w:color w:val="0070C0"/>
              </w:rPr>
              <w:t>I</w:t>
            </w:r>
            <w:r w:rsidR="00A21D01" w:rsidRPr="00F75C0A">
              <w:rPr>
                <w:rFonts w:asciiTheme="majorBidi" w:hAnsiTheme="majorBidi" w:cstheme="majorBidi"/>
                <w:b/>
                <w:bCs/>
                <w:color w:val="0070C0"/>
              </w:rPr>
              <w:t xml:space="preserve">nflation </w:t>
            </w:r>
            <w:r w:rsidRPr="00F75C0A">
              <w:rPr>
                <w:rFonts w:asciiTheme="majorBidi" w:hAnsiTheme="majorBidi" w:cstheme="majorBidi"/>
                <w:b/>
                <w:bCs/>
                <w:color w:val="0070C0"/>
              </w:rPr>
              <w:t xml:space="preserve">forecast </w:t>
            </w:r>
            <w:r w:rsidR="00A21D01" w:rsidRPr="00F75C0A">
              <w:rPr>
                <w:rFonts w:asciiTheme="majorBidi" w:hAnsiTheme="majorBidi" w:cstheme="majorBidi"/>
                <w:b/>
                <w:bCs/>
                <w:color w:val="0070C0"/>
              </w:rPr>
              <w:t>for the coming year</w:t>
            </w:r>
            <w:r w:rsidR="00D62B59">
              <w:rPr>
                <w:rFonts w:asciiTheme="majorBidi" w:hAnsiTheme="majorBidi" w:cstheme="majorBidi"/>
                <w:b/>
                <w:bCs/>
                <w:color w:val="0070C0"/>
              </w:rPr>
              <w:t xml:space="preserve"> </w:t>
            </w:r>
            <w:r w:rsidR="00D62B59" w:rsidRPr="00F75C0A">
              <w:rPr>
                <w:rFonts w:asciiTheme="majorBidi" w:hAnsiTheme="majorBidi" w:cstheme="majorBidi"/>
                <w:b/>
                <w:bCs/>
                <w:color w:val="0070C0"/>
              </w:rPr>
              <w:t>and interest rate</w:t>
            </w:r>
            <w:r w:rsidR="00D62B59">
              <w:rPr>
                <w:rFonts w:asciiTheme="majorBidi" w:hAnsiTheme="majorBidi" w:cstheme="majorBidi"/>
                <w:b/>
                <w:bCs/>
                <w:color w:val="0070C0"/>
              </w:rPr>
              <w:t xml:space="preserve"> forecast for one year from now</w:t>
            </w:r>
          </w:p>
        </w:tc>
      </w:tr>
      <w:tr w:rsidR="00A21D01" w:rsidRPr="00B23575" w14:paraId="63E9D5A4"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24AEE091" w14:textId="77777777" w:rsidR="00A21D01" w:rsidRPr="00F75C0A" w:rsidRDefault="00A21D01" w:rsidP="00211EF7">
            <w:pPr>
              <w:bidi w:val="0"/>
              <w:jc w:val="right"/>
              <w:rPr>
                <w:rFonts w:asciiTheme="majorBidi" w:hAnsiTheme="majorBidi" w:cstheme="majorBidi"/>
                <w:color w:val="0070C0"/>
                <w:sz w:val="22"/>
                <w:szCs w:val="22"/>
              </w:rPr>
            </w:pPr>
            <w:r w:rsidRPr="00F75C0A">
              <w:rPr>
                <w:rFonts w:asciiTheme="majorBidi" w:hAnsiTheme="majorBidi" w:cstheme="majorBidi"/>
                <w:color w:val="0070C0"/>
                <w:sz w:val="22"/>
                <w:szCs w:val="22"/>
              </w:rPr>
              <w:t>(percent)</w:t>
            </w:r>
          </w:p>
        </w:tc>
      </w:tr>
      <w:tr w:rsidR="00A21D01" w:rsidRPr="00B23575" w14:paraId="5DA895D4" w14:textId="77777777" w:rsidTr="0044397B">
        <w:trPr>
          <w:trHeight w:val="683"/>
          <w:tblHeader/>
        </w:trPr>
        <w:tc>
          <w:tcPr>
            <w:tcW w:w="2480" w:type="dxa"/>
            <w:tcBorders>
              <w:top w:val="nil"/>
              <w:left w:val="nil"/>
              <w:bottom w:val="nil"/>
              <w:right w:val="nil"/>
            </w:tcBorders>
            <w:shd w:val="clear" w:color="000000" w:fill="FFFFFF"/>
            <w:vAlign w:val="center"/>
            <w:hideMark/>
          </w:tcPr>
          <w:p w14:paraId="1CB5F2E9" w14:textId="77777777" w:rsidR="00A21D01" w:rsidRPr="00211EF7" w:rsidRDefault="00A21D01" w:rsidP="0044397B">
            <w:pPr>
              <w:bidi w:val="0"/>
              <w:jc w:val="center"/>
              <w:rPr>
                <w:rFonts w:asciiTheme="majorBidi" w:hAnsiTheme="majorBidi" w:cstheme="majorBidi"/>
              </w:rPr>
            </w:pPr>
          </w:p>
        </w:tc>
        <w:tc>
          <w:tcPr>
            <w:tcW w:w="2094" w:type="dxa"/>
            <w:tcBorders>
              <w:top w:val="nil"/>
              <w:left w:val="nil"/>
              <w:bottom w:val="nil"/>
              <w:right w:val="nil"/>
            </w:tcBorders>
            <w:shd w:val="clear" w:color="000000" w:fill="FFFFFF"/>
            <w:vAlign w:val="center"/>
            <w:hideMark/>
          </w:tcPr>
          <w:p w14:paraId="0B349191" w14:textId="77777777"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Bank of Israel Research Department</w:t>
            </w:r>
          </w:p>
        </w:tc>
        <w:tc>
          <w:tcPr>
            <w:tcW w:w="1540" w:type="dxa"/>
            <w:tcBorders>
              <w:top w:val="nil"/>
              <w:left w:val="nil"/>
              <w:bottom w:val="nil"/>
              <w:right w:val="nil"/>
            </w:tcBorders>
            <w:shd w:val="clear" w:color="000000" w:fill="FFFFFF"/>
            <w:vAlign w:val="center"/>
            <w:hideMark/>
          </w:tcPr>
          <w:p w14:paraId="7AC10EA3" w14:textId="77777777"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 xml:space="preserve">Capital </w:t>
            </w:r>
            <w:proofErr w:type="spellStart"/>
            <w:r w:rsidRPr="00211EF7">
              <w:rPr>
                <w:rFonts w:asciiTheme="majorBidi" w:hAnsiTheme="majorBidi" w:cstheme="majorBidi"/>
              </w:rPr>
              <w:t>markets</w:t>
            </w:r>
            <w:r w:rsidR="00446B32" w:rsidRPr="00211EF7">
              <w:rPr>
                <w:rFonts w:asciiTheme="majorBidi" w:hAnsiTheme="majorBidi" w:cstheme="majorBidi"/>
                <w:vertAlign w:val="superscript"/>
              </w:rPr>
              <w:t>a</w:t>
            </w:r>
            <w:proofErr w:type="spellEnd"/>
          </w:p>
        </w:tc>
        <w:tc>
          <w:tcPr>
            <w:tcW w:w="2119" w:type="dxa"/>
            <w:tcBorders>
              <w:top w:val="nil"/>
              <w:left w:val="nil"/>
              <w:bottom w:val="nil"/>
              <w:right w:val="nil"/>
            </w:tcBorders>
            <w:shd w:val="clear" w:color="000000" w:fill="FFFFFF"/>
            <w:vAlign w:val="center"/>
            <w:hideMark/>
          </w:tcPr>
          <w:p w14:paraId="5B5B6E70" w14:textId="77777777"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 xml:space="preserve">Private </w:t>
            </w:r>
            <w:proofErr w:type="spellStart"/>
            <w:r w:rsidRPr="00211EF7">
              <w:rPr>
                <w:rFonts w:asciiTheme="majorBidi" w:hAnsiTheme="majorBidi" w:cstheme="majorBidi"/>
              </w:rPr>
              <w:t>forecasters</w:t>
            </w:r>
            <w:r w:rsidR="00446B32" w:rsidRPr="00211EF7">
              <w:rPr>
                <w:rFonts w:asciiTheme="majorBidi" w:hAnsiTheme="majorBidi" w:cstheme="majorBidi"/>
                <w:vertAlign w:val="superscript"/>
              </w:rPr>
              <w:t>b</w:t>
            </w:r>
            <w:proofErr w:type="spellEnd"/>
          </w:p>
        </w:tc>
      </w:tr>
      <w:tr w:rsidR="00F53855" w:rsidRPr="00B23575" w14:paraId="26D4E56E"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2788C95F"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 xml:space="preserve">Inflation </w:t>
            </w:r>
            <w:proofErr w:type="spellStart"/>
            <w:r w:rsidRPr="00211EF7">
              <w:rPr>
                <w:rFonts w:asciiTheme="majorBidi" w:hAnsiTheme="majorBidi" w:cstheme="majorBidi"/>
              </w:rPr>
              <w:t>rate</w:t>
            </w:r>
            <w:r w:rsidR="00446B32" w:rsidRPr="00211EF7">
              <w:rPr>
                <w:rFonts w:asciiTheme="majorBidi" w:hAnsiTheme="majorBidi" w:cstheme="majorBidi"/>
                <w:vertAlign w:val="superscript"/>
              </w:rPr>
              <w:t>c</w:t>
            </w:r>
            <w:proofErr w:type="spellEnd"/>
          </w:p>
        </w:tc>
        <w:tc>
          <w:tcPr>
            <w:tcW w:w="2094" w:type="dxa"/>
            <w:tcBorders>
              <w:top w:val="single" w:sz="4" w:space="0" w:color="auto"/>
              <w:left w:val="nil"/>
              <w:bottom w:val="nil"/>
              <w:right w:val="nil"/>
            </w:tcBorders>
            <w:shd w:val="clear" w:color="auto" w:fill="auto"/>
            <w:vAlign w:val="center"/>
          </w:tcPr>
          <w:p w14:paraId="45A215CE" w14:textId="29F2FB01" w:rsidR="00A2696D" w:rsidRPr="00211EF7" w:rsidRDefault="00A2696D" w:rsidP="00A2696D">
            <w:pPr>
              <w:bidi w:val="0"/>
              <w:jc w:val="center"/>
              <w:rPr>
                <w:rFonts w:asciiTheme="majorBidi" w:hAnsiTheme="majorBidi" w:cstheme="majorBidi"/>
              </w:rPr>
            </w:pPr>
            <w:r>
              <w:rPr>
                <w:rFonts w:asciiTheme="majorBidi" w:hAnsiTheme="majorBidi" w:cstheme="majorBidi"/>
              </w:rPr>
              <w:t>2.7</w:t>
            </w:r>
          </w:p>
        </w:tc>
        <w:tc>
          <w:tcPr>
            <w:tcW w:w="1540" w:type="dxa"/>
            <w:tcBorders>
              <w:top w:val="single" w:sz="4" w:space="0" w:color="auto"/>
              <w:left w:val="nil"/>
              <w:bottom w:val="nil"/>
              <w:right w:val="nil"/>
            </w:tcBorders>
            <w:shd w:val="clear" w:color="auto" w:fill="auto"/>
            <w:vAlign w:val="center"/>
          </w:tcPr>
          <w:p w14:paraId="762B66EF" w14:textId="496F9FF7" w:rsidR="00F53855" w:rsidRPr="00211EF7" w:rsidRDefault="00A53FEA" w:rsidP="00E23F62">
            <w:pPr>
              <w:bidi w:val="0"/>
              <w:jc w:val="center"/>
              <w:rPr>
                <w:rFonts w:asciiTheme="majorBidi" w:hAnsiTheme="majorBidi" w:cstheme="majorBidi"/>
              </w:rPr>
            </w:pPr>
            <w:r>
              <w:rPr>
                <w:rFonts w:asciiTheme="majorBidi" w:hAnsiTheme="majorBidi" w:cstheme="majorBidi"/>
              </w:rPr>
              <w:t>3.</w:t>
            </w:r>
            <w:r w:rsidR="00E23F62">
              <w:rPr>
                <w:rFonts w:asciiTheme="majorBidi" w:hAnsiTheme="majorBidi" w:cstheme="majorBidi"/>
              </w:rPr>
              <w:t>1</w:t>
            </w:r>
          </w:p>
        </w:tc>
        <w:tc>
          <w:tcPr>
            <w:tcW w:w="2119" w:type="dxa"/>
            <w:tcBorders>
              <w:top w:val="single" w:sz="4" w:space="0" w:color="auto"/>
              <w:left w:val="nil"/>
              <w:bottom w:val="nil"/>
              <w:right w:val="nil"/>
            </w:tcBorders>
            <w:shd w:val="clear" w:color="auto" w:fill="auto"/>
            <w:vAlign w:val="center"/>
          </w:tcPr>
          <w:p w14:paraId="7A18DCA0" w14:textId="35153D22" w:rsidR="00F53855" w:rsidRPr="00211EF7" w:rsidRDefault="00A2696D" w:rsidP="00A2696D">
            <w:pPr>
              <w:bidi w:val="0"/>
              <w:jc w:val="center"/>
              <w:rPr>
                <w:rFonts w:asciiTheme="majorBidi" w:hAnsiTheme="majorBidi" w:cstheme="majorBidi"/>
              </w:rPr>
            </w:pPr>
            <w:r>
              <w:rPr>
                <w:rFonts w:asciiTheme="majorBidi" w:hAnsiTheme="majorBidi" w:cstheme="majorBidi"/>
              </w:rPr>
              <w:t>2.9</w:t>
            </w:r>
            <w:r w:rsidR="00AD21E2">
              <w:rPr>
                <w:rFonts w:asciiTheme="majorBidi" w:hAnsiTheme="majorBidi" w:cstheme="majorBidi"/>
              </w:rPr>
              <w:t xml:space="preserve"> </w:t>
            </w:r>
            <w:r>
              <w:rPr>
                <w:rFonts w:asciiTheme="majorBidi" w:hAnsiTheme="majorBidi" w:cstheme="majorBidi"/>
              </w:rPr>
              <w:t>(1.2</w:t>
            </w:r>
            <w:r w:rsidR="00AD21E2">
              <w:rPr>
                <w:rFonts w:asciiTheme="majorBidi" w:hAnsiTheme="majorBidi" w:cstheme="majorBidi"/>
              </w:rPr>
              <w:t>–</w:t>
            </w:r>
            <w:r w:rsidR="00A53FEA">
              <w:rPr>
                <w:rFonts w:asciiTheme="majorBidi" w:hAnsiTheme="majorBidi" w:cstheme="majorBidi"/>
              </w:rPr>
              <w:t>3.</w:t>
            </w:r>
            <w:r>
              <w:rPr>
                <w:rFonts w:asciiTheme="majorBidi" w:hAnsiTheme="majorBidi" w:cstheme="majorBidi"/>
              </w:rPr>
              <w:t>3</w:t>
            </w:r>
            <w:r w:rsidR="00AD21E2">
              <w:rPr>
                <w:rFonts w:asciiTheme="majorBidi" w:hAnsiTheme="majorBidi" w:cstheme="majorBidi"/>
              </w:rPr>
              <w:t>)</w:t>
            </w:r>
          </w:p>
        </w:tc>
      </w:tr>
      <w:tr w:rsidR="00F53855" w:rsidRPr="00B23575" w14:paraId="2C889543"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507277D0"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tcPr>
          <w:p w14:paraId="526B5202"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tcPr>
          <w:p w14:paraId="7A3602B2"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nil"/>
              <w:right w:val="nil"/>
            </w:tcBorders>
            <w:shd w:val="clear" w:color="auto" w:fill="auto"/>
            <w:noWrap/>
            <w:vAlign w:val="center"/>
          </w:tcPr>
          <w:p w14:paraId="05125D0E" w14:textId="0C1C8116" w:rsidR="00F53855" w:rsidRPr="00211EF7" w:rsidRDefault="00F53855" w:rsidP="00B540ED">
            <w:pPr>
              <w:bidi w:val="0"/>
              <w:jc w:val="center"/>
              <w:rPr>
                <w:rFonts w:asciiTheme="majorBidi" w:hAnsiTheme="majorBidi" w:cstheme="majorBidi"/>
              </w:rPr>
            </w:pPr>
          </w:p>
        </w:tc>
      </w:tr>
      <w:tr w:rsidR="00F53855" w:rsidRPr="00B23575" w14:paraId="7BEB1FB0" w14:textId="77777777" w:rsidTr="004C2B26">
        <w:trPr>
          <w:trHeight w:val="274"/>
          <w:tblHeader/>
        </w:trPr>
        <w:tc>
          <w:tcPr>
            <w:tcW w:w="2480" w:type="dxa"/>
            <w:tcBorders>
              <w:top w:val="nil"/>
              <w:left w:val="nil"/>
              <w:bottom w:val="nil"/>
              <w:right w:val="nil"/>
            </w:tcBorders>
            <w:shd w:val="clear" w:color="auto" w:fill="auto"/>
            <w:vAlign w:val="center"/>
            <w:hideMark/>
          </w:tcPr>
          <w:p w14:paraId="0ED30781"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Interest rate</w:t>
            </w:r>
            <w:r w:rsidR="00446B32" w:rsidRPr="00211EF7">
              <w:rPr>
                <w:rFonts w:asciiTheme="majorBidi" w:hAnsiTheme="majorBidi" w:cstheme="majorBidi"/>
                <w:vertAlign w:val="superscript"/>
              </w:rPr>
              <w:t>d</w:t>
            </w:r>
          </w:p>
        </w:tc>
        <w:tc>
          <w:tcPr>
            <w:tcW w:w="2094" w:type="dxa"/>
            <w:tcBorders>
              <w:top w:val="nil"/>
              <w:left w:val="nil"/>
              <w:bottom w:val="nil"/>
              <w:right w:val="nil"/>
            </w:tcBorders>
            <w:shd w:val="clear" w:color="auto" w:fill="auto"/>
            <w:vAlign w:val="center"/>
          </w:tcPr>
          <w:p w14:paraId="50D3A35F" w14:textId="524E5BE9" w:rsidR="00F53855" w:rsidRPr="00211EF7" w:rsidRDefault="00A2696D" w:rsidP="00DD44D1">
            <w:pPr>
              <w:bidi w:val="0"/>
              <w:jc w:val="center"/>
              <w:rPr>
                <w:rFonts w:asciiTheme="majorBidi" w:hAnsiTheme="majorBidi" w:cstheme="majorBidi"/>
              </w:rPr>
            </w:pPr>
            <w:r>
              <w:rPr>
                <w:rFonts w:asciiTheme="majorBidi" w:hAnsiTheme="majorBidi" w:cstheme="majorBidi"/>
              </w:rPr>
              <w:t>3.5</w:t>
            </w:r>
          </w:p>
        </w:tc>
        <w:tc>
          <w:tcPr>
            <w:tcW w:w="1540" w:type="dxa"/>
            <w:tcBorders>
              <w:top w:val="nil"/>
              <w:left w:val="nil"/>
              <w:bottom w:val="nil"/>
              <w:right w:val="nil"/>
            </w:tcBorders>
            <w:shd w:val="clear" w:color="auto" w:fill="auto"/>
            <w:vAlign w:val="center"/>
          </w:tcPr>
          <w:p w14:paraId="622F669A" w14:textId="68F8994A" w:rsidR="004C2B26" w:rsidRPr="00211EF7" w:rsidRDefault="00DD3474" w:rsidP="0016240A">
            <w:pPr>
              <w:bidi w:val="0"/>
              <w:jc w:val="center"/>
              <w:rPr>
                <w:rFonts w:asciiTheme="majorBidi" w:hAnsiTheme="majorBidi" w:cstheme="majorBidi"/>
              </w:rPr>
            </w:pPr>
            <w:r>
              <w:rPr>
                <w:rFonts w:asciiTheme="majorBidi" w:hAnsiTheme="majorBidi" w:cstheme="majorBidi"/>
              </w:rPr>
              <w:t>4.1</w:t>
            </w:r>
          </w:p>
        </w:tc>
        <w:tc>
          <w:tcPr>
            <w:tcW w:w="2119" w:type="dxa"/>
            <w:tcBorders>
              <w:top w:val="single" w:sz="4" w:space="0" w:color="auto"/>
              <w:left w:val="nil"/>
              <w:bottom w:val="nil"/>
              <w:right w:val="nil"/>
            </w:tcBorders>
            <w:shd w:val="clear" w:color="auto" w:fill="auto"/>
            <w:vAlign w:val="center"/>
            <w:hideMark/>
          </w:tcPr>
          <w:p w14:paraId="4F7FFBC9" w14:textId="6717A7C9" w:rsidR="00F53855" w:rsidRPr="00211EF7" w:rsidRDefault="00A2696D" w:rsidP="00A53FEA">
            <w:pPr>
              <w:bidi w:val="0"/>
              <w:jc w:val="center"/>
              <w:rPr>
                <w:rFonts w:asciiTheme="majorBidi" w:hAnsiTheme="majorBidi" w:cstheme="majorBidi"/>
              </w:rPr>
            </w:pPr>
            <w:r>
              <w:rPr>
                <w:rFonts w:asciiTheme="majorBidi" w:hAnsiTheme="majorBidi" w:cstheme="majorBidi"/>
              </w:rPr>
              <w:t>3.2</w:t>
            </w:r>
          </w:p>
        </w:tc>
      </w:tr>
      <w:tr w:rsidR="00F53855" w:rsidRPr="00B23575" w14:paraId="6A9F3F13" w14:textId="77777777" w:rsidTr="00211EF7">
        <w:trPr>
          <w:trHeight w:val="275"/>
          <w:tblHeader/>
        </w:trPr>
        <w:tc>
          <w:tcPr>
            <w:tcW w:w="2480" w:type="dxa"/>
            <w:tcBorders>
              <w:top w:val="nil"/>
              <w:left w:val="nil"/>
              <w:bottom w:val="single" w:sz="4" w:space="0" w:color="auto"/>
              <w:right w:val="nil"/>
            </w:tcBorders>
            <w:shd w:val="clear" w:color="auto" w:fill="auto"/>
            <w:vAlign w:val="center"/>
            <w:hideMark/>
          </w:tcPr>
          <w:p w14:paraId="062BA2B2"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hideMark/>
          </w:tcPr>
          <w:p w14:paraId="530D2E9A"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hideMark/>
          </w:tcPr>
          <w:p w14:paraId="3BC19CAB"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single" w:sz="4" w:space="0" w:color="auto"/>
              <w:right w:val="nil"/>
            </w:tcBorders>
            <w:shd w:val="clear" w:color="auto" w:fill="auto"/>
            <w:noWrap/>
            <w:vAlign w:val="center"/>
            <w:hideMark/>
          </w:tcPr>
          <w:p w14:paraId="0DA413FB" w14:textId="5E8D0564" w:rsidR="00F53855" w:rsidRPr="00211EF7" w:rsidRDefault="00F53855" w:rsidP="00A2696D">
            <w:pPr>
              <w:bidi w:val="0"/>
              <w:jc w:val="center"/>
              <w:rPr>
                <w:rFonts w:asciiTheme="majorBidi" w:hAnsiTheme="majorBidi" w:cstheme="majorBidi"/>
              </w:rPr>
            </w:pPr>
            <w:r w:rsidRPr="00211EF7">
              <w:rPr>
                <w:rFonts w:asciiTheme="majorBidi" w:hAnsiTheme="majorBidi" w:cstheme="majorBidi"/>
              </w:rPr>
              <w:t>(</w:t>
            </w:r>
            <w:r w:rsidR="00DD44D1">
              <w:rPr>
                <w:rFonts w:asciiTheme="majorBidi" w:hAnsiTheme="majorBidi" w:cstheme="majorBidi"/>
              </w:rPr>
              <w:t>1</w:t>
            </w:r>
            <w:r w:rsidR="004C2B26">
              <w:rPr>
                <w:rFonts w:asciiTheme="majorBidi" w:hAnsiTheme="majorBidi" w:cstheme="majorBidi"/>
              </w:rPr>
              <w:t>.</w:t>
            </w:r>
            <w:r w:rsidR="00A2696D">
              <w:rPr>
                <w:rFonts w:asciiTheme="majorBidi" w:hAnsiTheme="majorBidi" w:cstheme="majorBidi"/>
              </w:rPr>
              <w:t>5–</w:t>
            </w:r>
            <w:r w:rsidR="00DD44D1">
              <w:rPr>
                <w:rFonts w:asciiTheme="majorBidi" w:hAnsiTheme="majorBidi" w:cstheme="majorBidi"/>
              </w:rPr>
              <w:t>3</w:t>
            </w:r>
            <w:r w:rsidR="00740773">
              <w:rPr>
                <w:rFonts w:asciiTheme="majorBidi" w:hAnsiTheme="majorBidi" w:cstheme="majorBidi"/>
              </w:rPr>
              <w:t>.</w:t>
            </w:r>
            <w:r w:rsidR="00A2696D">
              <w:rPr>
                <w:rFonts w:asciiTheme="majorBidi" w:hAnsiTheme="majorBidi" w:cstheme="majorBidi"/>
              </w:rPr>
              <w:t>75</w:t>
            </w:r>
            <w:r w:rsidR="001C55F7">
              <w:rPr>
                <w:rFonts w:asciiTheme="majorBidi" w:hAnsiTheme="majorBidi" w:cstheme="majorBidi"/>
              </w:rPr>
              <w:t>)</w:t>
            </w:r>
          </w:p>
        </w:tc>
      </w:tr>
      <w:tr w:rsidR="00A21D01" w:rsidRPr="00B23575" w14:paraId="6D890833" w14:textId="77777777" w:rsidTr="00A21D01">
        <w:trPr>
          <w:trHeight w:val="257"/>
          <w:tblHeader/>
        </w:trPr>
        <w:tc>
          <w:tcPr>
            <w:tcW w:w="8233" w:type="dxa"/>
            <w:gridSpan w:val="4"/>
            <w:tcBorders>
              <w:top w:val="nil"/>
              <w:left w:val="nil"/>
              <w:bottom w:val="nil"/>
              <w:right w:val="nil"/>
            </w:tcBorders>
            <w:shd w:val="clear" w:color="auto" w:fill="auto"/>
            <w:hideMark/>
          </w:tcPr>
          <w:p w14:paraId="7A43B343" w14:textId="599DEDD8" w:rsidR="00446B32" w:rsidRDefault="00446B32" w:rsidP="00DD3474">
            <w:pPr>
              <w:bidi w:val="0"/>
              <w:rPr>
                <w:rFonts w:asciiTheme="majorBidi" w:hAnsiTheme="majorBidi" w:cstheme="majorBidi"/>
                <w:sz w:val="20"/>
                <w:szCs w:val="20"/>
              </w:rPr>
            </w:pPr>
            <w:r>
              <w:rPr>
                <w:rFonts w:asciiTheme="majorBidi" w:hAnsiTheme="majorBidi" w:cstheme="majorBidi"/>
                <w:sz w:val="20"/>
                <w:szCs w:val="20"/>
              </w:rPr>
              <w:t xml:space="preserve">a) </w:t>
            </w:r>
            <w:r w:rsidR="00D62B59">
              <w:rPr>
                <w:rFonts w:asciiTheme="majorBidi" w:hAnsiTheme="majorBidi" w:cstheme="majorBidi"/>
                <w:sz w:val="20"/>
                <w:szCs w:val="20"/>
              </w:rPr>
              <w:t>Inflation expectations are seasonally adjusted</w:t>
            </w:r>
            <w:r w:rsidR="00A53FEA">
              <w:rPr>
                <w:rFonts w:asciiTheme="majorBidi" w:hAnsiTheme="majorBidi" w:cstheme="majorBidi"/>
                <w:sz w:val="20"/>
                <w:szCs w:val="20"/>
              </w:rPr>
              <w:t xml:space="preserve"> (</w:t>
            </w:r>
            <w:r w:rsidR="00DD3474">
              <w:rPr>
                <w:rFonts w:asciiTheme="majorBidi" w:hAnsiTheme="majorBidi" w:cstheme="majorBidi"/>
                <w:sz w:val="20"/>
                <w:szCs w:val="20"/>
              </w:rPr>
              <w:t xml:space="preserve">average, </w:t>
            </w:r>
            <w:r w:rsidR="00A2696D">
              <w:rPr>
                <w:rFonts w:asciiTheme="majorBidi" w:hAnsiTheme="majorBidi" w:cstheme="majorBidi"/>
                <w:sz w:val="20"/>
                <w:szCs w:val="20"/>
              </w:rPr>
              <w:t xml:space="preserve">September </w:t>
            </w:r>
            <w:r w:rsidR="00DD3474">
              <w:rPr>
                <w:rFonts w:asciiTheme="majorBidi" w:hAnsiTheme="majorBidi" w:cstheme="majorBidi"/>
                <w:sz w:val="20"/>
                <w:szCs w:val="20"/>
              </w:rPr>
              <w:t>25</w:t>
            </w:r>
            <w:r w:rsidR="00A53FEA">
              <w:rPr>
                <w:rFonts w:asciiTheme="majorBidi" w:hAnsiTheme="majorBidi" w:cstheme="majorBidi"/>
                <w:sz w:val="20"/>
                <w:szCs w:val="20"/>
              </w:rPr>
              <w:t>, 2022–</w:t>
            </w:r>
            <w:r w:rsidR="00DD3474">
              <w:rPr>
                <w:rFonts w:asciiTheme="majorBidi" w:hAnsiTheme="majorBidi" w:cstheme="majorBidi"/>
                <w:sz w:val="20"/>
                <w:szCs w:val="20"/>
              </w:rPr>
              <w:t>October 2</w:t>
            </w:r>
            <w:r w:rsidR="00A53FEA">
              <w:rPr>
                <w:rFonts w:asciiTheme="majorBidi" w:hAnsiTheme="majorBidi" w:cstheme="majorBidi"/>
                <w:sz w:val="20"/>
                <w:szCs w:val="20"/>
              </w:rPr>
              <w:t>, 2022)</w:t>
            </w:r>
            <w:r w:rsidR="005650EE">
              <w:rPr>
                <w:rFonts w:asciiTheme="majorBidi" w:hAnsiTheme="majorBidi" w:cstheme="majorBidi"/>
                <w:sz w:val="20"/>
                <w:szCs w:val="20"/>
              </w:rPr>
              <w:t>.</w:t>
            </w:r>
          </w:p>
          <w:p w14:paraId="1240F8BE" w14:textId="722C7E31" w:rsidR="00446B32" w:rsidRDefault="00446B32" w:rsidP="00A2696D">
            <w:pPr>
              <w:bidi w:val="0"/>
              <w:rPr>
                <w:rFonts w:asciiTheme="majorBidi" w:hAnsiTheme="majorBidi" w:cstheme="majorBidi"/>
                <w:sz w:val="20"/>
                <w:szCs w:val="20"/>
              </w:rPr>
            </w:pPr>
            <w:r>
              <w:rPr>
                <w:rFonts w:asciiTheme="majorBidi" w:hAnsiTheme="majorBidi" w:cstheme="majorBidi"/>
                <w:sz w:val="20"/>
                <w:szCs w:val="20"/>
              </w:rPr>
              <w:t xml:space="preserve">b) </w:t>
            </w:r>
            <w:r w:rsidR="00046EE6">
              <w:rPr>
                <w:rFonts w:asciiTheme="majorBidi" w:hAnsiTheme="majorBidi" w:cstheme="majorBidi"/>
                <w:sz w:val="20"/>
                <w:szCs w:val="20"/>
              </w:rPr>
              <w:t xml:space="preserve">The </w:t>
            </w:r>
            <w:r w:rsidR="00BE556B">
              <w:rPr>
                <w:rFonts w:asciiTheme="majorBidi" w:hAnsiTheme="majorBidi" w:cstheme="majorBidi"/>
                <w:sz w:val="20"/>
                <w:szCs w:val="20"/>
              </w:rPr>
              <w:t xml:space="preserve">average of </w:t>
            </w:r>
            <w:r w:rsidR="00046EE6">
              <w:rPr>
                <w:rFonts w:asciiTheme="majorBidi" w:hAnsiTheme="majorBidi" w:cstheme="majorBidi"/>
                <w:sz w:val="20"/>
                <w:szCs w:val="20"/>
              </w:rPr>
              <w:t xml:space="preserve">forecasts published </w:t>
            </w:r>
            <w:r w:rsidR="00D62B59">
              <w:rPr>
                <w:rFonts w:asciiTheme="majorBidi" w:hAnsiTheme="majorBidi" w:cstheme="majorBidi"/>
                <w:sz w:val="20"/>
                <w:szCs w:val="20"/>
              </w:rPr>
              <w:t xml:space="preserve">following the publication of the Consumer Price Index for </w:t>
            </w:r>
            <w:r w:rsidR="00A2696D">
              <w:rPr>
                <w:rFonts w:asciiTheme="majorBidi" w:hAnsiTheme="majorBidi" w:cstheme="majorBidi"/>
                <w:sz w:val="20"/>
                <w:szCs w:val="20"/>
              </w:rPr>
              <w:t>August</w:t>
            </w:r>
            <w:r>
              <w:rPr>
                <w:rFonts w:asciiTheme="majorBidi" w:hAnsiTheme="majorBidi" w:cstheme="majorBidi"/>
                <w:sz w:val="20"/>
                <w:szCs w:val="20"/>
              </w:rPr>
              <w:t>.</w:t>
            </w:r>
          </w:p>
          <w:p w14:paraId="61935DF9" w14:textId="37876989" w:rsidR="00A21D01" w:rsidRPr="00B23575" w:rsidRDefault="00446B32" w:rsidP="00A2696D">
            <w:pPr>
              <w:bidi w:val="0"/>
              <w:rPr>
                <w:rFonts w:asciiTheme="majorBidi" w:hAnsiTheme="majorBidi" w:cstheme="majorBidi"/>
                <w:sz w:val="20"/>
                <w:szCs w:val="20"/>
              </w:rPr>
            </w:pPr>
            <w:r>
              <w:rPr>
                <w:rFonts w:asciiTheme="majorBidi" w:hAnsiTheme="majorBidi" w:cstheme="majorBidi"/>
                <w:sz w:val="20"/>
                <w:szCs w:val="20"/>
              </w:rPr>
              <w:t>c</w:t>
            </w:r>
            <w:r w:rsidR="00A21D01" w:rsidRPr="00B23575">
              <w:rPr>
                <w:rFonts w:asciiTheme="majorBidi" w:hAnsiTheme="majorBidi" w:cstheme="majorBidi"/>
                <w:sz w:val="20"/>
                <w:szCs w:val="20"/>
              </w:rPr>
              <w:t xml:space="preserve">) </w:t>
            </w:r>
            <w:r w:rsidR="007864A7">
              <w:rPr>
                <w:rFonts w:asciiTheme="majorBidi" w:hAnsiTheme="majorBidi" w:cstheme="majorBidi"/>
                <w:sz w:val="20"/>
                <w:szCs w:val="20"/>
              </w:rPr>
              <w:t xml:space="preserve">Inflation rate in the coming year. </w:t>
            </w:r>
            <w:r w:rsidR="00A21D01" w:rsidRPr="00B23575">
              <w:rPr>
                <w:rFonts w:asciiTheme="majorBidi" w:hAnsiTheme="majorBidi" w:cstheme="majorBidi"/>
                <w:sz w:val="20"/>
                <w:szCs w:val="20"/>
              </w:rPr>
              <w:t xml:space="preserve">Research </w:t>
            </w:r>
            <w:r w:rsidR="00A21D01" w:rsidRPr="00C378E2">
              <w:rPr>
                <w:rFonts w:asciiTheme="majorBidi" w:hAnsiTheme="majorBidi" w:cstheme="majorBidi"/>
                <w:sz w:val="20"/>
                <w:szCs w:val="20"/>
              </w:rPr>
              <w:t xml:space="preserve">Department: </w:t>
            </w:r>
            <w:r w:rsidR="00C51B50">
              <w:rPr>
                <w:rFonts w:asciiTheme="majorBidi" w:hAnsiTheme="majorBidi" w:cstheme="majorBidi"/>
                <w:sz w:val="20"/>
                <w:szCs w:val="20"/>
              </w:rPr>
              <w:t xml:space="preserve">in the four quarters ending in the </w:t>
            </w:r>
            <w:r w:rsidR="00A2696D">
              <w:rPr>
                <w:rFonts w:asciiTheme="majorBidi" w:hAnsiTheme="majorBidi" w:cstheme="majorBidi"/>
                <w:sz w:val="20"/>
                <w:szCs w:val="20"/>
              </w:rPr>
              <w:t>third</w:t>
            </w:r>
            <w:r w:rsidR="004C2B26">
              <w:rPr>
                <w:rFonts w:asciiTheme="majorBidi" w:hAnsiTheme="majorBidi" w:cstheme="majorBidi"/>
                <w:sz w:val="20"/>
                <w:szCs w:val="20"/>
              </w:rPr>
              <w:t xml:space="preserve"> </w:t>
            </w:r>
            <w:r w:rsidR="00C51B50">
              <w:rPr>
                <w:rFonts w:asciiTheme="majorBidi" w:hAnsiTheme="majorBidi" w:cstheme="majorBidi"/>
                <w:sz w:val="20"/>
                <w:szCs w:val="20"/>
              </w:rPr>
              <w:t>quarter of 2</w:t>
            </w:r>
            <w:r w:rsidR="00725CB0">
              <w:rPr>
                <w:rFonts w:asciiTheme="majorBidi" w:hAnsiTheme="majorBidi" w:cstheme="majorBidi"/>
                <w:sz w:val="20"/>
                <w:szCs w:val="20"/>
              </w:rPr>
              <w:t>02</w:t>
            </w:r>
            <w:r w:rsidR="00A53FEA">
              <w:rPr>
                <w:rFonts w:asciiTheme="majorBidi" w:hAnsiTheme="majorBidi" w:cstheme="majorBidi"/>
                <w:sz w:val="20"/>
                <w:szCs w:val="20"/>
              </w:rPr>
              <w:t>3</w:t>
            </w:r>
            <w:r w:rsidR="007864A7" w:rsidRPr="00C378E2">
              <w:rPr>
                <w:rFonts w:asciiTheme="majorBidi" w:hAnsiTheme="majorBidi" w:cstheme="majorBidi"/>
                <w:sz w:val="20"/>
                <w:szCs w:val="20"/>
              </w:rPr>
              <w:t>.</w:t>
            </w:r>
          </w:p>
        </w:tc>
      </w:tr>
      <w:tr w:rsidR="00A21D01" w:rsidRPr="00B23575" w14:paraId="27BFA487" w14:textId="77777777" w:rsidTr="00A21D01">
        <w:trPr>
          <w:trHeight w:val="445"/>
          <w:tblHeader/>
        </w:trPr>
        <w:tc>
          <w:tcPr>
            <w:tcW w:w="8233" w:type="dxa"/>
            <w:gridSpan w:val="4"/>
            <w:tcBorders>
              <w:top w:val="nil"/>
              <w:left w:val="nil"/>
              <w:bottom w:val="nil"/>
              <w:right w:val="nil"/>
            </w:tcBorders>
            <w:shd w:val="clear" w:color="auto" w:fill="auto"/>
            <w:hideMark/>
          </w:tcPr>
          <w:p w14:paraId="3D0C7833" w14:textId="679B676C" w:rsidR="00A21D01" w:rsidRDefault="00446B32" w:rsidP="00DD3474">
            <w:pPr>
              <w:bidi w:val="0"/>
              <w:rPr>
                <w:rFonts w:asciiTheme="majorBidi" w:hAnsiTheme="majorBidi" w:cstheme="majorBidi"/>
                <w:sz w:val="20"/>
                <w:szCs w:val="20"/>
              </w:rPr>
            </w:pPr>
            <w:r>
              <w:rPr>
                <w:rFonts w:asciiTheme="majorBidi" w:hAnsiTheme="majorBidi" w:cstheme="majorBidi"/>
                <w:sz w:val="20"/>
                <w:szCs w:val="20"/>
              </w:rPr>
              <w:t>d</w:t>
            </w:r>
            <w:r w:rsidR="00A21D01" w:rsidRPr="00B23575">
              <w:rPr>
                <w:rFonts w:asciiTheme="majorBidi" w:hAnsiTheme="majorBidi" w:cstheme="majorBidi"/>
                <w:sz w:val="20"/>
                <w:szCs w:val="20"/>
              </w:rPr>
              <w:t>)</w:t>
            </w:r>
            <w:r w:rsidR="00A21D01">
              <w:rPr>
                <w:rFonts w:asciiTheme="majorBidi" w:hAnsiTheme="majorBidi" w:cstheme="majorBidi"/>
                <w:sz w:val="20"/>
                <w:szCs w:val="20"/>
              </w:rPr>
              <w:t xml:space="preserve"> </w:t>
            </w:r>
            <w:r w:rsidR="007864A7">
              <w:rPr>
                <w:rFonts w:asciiTheme="majorBidi" w:hAnsiTheme="majorBidi" w:cstheme="majorBidi"/>
                <w:sz w:val="20"/>
                <w:szCs w:val="20"/>
              </w:rPr>
              <w:t xml:space="preserve">The interest rate one year from now. </w:t>
            </w:r>
            <w:r w:rsidR="00D7448E">
              <w:rPr>
                <w:rFonts w:asciiTheme="majorBidi" w:hAnsiTheme="majorBidi" w:cstheme="majorBidi"/>
                <w:sz w:val="20"/>
                <w:szCs w:val="20"/>
              </w:rPr>
              <w:t>(</w:t>
            </w:r>
            <w:r w:rsidR="002945D2">
              <w:rPr>
                <w:rFonts w:asciiTheme="majorBidi" w:hAnsiTheme="majorBidi" w:cstheme="majorBidi"/>
                <w:sz w:val="20"/>
                <w:szCs w:val="20"/>
              </w:rPr>
              <w:t xml:space="preserve">Research Department: in the </w:t>
            </w:r>
            <w:r w:rsidR="007179F2">
              <w:rPr>
                <w:rFonts w:asciiTheme="majorBidi" w:hAnsiTheme="majorBidi" w:cstheme="majorBidi"/>
                <w:sz w:val="20"/>
                <w:szCs w:val="20"/>
              </w:rPr>
              <w:t>third</w:t>
            </w:r>
            <w:r w:rsidR="00725CB0">
              <w:rPr>
                <w:rFonts w:asciiTheme="majorBidi" w:hAnsiTheme="majorBidi" w:cstheme="majorBidi"/>
                <w:sz w:val="20"/>
                <w:szCs w:val="20"/>
              </w:rPr>
              <w:t xml:space="preserve"> </w:t>
            </w:r>
            <w:r w:rsidR="002945D2">
              <w:rPr>
                <w:rFonts w:asciiTheme="majorBidi" w:hAnsiTheme="majorBidi" w:cstheme="majorBidi"/>
                <w:sz w:val="20"/>
                <w:szCs w:val="20"/>
              </w:rPr>
              <w:t>quarter of 20</w:t>
            </w:r>
            <w:r w:rsidR="00725CB0">
              <w:rPr>
                <w:rFonts w:asciiTheme="majorBidi" w:hAnsiTheme="majorBidi" w:cstheme="majorBidi"/>
                <w:sz w:val="20"/>
                <w:szCs w:val="20"/>
              </w:rPr>
              <w:t>2</w:t>
            </w:r>
            <w:r w:rsidR="00A53FEA">
              <w:rPr>
                <w:rFonts w:asciiTheme="majorBidi" w:hAnsiTheme="majorBidi" w:cstheme="majorBidi"/>
                <w:sz w:val="20"/>
                <w:szCs w:val="20"/>
              </w:rPr>
              <w:t>3</w:t>
            </w:r>
            <w:r w:rsidR="002945D2">
              <w:rPr>
                <w:rFonts w:asciiTheme="majorBidi" w:hAnsiTheme="majorBidi" w:cstheme="majorBidi"/>
                <w:sz w:val="20"/>
                <w:szCs w:val="20"/>
              </w:rPr>
              <w:t>.</w:t>
            </w:r>
            <w:r w:rsidR="00D45EF8">
              <w:rPr>
                <w:rFonts w:asciiTheme="majorBidi" w:hAnsiTheme="majorBidi" w:cstheme="majorBidi"/>
                <w:sz w:val="20"/>
                <w:szCs w:val="20"/>
              </w:rPr>
              <w:t>)</w:t>
            </w:r>
            <w:r w:rsidR="002945D2">
              <w:rPr>
                <w:rFonts w:asciiTheme="majorBidi" w:hAnsiTheme="majorBidi" w:cstheme="majorBidi"/>
                <w:sz w:val="20"/>
                <w:szCs w:val="20"/>
              </w:rPr>
              <w:t xml:space="preserve"> Expectations</w:t>
            </w:r>
            <w:r w:rsidR="00046EE6">
              <w:rPr>
                <w:rFonts w:asciiTheme="majorBidi" w:hAnsiTheme="majorBidi" w:cstheme="majorBidi"/>
                <w:sz w:val="20"/>
                <w:szCs w:val="20"/>
              </w:rPr>
              <w:t xml:space="preserve"> derived</w:t>
            </w:r>
            <w:r w:rsidR="002945D2">
              <w:rPr>
                <w:rFonts w:asciiTheme="majorBidi" w:hAnsiTheme="majorBidi" w:cstheme="majorBidi"/>
                <w:sz w:val="20"/>
                <w:szCs w:val="20"/>
              </w:rPr>
              <w:t xml:space="preserve"> from the capital market are b</w:t>
            </w:r>
            <w:r w:rsidR="004E71DD">
              <w:rPr>
                <w:rFonts w:asciiTheme="majorBidi" w:hAnsiTheme="majorBidi" w:cstheme="majorBidi"/>
                <w:sz w:val="20"/>
                <w:szCs w:val="20"/>
              </w:rPr>
              <w:t>a</w:t>
            </w:r>
            <w:r w:rsidR="002945D2">
              <w:rPr>
                <w:rFonts w:asciiTheme="majorBidi" w:hAnsiTheme="majorBidi" w:cstheme="majorBidi"/>
                <w:sz w:val="20"/>
                <w:szCs w:val="20"/>
              </w:rPr>
              <w:t xml:space="preserve">sed on the </w:t>
            </w:r>
            <w:proofErr w:type="spellStart"/>
            <w:r w:rsidR="00D45EF8">
              <w:rPr>
                <w:rFonts w:asciiTheme="majorBidi" w:hAnsiTheme="majorBidi" w:cstheme="majorBidi"/>
                <w:sz w:val="20"/>
                <w:szCs w:val="20"/>
              </w:rPr>
              <w:t>Telbor</w:t>
            </w:r>
            <w:proofErr w:type="spellEnd"/>
            <w:r w:rsidR="00D45EF8">
              <w:rPr>
                <w:rFonts w:asciiTheme="majorBidi" w:hAnsiTheme="majorBidi" w:cstheme="majorBidi"/>
                <w:sz w:val="20"/>
                <w:szCs w:val="20"/>
              </w:rPr>
              <w:t xml:space="preserve"> market</w:t>
            </w:r>
            <w:r w:rsidR="00324468">
              <w:rPr>
                <w:rFonts w:asciiTheme="majorBidi" w:hAnsiTheme="majorBidi" w:cstheme="majorBidi"/>
                <w:sz w:val="20"/>
                <w:szCs w:val="20"/>
              </w:rPr>
              <w:t xml:space="preserve"> (average, </w:t>
            </w:r>
            <w:r w:rsidR="00A2696D">
              <w:rPr>
                <w:rFonts w:asciiTheme="majorBidi" w:hAnsiTheme="majorBidi" w:cstheme="majorBidi"/>
                <w:sz w:val="20"/>
                <w:szCs w:val="20"/>
              </w:rPr>
              <w:t xml:space="preserve">September </w:t>
            </w:r>
            <w:r w:rsidR="00DD3474">
              <w:rPr>
                <w:rFonts w:asciiTheme="majorBidi" w:hAnsiTheme="majorBidi" w:cstheme="majorBidi"/>
                <w:sz w:val="20"/>
                <w:szCs w:val="20"/>
              </w:rPr>
              <w:t>25</w:t>
            </w:r>
            <w:r w:rsidR="00324468">
              <w:rPr>
                <w:rFonts w:asciiTheme="majorBidi" w:hAnsiTheme="majorBidi" w:cstheme="majorBidi"/>
                <w:sz w:val="20"/>
                <w:szCs w:val="20"/>
              </w:rPr>
              <w:t xml:space="preserve">, 2022 to </w:t>
            </w:r>
            <w:r w:rsidR="00DD3474">
              <w:rPr>
                <w:rFonts w:asciiTheme="majorBidi" w:hAnsiTheme="majorBidi" w:cstheme="majorBidi"/>
                <w:sz w:val="20"/>
                <w:szCs w:val="20"/>
              </w:rPr>
              <w:t>October 2</w:t>
            </w:r>
            <w:r w:rsidR="00DD44D1">
              <w:rPr>
                <w:rFonts w:asciiTheme="majorBidi" w:hAnsiTheme="majorBidi" w:cstheme="majorBidi"/>
                <w:sz w:val="20"/>
                <w:szCs w:val="20"/>
              </w:rPr>
              <w:t>,</w:t>
            </w:r>
            <w:r w:rsidR="00324468">
              <w:rPr>
                <w:rFonts w:asciiTheme="majorBidi" w:hAnsiTheme="majorBidi" w:cstheme="majorBidi"/>
                <w:sz w:val="20"/>
                <w:szCs w:val="20"/>
              </w:rPr>
              <w:t xml:space="preserve"> 2022)</w:t>
            </w:r>
            <w:r w:rsidR="002945D2">
              <w:rPr>
                <w:rFonts w:asciiTheme="majorBidi" w:hAnsiTheme="majorBidi" w:cstheme="majorBidi"/>
                <w:sz w:val="20"/>
                <w:szCs w:val="20"/>
              </w:rPr>
              <w:t>.</w:t>
            </w:r>
          </w:p>
          <w:p w14:paraId="226C171E" w14:textId="77777777" w:rsidR="00FE6484" w:rsidRPr="00B23575" w:rsidRDefault="00FE6484" w:rsidP="00FE6484">
            <w:pPr>
              <w:bidi w:val="0"/>
              <w:rPr>
                <w:rFonts w:asciiTheme="majorBidi" w:hAnsiTheme="majorBidi" w:cstheme="majorBidi"/>
                <w:sz w:val="20"/>
                <w:szCs w:val="20"/>
                <w:rtl/>
              </w:rPr>
            </w:pPr>
            <w:r>
              <w:rPr>
                <w:rFonts w:asciiTheme="majorBidi" w:hAnsiTheme="majorBidi" w:cstheme="majorBidi"/>
                <w:sz w:val="20"/>
                <w:szCs w:val="20"/>
              </w:rPr>
              <w:t>SOURCE: Bank of Israel.</w:t>
            </w:r>
          </w:p>
        </w:tc>
      </w:tr>
    </w:tbl>
    <w:p w14:paraId="7E17A595" w14:textId="77777777" w:rsidR="00D211EC" w:rsidRDefault="00D211EC" w:rsidP="009335C7">
      <w:pPr>
        <w:bidi w:val="0"/>
        <w:jc w:val="both"/>
        <w:rPr>
          <w:b/>
          <w:bCs/>
        </w:rPr>
      </w:pPr>
    </w:p>
    <w:p w14:paraId="6C383D76" w14:textId="1B516E2B" w:rsidR="00A21D01" w:rsidRDefault="00A21D01" w:rsidP="00A21D01">
      <w:pPr>
        <w:bidi w:val="0"/>
        <w:spacing w:line="300" w:lineRule="exact"/>
        <w:jc w:val="both"/>
      </w:pPr>
    </w:p>
    <w:p w14:paraId="1DFC19AD" w14:textId="6B71C235" w:rsidR="0016240A" w:rsidRDefault="0016240A" w:rsidP="0016240A">
      <w:pPr>
        <w:bidi w:val="0"/>
        <w:spacing w:line="300" w:lineRule="exact"/>
        <w:jc w:val="both"/>
      </w:pPr>
    </w:p>
    <w:p w14:paraId="06346C96" w14:textId="24365763" w:rsidR="0016240A" w:rsidRDefault="0016240A" w:rsidP="0016240A">
      <w:pPr>
        <w:bidi w:val="0"/>
        <w:spacing w:line="300" w:lineRule="exact"/>
        <w:jc w:val="both"/>
      </w:pPr>
    </w:p>
    <w:p w14:paraId="53C340D6" w14:textId="77777777" w:rsidR="0016240A" w:rsidRDefault="0016240A" w:rsidP="0016240A">
      <w:pPr>
        <w:bidi w:val="0"/>
        <w:spacing w:line="300" w:lineRule="exact"/>
        <w:jc w:val="both"/>
      </w:pPr>
    </w:p>
    <w:p w14:paraId="449ACD48" w14:textId="77777777" w:rsidR="00F27029" w:rsidRDefault="00F27029" w:rsidP="00F27029">
      <w:pPr>
        <w:bidi w:val="0"/>
        <w:spacing w:line="300" w:lineRule="exact"/>
        <w:jc w:val="both"/>
      </w:pPr>
    </w:p>
    <w:p w14:paraId="01C20EEA" w14:textId="1788808E" w:rsidR="00A21D01" w:rsidRPr="00CD2FC5" w:rsidRDefault="006648AB" w:rsidP="00202CCB">
      <w:pPr>
        <w:numPr>
          <w:ilvl w:val="0"/>
          <w:numId w:val="9"/>
        </w:numPr>
        <w:bidi w:val="0"/>
        <w:spacing w:line="360" w:lineRule="auto"/>
        <w:ind w:left="357" w:hanging="357"/>
        <w:jc w:val="both"/>
        <w:rPr>
          <w:b/>
          <w:bCs/>
        </w:rPr>
      </w:pPr>
      <w:r>
        <w:rPr>
          <w:b/>
          <w:bCs/>
        </w:rPr>
        <w:t>Main r</w:t>
      </w:r>
      <w:r w:rsidR="00A21D01">
        <w:rPr>
          <w:b/>
          <w:bCs/>
        </w:rPr>
        <w:t xml:space="preserve">isks </w:t>
      </w:r>
      <w:r w:rsidR="00202CCB">
        <w:rPr>
          <w:b/>
          <w:bCs/>
        </w:rPr>
        <w:t xml:space="preserve">to </w:t>
      </w:r>
      <w:r w:rsidR="00A21D01">
        <w:rPr>
          <w:b/>
          <w:bCs/>
        </w:rPr>
        <w:t>the forecast</w:t>
      </w:r>
    </w:p>
    <w:p w14:paraId="3C47F3FD" w14:textId="65B07460" w:rsidR="00FF22EB" w:rsidRDefault="00FF22EB" w:rsidP="00425B3F">
      <w:pPr>
        <w:bidi w:val="0"/>
        <w:jc w:val="both"/>
      </w:pPr>
    </w:p>
    <w:p w14:paraId="39CF0B98" w14:textId="5EB1EB3F" w:rsidR="00A2696D" w:rsidRDefault="00DD44D1" w:rsidP="00DD3474">
      <w:pPr>
        <w:bidi w:val="0"/>
        <w:jc w:val="both"/>
      </w:pPr>
      <w:r>
        <w:t>Global developments pose a significant risk to the forecast.</w:t>
      </w:r>
      <w:r w:rsidR="00A2696D">
        <w:t xml:space="preserve">  There is </w:t>
      </w:r>
      <w:r w:rsidR="00DD3474">
        <w:t>considerable</w:t>
      </w:r>
      <w:r w:rsidR="00A2696D">
        <w:t xml:space="preserve"> uncertainty regarding the continued confrontation between Russia and Ukraine and its impact on energy and food prices.  The drought in Europe, which is expected to contribute to limited supply on the continent, is an additional factor.  Despite the fact that certain assumptions regarding these developments are factored into the forecasts by the investment houses and international institutions that underpin our forecast, a lot of uncertainty remains. A crisis that is worse than what is already factored into the forecasts is expected to contribute to an increase in the prices of tradable goods in Israel beyond what is factored into the forecast, and may also hamper demand for Israeli exports.</w:t>
      </w:r>
    </w:p>
    <w:p w14:paraId="7E4BE6D3" w14:textId="40E3364C" w:rsidR="00DD44D1" w:rsidRDefault="00DD44D1" w:rsidP="00DD44D1">
      <w:pPr>
        <w:bidi w:val="0"/>
        <w:jc w:val="both"/>
      </w:pPr>
    </w:p>
    <w:p w14:paraId="67A6CF02" w14:textId="51060ED4" w:rsidR="00DD44D1" w:rsidRDefault="00DD44D1" w:rsidP="00A2696D">
      <w:pPr>
        <w:bidi w:val="0"/>
        <w:jc w:val="both"/>
      </w:pPr>
      <w:r>
        <w:t xml:space="preserve">In terms of risks in the domestic environment, </w:t>
      </w:r>
      <w:r w:rsidR="00A2696D">
        <w:t>there is</w:t>
      </w:r>
      <w:r>
        <w:t xml:space="preserve"> uncertainty</w:t>
      </w:r>
      <w:r w:rsidR="00A2696D">
        <w:t xml:space="preserve"> regarding the policy measures that the new government will take in all areas of its operation.  In particular, there is uncertainty regarding the wage agreements that will be signed in the forecast period and how they will deal with the inflation that will have occurred and that will occur in the future.</w:t>
      </w:r>
    </w:p>
    <w:sectPr w:rsidR="00DD44D1" w:rsidSect="008009B5">
      <w:headerReference w:type="even" r:id="rId9"/>
      <w:headerReference w:type="default" r:id="rId10"/>
      <w:footerReference w:type="even" r:id="rId11"/>
      <w:footerReference w:type="default" r:id="rId12"/>
      <w:headerReference w:type="first" r:id="rId13"/>
      <w:footerReference w:type="first" r:id="rId14"/>
      <w:pgSz w:w="11906" w:h="16838"/>
      <w:pgMar w:top="1134" w:right="1416" w:bottom="1276"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11F79" w14:textId="77777777" w:rsidR="008E7C2C" w:rsidRDefault="008E7C2C" w:rsidP="00AD16FC">
      <w:r>
        <w:separator/>
      </w:r>
    </w:p>
  </w:endnote>
  <w:endnote w:type="continuationSeparator" w:id="0">
    <w:p w14:paraId="7291BB1C" w14:textId="77777777" w:rsidR="008E7C2C" w:rsidRDefault="008E7C2C"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0C03" w14:textId="77777777" w:rsidR="008C53CA" w:rsidRDefault="008C53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B414" w14:textId="6ECB96C0" w:rsidR="00A16ACA" w:rsidRDefault="00A16ACA" w:rsidP="007638FC">
    <w:pPr>
      <w:pStyle w:val="a5"/>
      <w:bidi w:val="0"/>
    </w:pPr>
    <w:r>
      <w:t xml:space="preserve">Bank of Israel — Research Department Macroeconomic Staff Forecast, </w:t>
    </w:r>
    <w:r w:rsidR="007638FC">
      <w:t>October</w:t>
    </w:r>
    <w:r w:rsidR="001B362F">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B9CF" w14:textId="59551EBF" w:rsidR="00AE0ADC" w:rsidRDefault="00AE0ADC" w:rsidP="00C3415C">
    <w:pPr>
      <w:pStyle w:val="a5"/>
      <w:bidi w:val="0"/>
    </w:pPr>
    <w:r>
      <w:t xml:space="preserve">Bank of Israel — Research Department Macroeconomic Staff Forecast, </w:t>
    </w:r>
    <w:r w:rsidR="00C3415C">
      <w:t>July</w:t>
    </w:r>
    <w:r w:rsidR="008E27BC">
      <w:t xml:space="preserve"> </w:t>
    </w:r>
    <w:r w:rsidR="00F4116E">
      <w:t>20</w:t>
    </w:r>
    <w:r w:rsidR="008E27BC">
      <w:t>2</w:t>
    </w:r>
    <w:r w:rsidR="00A30AC5">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0F216" w14:textId="77777777" w:rsidR="008E7C2C" w:rsidRDefault="008E7C2C" w:rsidP="00AD16FC">
      <w:r>
        <w:separator/>
      </w:r>
    </w:p>
  </w:footnote>
  <w:footnote w:type="continuationSeparator" w:id="0">
    <w:p w14:paraId="568AF103" w14:textId="77777777" w:rsidR="008E7C2C" w:rsidRDefault="008E7C2C" w:rsidP="00AD16FC">
      <w:r>
        <w:continuationSeparator/>
      </w:r>
    </w:p>
  </w:footnote>
  <w:footnote w:id="1">
    <w:p w14:paraId="141F00F8" w14:textId="4E294763" w:rsidR="00A30AC5" w:rsidRDefault="00A30AC5" w:rsidP="00C55EB9">
      <w:pPr>
        <w:pStyle w:val="aa"/>
        <w:bidi w:val="0"/>
        <w:jc w:val="both"/>
        <w:rPr>
          <w:rtl/>
        </w:rPr>
      </w:pPr>
      <w:r>
        <w:rPr>
          <w:rStyle w:val="ac"/>
        </w:rPr>
        <w:footnoteRef/>
      </w:r>
      <w:r>
        <w:rPr>
          <w:rtl/>
        </w:rPr>
        <w:t xml:space="preserve"> </w:t>
      </w:r>
      <w:r>
        <w:t xml:space="preserve"> The forecast was presented to the Bank of Israel Monetary Committee on </w:t>
      </w:r>
      <w:r w:rsidR="00C55EB9">
        <w:t>October 2</w:t>
      </w:r>
      <w:r>
        <w:t xml:space="preserve">, 2022, prior to the decision on the interest rate made on </w:t>
      </w:r>
      <w:r w:rsidR="00C55EB9">
        <w:t>October 3</w:t>
      </w:r>
      <w:r>
        <w:t>, 2022</w:t>
      </w:r>
      <w:r w:rsidR="00D81515">
        <w:t>.</w:t>
      </w:r>
    </w:p>
  </w:footnote>
  <w:footnote w:id="2">
    <w:p w14:paraId="03D4F331" w14:textId="77777777" w:rsidR="004675C1" w:rsidRDefault="004675C1" w:rsidP="000C3AA1">
      <w:pPr>
        <w:bidi w:val="0"/>
        <w:jc w:val="both"/>
      </w:pPr>
      <w:r w:rsidRPr="002E48F4">
        <w:rPr>
          <w:rStyle w:val="ac"/>
          <w:sz w:val="20"/>
          <w:szCs w:val="20"/>
        </w:rPr>
        <w:footnoteRef/>
      </w:r>
      <w:r>
        <w:t xml:space="preserve"> </w:t>
      </w:r>
      <w:r w:rsidRPr="00237ACD">
        <w:rPr>
          <w:sz w:val="20"/>
          <w:szCs w:val="20"/>
        </w:rPr>
        <w:t xml:space="preserve">A Discussion Paper on the </w:t>
      </w:r>
      <w:r>
        <w:rPr>
          <w:sz w:val="20"/>
          <w:szCs w:val="20"/>
        </w:rPr>
        <w:t xml:space="preserve">DSGE </w:t>
      </w:r>
      <w:r w:rsidRPr="00237ACD">
        <w:rPr>
          <w:sz w:val="20"/>
          <w:szCs w:val="20"/>
        </w:rPr>
        <w:t xml:space="preserve">model </w:t>
      </w:r>
      <w:r>
        <w:rPr>
          <w:sz w:val="20"/>
          <w:szCs w:val="20"/>
        </w:rPr>
        <w:t>is available on the Bank of Israel website, under the title: “</w:t>
      </w:r>
      <w:r w:rsidRPr="00237ACD">
        <w:rPr>
          <w:sz w:val="20"/>
          <w:szCs w:val="20"/>
        </w:rPr>
        <w:t>MOISE: A DSGE Model for the Israeli Econom</w:t>
      </w:r>
      <w:r>
        <w:rPr>
          <w:sz w:val="20"/>
          <w:szCs w:val="20"/>
        </w:rPr>
        <w:t>y,” Discussion Paper No. 2012.06</w:t>
      </w:r>
      <w:r w:rsidRPr="00237ACD">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C5DC" w14:textId="77777777" w:rsidR="008C53CA" w:rsidRDefault="008C53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5F23" w14:textId="77777777" w:rsidR="008C53CA" w:rsidRDefault="008C53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1F7F" w14:textId="77777777" w:rsidR="008C53CA" w:rsidRDefault="008C53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11B9"/>
    <w:rsid w:val="0000410B"/>
    <w:rsid w:val="000062AB"/>
    <w:rsid w:val="00006C8A"/>
    <w:rsid w:val="00007CCB"/>
    <w:rsid w:val="00012DBD"/>
    <w:rsid w:val="000212CE"/>
    <w:rsid w:val="00021A8C"/>
    <w:rsid w:val="0002620A"/>
    <w:rsid w:val="000268BA"/>
    <w:rsid w:val="00030DCE"/>
    <w:rsid w:val="00036F1B"/>
    <w:rsid w:val="000379D4"/>
    <w:rsid w:val="0004160A"/>
    <w:rsid w:val="0004176B"/>
    <w:rsid w:val="00044F2F"/>
    <w:rsid w:val="00045015"/>
    <w:rsid w:val="00046EE6"/>
    <w:rsid w:val="000502B3"/>
    <w:rsid w:val="00050365"/>
    <w:rsid w:val="00060F00"/>
    <w:rsid w:val="00061D28"/>
    <w:rsid w:val="00064736"/>
    <w:rsid w:val="0006649E"/>
    <w:rsid w:val="00075533"/>
    <w:rsid w:val="00077136"/>
    <w:rsid w:val="00080851"/>
    <w:rsid w:val="000821AD"/>
    <w:rsid w:val="00083E17"/>
    <w:rsid w:val="00087BFF"/>
    <w:rsid w:val="000905F1"/>
    <w:rsid w:val="00090662"/>
    <w:rsid w:val="00090AA3"/>
    <w:rsid w:val="00091EE0"/>
    <w:rsid w:val="00094471"/>
    <w:rsid w:val="00095B99"/>
    <w:rsid w:val="00095D99"/>
    <w:rsid w:val="000975CA"/>
    <w:rsid w:val="00097B7A"/>
    <w:rsid w:val="000A0CDA"/>
    <w:rsid w:val="000A3230"/>
    <w:rsid w:val="000A5761"/>
    <w:rsid w:val="000B2298"/>
    <w:rsid w:val="000B2D7E"/>
    <w:rsid w:val="000B566D"/>
    <w:rsid w:val="000C3AA1"/>
    <w:rsid w:val="000C4899"/>
    <w:rsid w:val="000C7FAC"/>
    <w:rsid w:val="000D5367"/>
    <w:rsid w:val="000E0ABD"/>
    <w:rsid w:val="000E5247"/>
    <w:rsid w:val="000E5777"/>
    <w:rsid w:val="000E72C6"/>
    <w:rsid w:val="000F2234"/>
    <w:rsid w:val="000F3385"/>
    <w:rsid w:val="000F36F2"/>
    <w:rsid w:val="000F48F1"/>
    <w:rsid w:val="000F6AA3"/>
    <w:rsid w:val="0010114F"/>
    <w:rsid w:val="00101C11"/>
    <w:rsid w:val="001031DD"/>
    <w:rsid w:val="00110005"/>
    <w:rsid w:val="00110630"/>
    <w:rsid w:val="00110CD6"/>
    <w:rsid w:val="00113C06"/>
    <w:rsid w:val="0011502F"/>
    <w:rsid w:val="0011529C"/>
    <w:rsid w:val="001156D4"/>
    <w:rsid w:val="0011627D"/>
    <w:rsid w:val="00117D18"/>
    <w:rsid w:val="001222A5"/>
    <w:rsid w:val="001222BC"/>
    <w:rsid w:val="00122462"/>
    <w:rsid w:val="00125698"/>
    <w:rsid w:val="001315CA"/>
    <w:rsid w:val="00131A6A"/>
    <w:rsid w:val="00134B36"/>
    <w:rsid w:val="00136000"/>
    <w:rsid w:val="00136B68"/>
    <w:rsid w:val="00136F62"/>
    <w:rsid w:val="00144D12"/>
    <w:rsid w:val="00151EC6"/>
    <w:rsid w:val="00153D2D"/>
    <w:rsid w:val="0016240A"/>
    <w:rsid w:val="001626C6"/>
    <w:rsid w:val="0016380B"/>
    <w:rsid w:val="001643BB"/>
    <w:rsid w:val="001723D2"/>
    <w:rsid w:val="00172E4F"/>
    <w:rsid w:val="00176F0B"/>
    <w:rsid w:val="0018085C"/>
    <w:rsid w:val="001914F7"/>
    <w:rsid w:val="00191E60"/>
    <w:rsid w:val="00194094"/>
    <w:rsid w:val="001A27EF"/>
    <w:rsid w:val="001A39E4"/>
    <w:rsid w:val="001A4262"/>
    <w:rsid w:val="001A44B1"/>
    <w:rsid w:val="001A5342"/>
    <w:rsid w:val="001A794B"/>
    <w:rsid w:val="001A7A07"/>
    <w:rsid w:val="001B28EA"/>
    <w:rsid w:val="001B362F"/>
    <w:rsid w:val="001B7045"/>
    <w:rsid w:val="001B7D9D"/>
    <w:rsid w:val="001C2571"/>
    <w:rsid w:val="001C2680"/>
    <w:rsid w:val="001C3544"/>
    <w:rsid w:val="001C55F7"/>
    <w:rsid w:val="001D21D1"/>
    <w:rsid w:val="001D76F5"/>
    <w:rsid w:val="001E0DAC"/>
    <w:rsid w:val="001E1311"/>
    <w:rsid w:val="001E52BF"/>
    <w:rsid w:val="001E5C9F"/>
    <w:rsid w:val="001F2F2F"/>
    <w:rsid w:val="001F390D"/>
    <w:rsid w:val="001F57FB"/>
    <w:rsid w:val="00200E9B"/>
    <w:rsid w:val="00202CCB"/>
    <w:rsid w:val="00205E52"/>
    <w:rsid w:val="00206BD3"/>
    <w:rsid w:val="00207522"/>
    <w:rsid w:val="0021167C"/>
    <w:rsid w:val="00211EF7"/>
    <w:rsid w:val="00213E62"/>
    <w:rsid w:val="00221B38"/>
    <w:rsid w:val="00225FAA"/>
    <w:rsid w:val="002260C5"/>
    <w:rsid w:val="0023300D"/>
    <w:rsid w:val="00233A26"/>
    <w:rsid w:val="002345E4"/>
    <w:rsid w:val="00234A33"/>
    <w:rsid w:val="00235170"/>
    <w:rsid w:val="0023631B"/>
    <w:rsid w:val="002363D1"/>
    <w:rsid w:val="00236603"/>
    <w:rsid w:val="00241E66"/>
    <w:rsid w:val="0024200C"/>
    <w:rsid w:val="0024299E"/>
    <w:rsid w:val="0024454F"/>
    <w:rsid w:val="0024467B"/>
    <w:rsid w:val="002452B1"/>
    <w:rsid w:val="002461FF"/>
    <w:rsid w:val="00252B31"/>
    <w:rsid w:val="002558D9"/>
    <w:rsid w:val="00256A10"/>
    <w:rsid w:val="00256BCE"/>
    <w:rsid w:val="00257892"/>
    <w:rsid w:val="002621A5"/>
    <w:rsid w:val="00262227"/>
    <w:rsid w:val="00262C88"/>
    <w:rsid w:val="00266083"/>
    <w:rsid w:val="0026626A"/>
    <w:rsid w:val="00270252"/>
    <w:rsid w:val="00273C4C"/>
    <w:rsid w:val="00275A36"/>
    <w:rsid w:val="00282853"/>
    <w:rsid w:val="00291398"/>
    <w:rsid w:val="002945D2"/>
    <w:rsid w:val="002966D2"/>
    <w:rsid w:val="002A1839"/>
    <w:rsid w:val="002A3BC1"/>
    <w:rsid w:val="002A4261"/>
    <w:rsid w:val="002A5FE8"/>
    <w:rsid w:val="002B1C60"/>
    <w:rsid w:val="002B2C54"/>
    <w:rsid w:val="002C0AF6"/>
    <w:rsid w:val="002C67C7"/>
    <w:rsid w:val="002C74F7"/>
    <w:rsid w:val="002D152A"/>
    <w:rsid w:val="002D50CF"/>
    <w:rsid w:val="002E1A22"/>
    <w:rsid w:val="002E2BE2"/>
    <w:rsid w:val="002E37F1"/>
    <w:rsid w:val="002E3EE1"/>
    <w:rsid w:val="002E616F"/>
    <w:rsid w:val="002F0472"/>
    <w:rsid w:val="002F70E9"/>
    <w:rsid w:val="0030038B"/>
    <w:rsid w:val="00300699"/>
    <w:rsid w:val="00302E2F"/>
    <w:rsid w:val="00304398"/>
    <w:rsid w:val="00304BF1"/>
    <w:rsid w:val="003071BC"/>
    <w:rsid w:val="00307FE2"/>
    <w:rsid w:val="0031335E"/>
    <w:rsid w:val="00314260"/>
    <w:rsid w:val="00314D4E"/>
    <w:rsid w:val="00320A7D"/>
    <w:rsid w:val="00322A23"/>
    <w:rsid w:val="00324468"/>
    <w:rsid w:val="00326605"/>
    <w:rsid w:val="00326B5C"/>
    <w:rsid w:val="00327BB0"/>
    <w:rsid w:val="00333B0C"/>
    <w:rsid w:val="003366FD"/>
    <w:rsid w:val="003379D1"/>
    <w:rsid w:val="003415C9"/>
    <w:rsid w:val="0034489A"/>
    <w:rsid w:val="00353C9A"/>
    <w:rsid w:val="00363628"/>
    <w:rsid w:val="003638DE"/>
    <w:rsid w:val="0036663A"/>
    <w:rsid w:val="00371244"/>
    <w:rsid w:val="00374016"/>
    <w:rsid w:val="0037682D"/>
    <w:rsid w:val="00382474"/>
    <w:rsid w:val="0038300A"/>
    <w:rsid w:val="00391040"/>
    <w:rsid w:val="003936A5"/>
    <w:rsid w:val="00395ECA"/>
    <w:rsid w:val="003979D7"/>
    <w:rsid w:val="003A16A5"/>
    <w:rsid w:val="003A2BCF"/>
    <w:rsid w:val="003A6075"/>
    <w:rsid w:val="003A6415"/>
    <w:rsid w:val="003B0F6C"/>
    <w:rsid w:val="003B1806"/>
    <w:rsid w:val="003B4955"/>
    <w:rsid w:val="003B5BA1"/>
    <w:rsid w:val="003B6E09"/>
    <w:rsid w:val="003C3A13"/>
    <w:rsid w:val="003C3A73"/>
    <w:rsid w:val="003C51B3"/>
    <w:rsid w:val="003C7BEB"/>
    <w:rsid w:val="003C7C25"/>
    <w:rsid w:val="003D3BC1"/>
    <w:rsid w:val="003D3C91"/>
    <w:rsid w:val="003D71BE"/>
    <w:rsid w:val="003E08B6"/>
    <w:rsid w:val="003E266A"/>
    <w:rsid w:val="003E5DCB"/>
    <w:rsid w:val="003F0CAA"/>
    <w:rsid w:val="003F1F24"/>
    <w:rsid w:val="003F33D5"/>
    <w:rsid w:val="003F40AA"/>
    <w:rsid w:val="003F5174"/>
    <w:rsid w:val="00404ACD"/>
    <w:rsid w:val="00407E88"/>
    <w:rsid w:val="00410736"/>
    <w:rsid w:val="00413594"/>
    <w:rsid w:val="00422170"/>
    <w:rsid w:val="0042257A"/>
    <w:rsid w:val="00422A8D"/>
    <w:rsid w:val="00423EEF"/>
    <w:rsid w:val="004246B5"/>
    <w:rsid w:val="004247E4"/>
    <w:rsid w:val="00425B3F"/>
    <w:rsid w:val="00425D38"/>
    <w:rsid w:val="00431AC5"/>
    <w:rsid w:val="00432907"/>
    <w:rsid w:val="00432F14"/>
    <w:rsid w:val="00434CA0"/>
    <w:rsid w:val="00435505"/>
    <w:rsid w:val="00435DE5"/>
    <w:rsid w:val="00436407"/>
    <w:rsid w:val="00442670"/>
    <w:rsid w:val="0044397B"/>
    <w:rsid w:val="00446B32"/>
    <w:rsid w:val="004501E8"/>
    <w:rsid w:val="00453D2B"/>
    <w:rsid w:val="00454090"/>
    <w:rsid w:val="004548EA"/>
    <w:rsid w:val="00456CAD"/>
    <w:rsid w:val="00460495"/>
    <w:rsid w:val="004634B5"/>
    <w:rsid w:val="00463684"/>
    <w:rsid w:val="004654C3"/>
    <w:rsid w:val="0046610D"/>
    <w:rsid w:val="00466491"/>
    <w:rsid w:val="00466E45"/>
    <w:rsid w:val="00467167"/>
    <w:rsid w:val="004675C1"/>
    <w:rsid w:val="004706AE"/>
    <w:rsid w:val="00470DAC"/>
    <w:rsid w:val="0047600F"/>
    <w:rsid w:val="00477EF7"/>
    <w:rsid w:val="0048096C"/>
    <w:rsid w:val="00480B23"/>
    <w:rsid w:val="004850D5"/>
    <w:rsid w:val="004902DA"/>
    <w:rsid w:val="00490AF3"/>
    <w:rsid w:val="0049210C"/>
    <w:rsid w:val="0049358B"/>
    <w:rsid w:val="00496D92"/>
    <w:rsid w:val="004975C8"/>
    <w:rsid w:val="004A0284"/>
    <w:rsid w:val="004A0C32"/>
    <w:rsid w:val="004A4413"/>
    <w:rsid w:val="004A6595"/>
    <w:rsid w:val="004B16A2"/>
    <w:rsid w:val="004B3835"/>
    <w:rsid w:val="004B39F5"/>
    <w:rsid w:val="004B415E"/>
    <w:rsid w:val="004B687A"/>
    <w:rsid w:val="004C06F2"/>
    <w:rsid w:val="004C2B26"/>
    <w:rsid w:val="004C64DB"/>
    <w:rsid w:val="004C6D8F"/>
    <w:rsid w:val="004C77DF"/>
    <w:rsid w:val="004D3688"/>
    <w:rsid w:val="004D5A93"/>
    <w:rsid w:val="004E0BC8"/>
    <w:rsid w:val="004E1A6E"/>
    <w:rsid w:val="004E439A"/>
    <w:rsid w:val="004E4EDE"/>
    <w:rsid w:val="004E71DD"/>
    <w:rsid w:val="004F6E9A"/>
    <w:rsid w:val="004F6FA6"/>
    <w:rsid w:val="004F745B"/>
    <w:rsid w:val="004F764E"/>
    <w:rsid w:val="00500C71"/>
    <w:rsid w:val="00501059"/>
    <w:rsid w:val="00502A88"/>
    <w:rsid w:val="005079F6"/>
    <w:rsid w:val="00511532"/>
    <w:rsid w:val="005138D9"/>
    <w:rsid w:val="00513EBA"/>
    <w:rsid w:val="005145B3"/>
    <w:rsid w:val="00514812"/>
    <w:rsid w:val="00522485"/>
    <w:rsid w:val="005259C8"/>
    <w:rsid w:val="00526A3D"/>
    <w:rsid w:val="00527802"/>
    <w:rsid w:val="00530763"/>
    <w:rsid w:val="00532260"/>
    <w:rsid w:val="005338C6"/>
    <w:rsid w:val="005353CA"/>
    <w:rsid w:val="005371B8"/>
    <w:rsid w:val="00537D44"/>
    <w:rsid w:val="00541457"/>
    <w:rsid w:val="00541F01"/>
    <w:rsid w:val="005430AC"/>
    <w:rsid w:val="005462CC"/>
    <w:rsid w:val="00550DB9"/>
    <w:rsid w:val="00553BFE"/>
    <w:rsid w:val="005608BA"/>
    <w:rsid w:val="005650EE"/>
    <w:rsid w:val="00566CFA"/>
    <w:rsid w:val="00567BBF"/>
    <w:rsid w:val="00567BD9"/>
    <w:rsid w:val="00571311"/>
    <w:rsid w:val="005715D5"/>
    <w:rsid w:val="005746E6"/>
    <w:rsid w:val="0057714E"/>
    <w:rsid w:val="005778CC"/>
    <w:rsid w:val="00586880"/>
    <w:rsid w:val="00591B6F"/>
    <w:rsid w:val="0059526F"/>
    <w:rsid w:val="0059707C"/>
    <w:rsid w:val="005A4028"/>
    <w:rsid w:val="005A6809"/>
    <w:rsid w:val="005A7EDF"/>
    <w:rsid w:val="005B2620"/>
    <w:rsid w:val="005B6C8C"/>
    <w:rsid w:val="005C2BD4"/>
    <w:rsid w:val="005C5507"/>
    <w:rsid w:val="005C636E"/>
    <w:rsid w:val="005C7192"/>
    <w:rsid w:val="005C76FE"/>
    <w:rsid w:val="005D38C9"/>
    <w:rsid w:val="005D5BC7"/>
    <w:rsid w:val="005D6EBF"/>
    <w:rsid w:val="005D773A"/>
    <w:rsid w:val="005D7D3B"/>
    <w:rsid w:val="005E0237"/>
    <w:rsid w:val="005E18E9"/>
    <w:rsid w:val="005E6AD1"/>
    <w:rsid w:val="005F2B24"/>
    <w:rsid w:val="005F6371"/>
    <w:rsid w:val="005F638E"/>
    <w:rsid w:val="005F6830"/>
    <w:rsid w:val="006001D0"/>
    <w:rsid w:val="0060705B"/>
    <w:rsid w:val="006100B7"/>
    <w:rsid w:val="0061045E"/>
    <w:rsid w:val="00611D9B"/>
    <w:rsid w:val="00614BA6"/>
    <w:rsid w:val="00621127"/>
    <w:rsid w:val="006220D7"/>
    <w:rsid w:val="006264EC"/>
    <w:rsid w:val="00631795"/>
    <w:rsid w:val="00632EEB"/>
    <w:rsid w:val="00637B9C"/>
    <w:rsid w:val="006418B2"/>
    <w:rsid w:val="00641EA5"/>
    <w:rsid w:val="006476B5"/>
    <w:rsid w:val="00651E7C"/>
    <w:rsid w:val="0065321D"/>
    <w:rsid w:val="00653705"/>
    <w:rsid w:val="00654B16"/>
    <w:rsid w:val="00655AFC"/>
    <w:rsid w:val="0065681F"/>
    <w:rsid w:val="00657FD2"/>
    <w:rsid w:val="0066009C"/>
    <w:rsid w:val="00664763"/>
    <w:rsid w:val="006648AB"/>
    <w:rsid w:val="00667BE4"/>
    <w:rsid w:val="00670CEE"/>
    <w:rsid w:val="00675998"/>
    <w:rsid w:val="00677FE0"/>
    <w:rsid w:val="00680EDD"/>
    <w:rsid w:val="0068229E"/>
    <w:rsid w:val="00682563"/>
    <w:rsid w:val="00686EBE"/>
    <w:rsid w:val="00690F17"/>
    <w:rsid w:val="0069716E"/>
    <w:rsid w:val="00697916"/>
    <w:rsid w:val="006979F4"/>
    <w:rsid w:val="006A1A74"/>
    <w:rsid w:val="006A647D"/>
    <w:rsid w:val="006A71E3"/>
    <w:rsid w:val="006A7E98"/>
    <w:rsid w:val="006B2670"/>
    <w:rsid w:val="006B2EE9"/>
    <w:rsid w:val="006B64B8"/>
    <w:rsid w:val="006C0D25"/>
    <w:rsid w:val="006C2D83"/>
    <w:rsid w:val="006C48FC"/>
    <w:rsid w:val="006C6293"/>
    <w:rsid w:val="006D7526"/>
    <w:rsid w:val="006D7BD2"/>
    <w:rsid w:val="006E0D2E"/>
    <w:rsid w:val="006E2552"/>
    <w:rsid w:val="006F28D8"/>
    <w:rsid w:val="006F3960"/>
    <w:rsid w:val="006F3A76"/>
    <w:rsid w:val="006F513A"/>
    <w:rsid w:val="00700196"/>
    <w:rsid w:val="007002DD"/>
    <w:rsid w:val="00705A5F"/>
    <w:rsid w:val="00705C0E"/>
    <w:rsid w:val="007065E7"/>
    <w:rsid w:val="00715AB2"/>
    <w:rsid w:val="00716661"/>
    <w:rsid w:val="00717133"/>
    <w:rsid w:val="007179F2"/>
    <w:rsid w:val="00725CB0"/>
    <w:rsid w:val="00732673"/>
    <w:rsid w:val="00733360"/>
    <w:rsid w:val="00734E01"/>
    <w:rsid w:val="00735B53"/>
    <w:rsid w:val="00736708"/>
    <w:rsid w:val="00736C6C"/>
    <w:rsid w:val="00740773"/>
    <w:rsid w:val="00746090"/>
    <w:rsid w:val="00756CD9"/>
    <w:rsid w:val="00762E0A"/>
    <w:rsid w:val="00763872"/>
    <w:rsid w:val="007638FC"/>
    <w:rsid w:val="00763946"/>
    <w:rsid w:val="00763FAB"/>
    <w:rsid w:val="007669FC"/>
    <w:rsid w:val="00766FCF"/>
    <w:rsid w:val="007674CC"/>
    <w:rsid w:val="00767CA2"/>
    <w:rsid w:val="0077284B"/>
    <w:rsid w:val="007864A7"/>
    <w:rsid w:val="007871AC"/>
    <w:rsid w:val="00790C99"/>
    <w:rsid w:val="007953DF"/>
    <w:rsid w:val="007A3D38"/>
    <w:rsid w:val="007A4B17"/>
    <w:rsid w:val="007A782B"/>
    <w:rsid w:val="007B3087"/>
    <w:rsid w:val="007B40F4"/>
    <w:rsid w:val="007B4AFB"/>
    <w:rsid w:val="007B7F32"/>
    <w:rsid w:val="007C0339"/>
    <w:rsid w:val="007C4EFD"/>
    <w:rsid w:val="007D04C3"/>
    <w:rsid w:val="007D063F"/>
    <w:rsid w:val="007D1DF5"/>
    <w:rsid w:val="007D4F49"/>
    <w:rsid w:val="007D509C"/>
    <w:rsid w:val="007D70EA"/>
    <w:rsid w:val="007E0AB6"/>
    <w:rsid w:val="007E443D"/>
    <w:rsid w:val="007E523C"/>
    <w:rsid w:val="007F2871"/>
    <w:rsid w:val="007F3C4C"/>
    <w:rsid w:val="008009B5"/>
    <w:rsid w:val="00802B46"/>
    <w:rsid w:val="00803944"/>
    <w:rsid w:val="00804864"/>
    <w:rsid w:val="008065C4"/>
    <w:rsid w:val="00813118"/>
    <w:rsid w:val="0081390B"/>
    <w:rsid w:val="00814623"/>
    <w:rsid w:val="00814E81"/>
    <w:rsid w:val="0081703A"/>
    <w:rsid w:val="0082256B"/>
    <w:rsid w:val="00823618"/>
    <w:rsid w:val="00826421"/>
    <w:rsid w:val="008277E1"/>
    <w:rsid w:val="008305AA"/>
    <w:rsid w:val="00832B9D"/>
    <w:rsid w:val="00833768"/>
    <w:rsid w:val="00834D8E"/>
    <w:rsid w:val="00834DA7"/>
    <w:rsid w:val="00835712"/>
    <w:rsid w:val="00836E60"/>
    <w:rsid w:val="00840221"/>
    <w:rsid w:val="0084185E"/>
    <w:rsid w:val="00844652"/>
    <w:rsid w:val="0084562F"/>
    <w:rsid w:val="00845C66"/>
    <w:rsid w:val="0085644E"/>
    <w:rsid w:val="00860246"/>
    <w:rsid w:val="00861F13"/>
    <w:rsid w:val="0086369E"/>
    <w:rsid w:val="00863B19"/>
    <w:rsid w:val="00864D44"/>
    <w:rsid w:val="0086708B"/>
    <w:rsid w:val="00870412"/>
    <w:rsid w:val="008707BC"/>
    <w:rsid w:val="0087184F"/>
    <w:rsid w:val="00871E07"/>
    <w:rsid w:val="00876B2F"/>
    <w:rsid w:val="008823BA"/>
    <w:rsid w:val="00883D6F"/>
    <w:rsid w:val="00886302"/>
    <w:rsid w:val="00890A34"/>
    <w:rsid w:val="00891E50"/>
    <w:rsid w:val="00892A41"/>
    <w:rsid w:val="0089451E"/>
    <w:rsid w:val="008954B2"/>
    <w:rsid w:val="0089777D"/>
    <w:rsid w:val="008A08E9"/>
    <w:rsid w:val="008A0E53"/>
    <w:rsid w:val="008B34A2"/>
    <w:rsid w:val="008B48AF"/>
    <w:rsid w:val="008B6821"/>
    <w:rsid w:val="008B6A6E"/>
    <w:rsid w:val="008C1D94"/>
    <w:rsid w:val="008C53CA"/>
    <w:rsid w:val="008C5D59"/>
    <w:rsid w:val="008C5F5F"/>
    <w:rsid w:val="008C68E4"/>
    <w:rsid w:val="008C7898"/>
    <w:rsid w:val="008D3638"/>
    <w:rsid w:val="008D65F1"/>
    <w:rsid w:val="008D6A2E"/>
    <w:rsid w:val="008E00AA"/>
    <w:rsid w:val="008E27BC"/>
    <w:rsid w:val="008E5126"/>
    <w:rsid w:val="008E6FFD"/>
    <w:rsid w:val="008E7C2C"/>
    <w:rsid w:val="008F2323"/>
    <w:rsid w:val="008F5DD7"/>
    <w:rsid w:val="00900D37"/>
    <w:rsid w:val="00905330"/>
    <w:rsid w:val="009120C7"/>
    <w:rsid w:val="00912F53"/>
    <w:rsid w:val="0091354C"/>
    <w:rsid w:val="00914404"/>
    <w:rsid w:val="00915695"/>
    <w:rsid w:val="00921594"/>
    <w:rsid w:val="00922843"/>
    <w:rsid w:val="00924F7B"/>
    <w:rsid w:val="00931604"/>
    <w:rsid w:val="009335C7"/>
    <w:rsid w:val="009336FC"/>
    <w:rsid w:val="00937DAA"/>
    <w:rsid w:val="00942F47"/>
    <w:rsid w:val="00944B53"/>
    <w:rsid w:val="00947E8A"/>
    <w:rsid w:val="009523E0"/>
    <w:rsid w:val="009532A5"/>
    <w:rsid w:val="009561DE"/>
    <w:rsid w:val="00957029"/>
    <w:rsid w:val="009571F6"/>
    <w:rsid w:val="009638C2"/>
    <w:rsid w:val="00964BF9"/>
    <w:rsid w:val="00966BA2"/>
    <w:rsid w:val="00966BA9"/>
    <w:rsid w:val="00970D63"/>
    <w:rsid w:val="00974091"/>
    <w:rsid w:val="0097503F"/>
    <w:rsid w:val="009816FB"/>
    <w:rsid w:val="00982F32"/>
    <w:rsid w:val="00986A17"/>
    <w:rsid w:val="00987A72"/>
    <w:rsid w:val="00987DC0"/>
    <w:rsid w:val="00990177"/>
    <w:rsid w:val="00995148"/>
    <w:rsid w:val="00996AA8"/>
    <w:rsid w:val="009A24EF"/>
    <w:rsid w:val="009A5B34"/>
    <w:rsid w:val="009A7496"/>
    <w:rsid w:val="009B2FDE"/>
    <w:rsid w:val="009B66F6"/>
    <w:rsid w:val="009B6B0B"/>
    <w:rsid w:val="009C23BF"/>
    <w:rsid w:val="009C52DE"/>
    <w:rsid w:val="009C5388"/>
    <w:rsid w:val="009C7987"/>
    <w:rsid w:val="009D0346"/>
    <w:rsid w:val="009D0EE8"/>
    <w:rsid w:val="009D18E9"/>
    <w:rsid w:val="009D204E"/>
    <w:rsid w:val="009D3DC3"/>
    <w:rsid w:val="009D7FDA"/>
    <w:rsid w:val="009E0E54"/>
    <w:rsid w:val="009E1313"/>
    <w:rsid w:val="009E1656"/>
    <w:rsid w:val="009E3036"/>
    <w:rsid w:val="009E690A"/>
    <w:rsid w:val="009E7E21"/>
    <w:rsid w:val="009F17F3"/>
    <w:rsid w:val="009F1F95"/>
    <w:rsid w:val="009F20F0"/>
    <w:rsid w:val="009F2CC9"/>
    <w:rsid w:val="009F4404"/>
    <w:rsid w:val="009F6812"/>
    <w:rsid w:val="009F6F89"/>
    <w:rsid w:val="009F7322"/>
    <w:rsid w:val="009F7CC0"/>
    <w:rsid w:val="00A0124F"/>
    <w:rsid w:val="00A02BD8"/>
    <w:rsid w:val="00A034A0"/>
    <w:rsid w:val="00A04ADE"/>
    <w:rsid w:val="00A05E9D"/>
    <w:rsid w:val="00A10196"/>
    <w:rsid w:val="00A11C88"/>
    <w:rsid w:val="00A1285C"/>
    <w:rsid w:val="00A12CDD"/>
    <w:rsid w:val="00A168E3"/>
    <w:rsid w:val="00A16ACA"/>
    <w:rsid w:val="00A21D01"/>
    <w:rsid w:val="00A22607"/>
    <w:rsid w:val="00A22DC8"/>
    <w:rsid w:val="00A23F35"/>
    <w:rsid w:val="00A259DD"/>
    <w:rsid w:val="00A2696D"/>
    <w:rsid w:val="00A30AC5"/>
    <w:rsid w:val="00A31317"/>
    <w:rsid w:val="00A3378A"/>
    <w:rsid w:val="00A346A5"/>
    <w:rsid w:val="00A379B9"/>
    <w:rsid w:val="00A43FFF"/>
    <w:rsid w:val="00A47365"/>
    <w:rsid w:val="00A50C95"/>
    <w:rsid w:val="00A51500"/>
    <w:rsid w:val="00A51FEB"/>
    <w:rsid w:val="00A53FEA"/>
    <w:rsid w:val="00A602A3"/>
    <w:rsid w:val="00A651A5"/>
    <w:rsid w:val="00A65273"/>
    <w:rsid w:val="00A669EF"/>
    <w:rsid w:val="00A7026F"/>
    <w:rsid w:val="00A73E62"/>
    <w:rsid w:val="00A749D0"/>
    <w:rsid w:val="00A756DD"/>
    <w:rsid w:val="00A77F12"/>
    <w:rsid w:val="00A80A37"/>
    <w:rsid w:val="00A81DEF"/>
    <w:rsid w:val="00A834AE"/>
    <w:rsid w:val="00A83E54"/>
    <w:rsid w:val="00A872A7"/>
    <w:rsid w:val="00A9061B"/>
    <w:rsid w:val="00A9134F"/>
    <w:rsid w:val="00A93C19"/>
    <w:rsid w:val="00A9470A"/>
    <w:rsid w:val="00A94ED2"/>
    <w:rsid w:val="00A954C5"/>
    <w:rsid w:val="00A962EB"/>
    <w:rsid w:val="00A9787B"/>
    <w:rsid w:val="00AA01B7"/>
    <w:rsid w:val="00AA34D9"/>
    <w:rsid w:val="00AA5B2F"/>
    <w:rsid w:val="00AA6475"/>
    <w:rsid w:val="00AB183B"/>
    <w:rsid w:val="00AB32FD"/>
    <w:rsid w:val="00AB4B8C"/>
    <w:rsid w:val="00AB4FC8"/>
    <w:rsid w:val="00AB5DE3"/>
    <w:rsid w:val="00AB6192"/>
    <w:rsid w:val="00AB635D"/>
    <w:rsid w:val="00AB7494"/>
    <w:rsid w:val="00AC3AB9"/>
    <w:rsid w:val="00AC4199"/>
    <w:rsid w:val="00AD16FC"/>
    <w:rsid w:val="00AD1EB9"/>
    <w:rsid w:val="00AD21E2"/>
    <w:rsid w:val="00AD2662"/>
    <w:rsid w:val="00AD2C7B"/>
    <w:rsid w:val="00AD3BF0"/>
    <w:rsid w:val="00AD43AF"/>
    <w:rsid w:val="00AD4C9B"/>
    <w:rsid w:val="00AD5C82"/>
    <w:rsid w:val="00AE0ADC"/>
    <w:rsid w:val="00AE186F"/>
    <w:rsid w:val="00AE4B42"/>
    <w:rsid w:val="00AE552C"/>
    <w:rsid w:val="00AF4517"/>
    <w:rsid w:val="00B1173D"/>
    <w:rsid w:val="00B12495"/>
    <w:rsid w:val="00B13C35"/>
    <w:rsid w:val="00B22B39"/>
    <w:rsid w:val="00B2349C"/>
    <w:rsid w:val="00B32D05"/>
    <w:rsid w:val="00B3457B"/>
    <w:rsid w:val="00B34D7A"/>
    <w:rsid w:val="00B37CA4"/>
    <w:rsid w:val="00B42DBC"/>
    <w:rsid w:val="00B432BB"/>
    <w:rsid w:val="00B44B19"/>
    <w:rsid w:val="00B509C5"/>
    <w:rsid w:val="00B50BA7"/>
    <w:rsid w:val="00B525A8"/>
    <w:rsid w:val="00B540ED"/>
    <w:rsid w:val="00B555ED"/>
    <w:rsid w:val="00B61879"/>
    <w:rsid w:val="00B64E48"/>
    <w:rsid w:val="00B70EB0"/>
    <w:rsid w:val="00B766FF"/>
    <w:rsid w:val="00B76C3E"/>
    <w:rsid w:val="00B806EB"/>
    <w:rsid w:val="00B8089B"/>
    <w:rsid w:val="00B82756"/>
    <w:rsid w:val="00B836CA"/>
    <w:rsid w:val="00B904FF"/>
    <w:rsid w:val="00B9210D"/>
    <w:rsid w:val="00B94616"/>
    <w:rsid w:val="00B95044"/>
    <w:rsid w:val="00B95850"/>
    <w:rsid w:val="00B97AB5"/>
    <w:rsid w:val="00B97C6C"/>
    <w:rsid w:val="00BA041B"/>
    <w:rsid w:val="00BA2F5F"/>
    <w:rsid w:val="00BA4EBD"/>
    <w:rsid w:val="00BA6033"/>
    <w:rsid w:val="00BB6223"/>
    <w:rsid w:val="00BB64BE"/>
    <w:rsid w:val="00BB6822"/>
    <w:rsid w:val="00BC385E"/>
    <w:rsid w:val="00BC423A"/>
    <w:rsid w:val="00BC65EF"/>
    <w:rsid w:val="00BD0469"/>
    <w:rsid w:val="00BD084F"/>
    <w:rsid w:val="00BD179B"/>
    <w:rsid w:val="00BD2F5F"/>
    <w:rsid w:val="00BD37A9"/>
    <w:rsid w:val="00BD4CA3"/>
    <w:rsid w:val="00BD5A5E"/>
    <w:rsid w:val="00BD7343"/>
    <w:rsid w:val="00BE2C29"/>
    <w:rsid w:val="00BE556B"/>
    <w:rsid w:val="00BE6943"/>
    <w:rsid w:val="00BE6CF7"/>
    <w:rsid w:val="00BE7467"/>
    <w:rsid w:val="00BE7EE2"/>
    <w:rsid w:val="00BF0E02"/>
    <w:rsid w:val="00BF22DC"/>
    <w:rsid w:val="00BF2375"/>
    <w:rsid w:val="00C018C7"/>
    <w:rsid w:val="00C031F8"/>
    <w:rsid w:val="00C1167E"/>
    <w:rsid w:val="00C1349C"/>
    <w:rsid w:val="00C21DB7"/>
    <w:rsid w:val="00C22025"/>
    <w:rsid w:val="00C231D1"/>
    <w:rsid w:val="00C25E14"/>
    <w:rsid w:val="00C27023"/>
    <w:rsid w:val="00C27C5C"/>
    <w:rsid w:val="00C31FC1"/>
    <w:rsid w:val="00C3415C"/>
    <w:rsid w:val="00C34927"/>
    <w:rsid w:val="00C378E2"/>
    <w:rsid w:val="00C401A1"/>
    <w:rsid w:val="00C40235"/>
    <w:rsid w:val="00C40927"/>
    <w:rsid w:val="00C4235A"/>
    <w:rsid w:val="00C44809"/>
    <w:rsid w:val="00C45ED5"/>
    <w:rsid w:val="00C476C4"/>
    <w:rsid w:val="00C518BB"/>
    <w:rsid w:val="00C51B50"/>
    <w:rsid w:val="00C53EF6"/>
    <w:rsid w:val="00C54F8B"/>
    <w:rsid w:val="00C55EB9"/>
    <w:rsid w:val="00C621BD"/>
    <w:rsid w:val="00C623CE"/>
    <w:rsid w:val="00C62493"/>
    <w:rsid w:val="00C62C76"/>
    <w:rsid w:val="00C6598F"/>
    <w:rsid w:val="00C65E19"/>
    <w:rsid w:val="00C66D60"/>
    <w:rsid w:val="00C67AB5"/>
    <w:rsid w:val="00C71567"/>
    <w:rsid w:val="00C74AEF"/>
    <w:rsid w:val="00C74FB1"/>
    <w:rsid w:val="00C769B1"/>
    <w:rsid w:val="00C8362F"/>
    <w:rsid w:val="00C8590C"/>
    <w:rsid w:val="00C87351"/>
    <w:rsid w:val="00C90721"/>
    <w:rsid w:val="00C91931"/>
    <w:rsid w:val="00C92943"/>
    <w:rsid w:val="00C953AC"/>
    <w:rsid w:val="00C95533"/>
    <w:rsid w:val="00CA6D37"/>
    <w:rsid w:val="00CA7733"/>
    <w:rsid w:val="00CA7CFC"/>
    <w:rsid w:val="00CB0155"/>
    <w:rsid w:val="00CB178B"/>
    <w:rsid w:val="00CB1B47"/>
    <w:rsid w:val="00CB43C6"/>
    <w:rsid w:val="00CB6585"/>
    <w:rsid w:val="00CB7971"/>
    <w:rsid w:val="00CC3BC3"/>
    <w:rsid w:val="00CC5455"/>
    <w:rsid w:val="00CC6CDD"/>
    <w:rsid w:val="00CD22BB"/>
    <w:rsid w:val="00CD369F"/>
    <w:rsid w:val="00CD57F7"/>
    <w:rsid w:val="00CD77F0"/>
    <w:rsid w:val="00CD79C1"/>
    <w:rsid w:val="00CE7F17"/>
    <w:rsid w:val="00CF1CDA"/>
    <w:rsid w:val="00CF38A0"/>
    <w:rsid w:val="00CF7D39"/>
    <w:rsid w:val="00D061FC"/>
    <w:rsid w:val="00D06D1C"/>
    <w:rsid w:val="00D103A1"/>
    <w:rsid w:val="00D17CE0"/>
    <w:rsid w:val="00D211EC"/>
    <w:rsid w:val="00D22293"/>
    <w:rsid w:val="00D261C7"/>
    <w:rsid w:val="00D31E77"/>
    <w:rsid w:val="00D32664"/>
    <w:rsid w:val="00D334F9"/>
    <w:rsid w:val="00D367DC"/>
    <w:rsid w:val="00D37267"/>
    <w:rsid w:val="00D376AF"/>
    <w:rsid w:val="00D413D3"/>
    <w:rsid w:val="00D44004"/>
    <w:rsid w:val="00D44EA6"/>
    <w:rsid w:val="00D45EF8"/>
    <w:rsid w:val="00D45F40"/>
    <w:rsid w:val="00D47D4A"/>
    <w:rsid w:val="00D514B3"/>
    <w:rsid w:val="00D5175F"/>
    <w:rsid w:val="00D51ADF"/>
    <w:rsid w:val="00D62B59"/>
    <w:rsid w:val="00D6443A"/>
    <w:rsid w:val="00D66FAE"/>
    <w:rsid w:val="00D67632"/>
    <w:rsid w:val="00D7044B"/>
    <w:rsid w:val="00D72547"/>
    <w:rsid w:val="00D74481"/>
    <w:rsid w:val="00D7448E"/>
    <w:rsid w:val="00D747B2"/>
    <w:rsid w:val="00D75696"/>
    <w:rsid w:val="00D75E63"/>
    <w:rsid w:val="00D7728C"/>
    <w:rsid w:val="00D809BE"/>
    <w:rsid w:val="00D81515"/>
    <w:rsid w:val="00D860B7"/>
    <w:rsid w:val="00D914FA"/>
    <w:rsid w:val="00D91D85"/>
    <w:rsid w:val="00D96A40"/>
    <w:rsid w:val="00DA0788"/>
    <w:rsid w:val="00DA1966"/>
    <w:rsid w:val="00DA4590"/>
    <w:rsid w:val="00DB4C53"/>
    <w:rsid w:val="00DC15F5"/>
    <w:rsid w:val="00DC3395"/>
    <w:rsid w:val="00DC3F7B"/>
    <w:rsid w:val="00DC4821"/>
    <w:rsid w:val="00DD3474"/>
    <w:rsid w:val="00DD44D1"/>
    <w:rsid w:val="00DD695B"/>
    <w:rsid w:val="00DE3941"/>
    <w:rsid w:val="00DE3D73"/>
    <w:rsid w:val="00DE7EEA"/>
    <w:rsid w:val="00DF57AC"/>
    <w:rsid w:val="00DF5E82"/>
    <w:rsid w:val="00DF7CF5"/>
    <w:rsid w:val="00E01B49"/>
    <w:rsid w:val="00E02101"/>
    <w:rsid w:val="00E02B2C"/>
    <w:rsid w:val="00E035A7"/>
    <w:rsid w:val="00E03A8A"/>
    <w:rsid w:val="00E05B3F"/>
    <w:rsid w:val="00E11913"/>
    <w:rsid w:val="00E13A79"/>
    <w:rsid w:val="00E1417D"/>
    <w:rsid w:val="00E15173"/>
    <w:rsid w:val="00E151AA"/>
    <w:rsid w:val="00E20475"/>
    <w:rsid w:val="00E21C8A"/>
    <w:rsid w:val="00E23F62"/>
    <w:rsid w:val="00E24D13"/>
    <w:rsid w:val="00E27A4C"/>
    <w:rsid w:val="00E27CE1"/>
    <w:rsid w:val="00E3127C"/>
    <w:rsid w:val="00E33C8E"/>
    <w:rsid w:val="00E352B9"/>
    <w:rsid w:val="00E3673D"/>
    <w:rsid w:val="00E40FF6"/>
    <w:rsid w:val="00E41CB3"/>
    <w:rsid w:val="00E43CBB"/>
    <w:rsid w:val="00E44693"/>
    <w:rsid w:val="00E500A5"/>
    <w:rsid w:val="00E525D9"/>
    <w:rsid w:val="00E5507A"/>
    <w:rsid w:val="00E56B0F"/>
    <w:rsid w:val="00E601D5"/>
    <w:rsid w:val="00E60A82"/>
    <w:rsid w:val="00E61CA2"/>
    <w:rsid w:val="00E63B9B"/>
    <w:rsid w:val="00E6514E"/>
    <w:rsid w:val="00E65C57"/>
    <w:rsid w:val="00E662FF"/>
    <w:rsid w:val="00E66516"/>
    <w:rsid w:val="00E66C4B"/>
    <w:rsid w:val="00E70F48"/>
    <w:rsid w:val="00E719C4"/>
    <w:rsid w:val="00E72E57"/>
    <w:rsid w:val="00E73417"/>
    <w:rsid w:val="00E81591"/>
    <w:rsid w:val="00E81B6C"/>
    <w:rsid w:val="00E828BF"/>
    <w:rsid w:val="00E84BF6"/>
    <w:rsid w:val="00E911EA"/>
    <w:rsid w:val="00E913EE"/>
    <w:rsid w:val="00EA4733"/>
    <w:rsid w:val="00EB0375"/>
    <w:rsid w:val="00EB1D08"/>
    <w:rsid w:val="00EB1E9F"/>
    <w:rsid w:val="00EB31FC"/>
    <w:rsid w:val="00EB4EC6"/>
    <w:rsid w:val="00EC0AF4"/>
    <w:rsid w:val="00EC21CC"/>
    <w:rsid w:val="00EC4006"/>
    <w:rsid w:val="00EC42C6"/>
    <w:rsid w:val="00EC685B"/>
    <w:rsid w:val="00ED3F52"/>
    <w:rsid w:val="00ED4E9B"/>
    <w:rsid w:val="00ED6FEF"/>
    <w:rsid w:val="00ED7711"/>
    <w:rsid w:val="00EE082A"/>
    <w:rsid w:val="00EE0A32"/>
    <w:rsid w:val="00EE1F2F"/>
    <w:rsid w:val="00EE57B7"/>
    <w:rsid w:val="00EE5A6D"/>
    <w:rsid w:val="00EF49FC"/>
    <w:rsid w:val="00EF70C1"/>
    <w:rsid w:val="00F0702B"/>
    <w:rsid w:val="00F12FFE"/>
    <w:rsid w:val="00F14BD2"/>
    <w:rsid w:val="00F15900"/>
    <w:rsid w:val="00F161C8"/>
    <w:rsid w:val="00F21CC5"/>
    <w:rsid w:val="00F22F22"/>
    <w:rsid w:val="00F25FE0"/>
    <w:rsid w:val="00F27029"/>
    <w:rsid w:val="00F35A67"/>
    <w:rsid w:val="00F4116E"/>
    <w:rsid w:val="00F43758"/>
    <w:rsid w:val="00F4472E"/>
    <w:rsid w:val="00F50B29"/>
    <w:rsid w:val="00F5107E"/>
    <w:rsid w:val="00F53855"/>
    <w:rsid w:val="00F63250"/>
    <w:rsid w:val="00F6480D"/>
    <w:rsid w:val="00F65F58"/>
    <w:rsid w:val="00F70963"/>
    <w:rsid w:val="00F71387"/>
    <w:rsid w:val="00F71723"/>
    <w:rsid w:val="00F71FEA"/>
    <w:rsid w:val="00F735B1"/>
    <w:rsid w:val="00F753EF"/>
    <w:rsid w:val="00F75C0A"/>
    <w:rsid w:val="00F7669C"/>
    <w:rsid w:val="00F77EE8"/>
    <w:rsid w:val="00F77FDE"/>
    <w:rsid w:val="00F81754"/>
    <w:rsid w:val="00F85D90"/>
    <w:rsid w:val="00F86F4E"/>
    <w:rsid w:val="00F9046D"/>
    <w:rsid w:val="00F90516"/>
    <w:rsid w:val="00F90556"/>
    <w:rsid w:val="00F90897"/>
    <w:rsid w:val="00F969CD"/>
    <w:rsid w:val="00F974D9"/>
    <w:rsid w:val="00F97DDA"/>
    <w:rsid w:val="00FA046B"/>
    <w:rsid w:val="00FA25F5"/>
    <w:rsid w:val="00FA5315"/>
    <w:rsid w:val="00FC01F7"/>
    <w:rsid w:val="00FC352C"/>
    <w:rsid w:val="00FD18B0"/>
    <w:rsid w:val="00FD5019"/>
    <w:rsid w:val="00FE1A7E"/>
    <w:rsid w:val="00FE4827"/>
    <w:rsid w:val="00FE48BA"/>
    <w:rsid w:val="00FE6484"/>
    <w:rsid w:val="00FF098B"/>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E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A8E805-2FBE-42AE-9117-F2AFECAA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1734</Words>
  <Characters>8671</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2022-12-28T08:04:00Z</dcterms:created>
  <dcterms:modified xsi:type="dcterms:W3CDTF">2022-12-28T08:04:00Z</dcterms:modified>
</cp:coreProperties>
</file>