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E792" w14:textId="77777777" w:rsidR="004E549D" w:rsidRPr="006500AF" w:rsidRDefault="00C63491" w:rsidP="00C63491">
      <w:pPr>
        <w:tabs>
          <w:tab w:val="left" w:pos="3856"/>
        </w:tabs>
        <w:bidi/>
        <w:rPr>
          <w:rFonts w:asciiTheme="minorBidi" w:hAnsiTheme="minorBidi" w:cstheme="minorBidi"/>
          <w:rtl/>
        </w:rPr>
      </w:pPr>
      <w:r w:rsidRPr="006500AF">
        <w:rPr>
          <w:rFonts w:asciiTheme="minorBidi" w:hAnsiTheme="minorBidi" w:cstheme="minorBidi"/>
          <w:rtl/>
        </w:rPr>
        <w:tab/>
      </w:r>
    </w:p>
    <w:p w14:paraId="07BCA91B" w14:textId="77777777" w:rsidR="00ED3B7F" w:rsidRPr="006500AF" w:rsidRDefault="00ED3B7F" w:rsidP="00ED3B7F">
      <w:pPr>
        <w:bidi/>
        <w:rPr>
          <w:rFonts w:asciiTheme="minorBidi" w:hAnsiTheme="minorBidi" w:cstheme="minorBidi"/>
        </w:rPr>
      </w:pPr>
    </w:p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6500AF" w14:paraId="48BC438E" w14:textId="77777777" w:rsidTr="004E549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014D9" w14:textId="77777777" w:rsidR="00060CD7" w:rsidRPr="006500AF" w:rsidRDefault="00060CD7" w:rsidP="00343EF2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500A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בנק ישראל</w:t>
            </w:r>
          </w:p>
          <w:p w14:paraId="5D1CB0D5" w14:textId="77777777" w:rsidR="00060CD7" w:rsidRPr="006500AF" w:rsidRDefault="00060CD7" w:rsidP="00343EF2">
            <w:pPr>
              <w:bidi/>
              <w:spacing w:line="360" w:lineRule="auto"/>
              <w:ind w:right="-10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500AF">
              <w:rPr>
                <w:rFonts w:asciiTheme="minorBidi" w:hAnsiTheme="minorBidi" w:cstheme="minorBid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30B8B9B7" w14:textId="77777777" w:rsidR="00060CD7" w:rsidRPr="006500AF" w:rsidRDefault="003F7838" w:rsidP="00343EF2">
            <w:pPr>
              <w:bidi/>
              <w:jc w:val="center"/>
              <w:rPr>
                <w:rFonts w:asciiTheme="minorBidi" w:hAnsiTheme="minorBidi" w:cstheme="minorBidi"/>
              </w:rPr>
            </w:pPr>
            <w:r w:rsidRPr="006500AF">
              <w:rPr>
                <w:rFonts w:asciiTheme="minorBidi" w:hAnsiTheme="minorBidi" w:cstheme="minorBidi"/>
                <w:noProof/>
                <w:rtl/>
                <w:lang w:eastAsia="en-US" w:bidi="ar-SA"/>
              </w:rPr>
              <w:drawing>
                <wp:anchor distT="0" distB="0" distL="114300" distR="114300" simplePos="0" relativeHeight="251659264" behindDoc="0" locked="0" layoutInCell="1" allowOverlap="1" wp14:anchorId="3E0382E1" wp14:editId="27C0CF2D">
                  <wp:simplePos x="0" y="0"/>
                  <wp:positionH relativeFrom="margin">
                    <wp:posOffset>342350</wp:posOffset>
                  </wp:positionH>
                  <wp:positionV relativeFrom="margin">
                    <wp:posOffset>146685</wp:posOffset>
                  </wp:positionV>
                  <wp:extent cx="1191260" cy="1191260"/>
                  <wp:effectExtent l="0" t="0" r="8890" b="8890"/>
                  <wp:wrapSquare wrapText="bothSides"/>
                  <wp:docPr id="2" name="Picture 1" descr="C:\Users\u17x\Desktop\תמונת לוגו (jp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17x\Desktop\תמונת לוגו (jp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96F42" w14:textId="77777777" w:rsidR="00060CD7" w:rsidRPr="006500AF" w:rsidRDefault="00060CD7" w:rsidP="00C63491">
            <w:pPr>
              <w:bidi/>
              <w:spacing w:line="48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6500A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‏ירושלים, </w:t>
            </w:r>
            <w:r w:rsidR="00C63491" w:rsidRPr="006500AF">
              <w:rPr>
                <w:rFonts w:asciiTheme="minorBidi" w:hAnsiTheme="minorBidi" w:cstheme="minorBidi"/>
                <w:sz w:val="24"/>
                <w:szCs w:val="24"/>
                <w:rtl/>
              </w:rPr>
              <w:t>ל' בניסן</w:t>
            </w:r>
            <w:r w:rsidR="00094325" w:rsidRPr="006500A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B70501" w:rsidRPr="006500AF">
              <w:rPr>
                <w:rFonts w:asciiTheme="minorBidi" w:hAnsiTheme="minorBidi" w:cstheme="minorBidi"/>
                <w:sz w:val="24"/>
                <w:szCs w:val="24"/>
                <w:rtl/>
              </w:rPr>
              <w:t>התש</w:t>
            </w:r>
            <w:r w:rsidR="009C1CC8" w:rsidRPr="006500AF">
              <w:rPr>
                <w:rFonts w:asciiTheme="minorBidi" w:hAnsiTheme="minorBidi" w:cstheme="minorBidi"/>
                <w:sz w:val="24"/>
                <w:szCs w:val="24"/>
                <w:rtl/>
              </w:rPr>
              <w:t>פ"</w:t>
            </w:r>
            <w:r w:rsidR="00C63491" w:rsidRPr="006500AF">
              <w:rPr>
                <w:rFonts w:asciiTheme="minorBidi" w:hAnsiTheme="minorBidi" w:cstheme="minorBidi"/>
                <w:sz w:val="24"/>
                <w:szCs w:val="24"/>
                <w:rtl/>
              </w:rPr>
              <w:t>ד</w:t>
            </w:r>
          </w:p>
          <w:p w14:paraId="19EDFF49" w14:textId="77777777" w:rsidR="00060CD7" w:rsidRPr="006500AF" w:rsidRDefault="00901E2D" w:rsidP="00901E2D">
            <w:pPr>
              <w:bidi/>
              <w:spacing w:line="480" w:lineRule="auto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500A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08 </w:t>
            </w:r>
            <w:r w:rsidR="00401ADB" w:rsidRPr="006500A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למאי </w:t>
            </w:r>
            <w:r w:rsidRPr="006500AF">
              <w:rPr>
                <w:rFonts w:asciiTheme="minorBidi" w:hAnsiTheme="minorBidi" w:cstheme="minorBidi"/>
                <w:sz w:val="24"/>
                <w:szCs w:val="24"/>
                <w:rtl/>
              </w:rPr>
              <w:t>2024</w:t>
            </w:r>
          </w:p>
          <w:p w14:paraId="5A6751DC" w14:textId="77777777" w:rsidR="009164C6" w:rsidRPr="006500AF" w:rsidRDefault="009164C6" w:rsidP="009164C6">
            <w:pPr>
              <w:bidi/>
              <w:spacing w:line="48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14:paraId="7978883B" w14:textId="77777777" w:rsidR="00060CD7" w:rsidRPr="006500AF" w:rsidRDefault="007D57B9" w:rsidP="00060CD7">
      <w:pPr>
        <w:bidi/>
        <w:spacing w:line="360" w:lineRule="auto"/>
        <w:ind w:right="-101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  <w:lang w:val="en-GB" w:bidi="ar-SA"/>
        </w:rPr>
        <w:t>إعلان للصحافة</w:t>
      </w:r>
      <w:r w:rsidR="00060CD7" w:rsidRPr="006500AF">
        <w:rPr>
          <w:rFonts w:asciiTheme="minorBidi" w:hAnsiTheme="minorBidi" w:cstheme="minorBidi"/>
          <w:sz w:val="24"/>
          <w:szCs w:val="24"/>
          <w:rtl/>
        </w:rPr>
        <w:t>:</w:t>
      </w:r>
    </w:p>
    <w:p w14:paraId="200F43FC" w14:textId="77777777" w:rsidR="00450DA7" w:rsidRDefault="006500AF" w:rsidP="00281E65">
      <w:pPr>
        <w:pStyle w:val="Title"/>
        <w:pBdr>
          <w:bottom w:val="single" w:sz="4" w:space="4" w:color="auto"/>
        </w:pBdr>
        <w:bidi/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6500AF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>التداول في سوق العملات الأجنبية في الربع الأول من عام 2024</w:t>
      </w:r>
    </w:p>
    <w:p w14:paraId="04AFDA77" w14:textId="77777777" w:rsidR="006500AF" w:rsidRPr="006500AF" w:rsidRDefault="006500AF" w:rsidP="006500AF">
      <w:pPr>
        <w:bidi/>
        <w:rPr>
          <w:rtl/>
        </w:rPr>
      </w:pPr>
    </w:p>
    <w:p w14:paraId="695CB862" w14:textId="77777777" w:rsidR="006500AF" w:rsidRPr="007D57B9" w:rsidRDefault="006500AF" w:rsidP="007D57B9">
      <w:pPr>
        <w:bidi/>
        <w:spacing w:line="360" w:lineRule="auto"/>
        <w:ind w:right="-101"/>
        <w:rPr>
          <w:rFonts w:asciiTheme="minorBidi" w:hAnsiTheme="minorBidi" w:cstheme="minorBidi"/>
          <w:b/>
          <w:bCs/>
          <w:color w:val="1F497D" w:themeColor="text2"/>
          <w:sz w:val="24"/>
          <w:szCs w:val="24"/>
        </w:rPr>
      </w:pPr>
      <w:r w:rsidRPr="007D57B9"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 xml:space="preserve">تطور سعر الصرف – اتجاه </w:t>
      </w:r>
      <w:r w:rsidR="007D57B9">
        <w:rPr>
          <w:rFonts w:asciiTheme="minorBidi" w:hAnsiTheme="minorBidi" w:cstheme="minorBidi" w:hint="cs"/>
          <w:b/>
          <w:bCs/>
          <w:color w:val="1F497D" w:themeColor="text2"/>
          <w:sz w:val="24"/>
          <w:szCs w:val="24"/>
          <w:rtl/>
          <w:lang w:bidi="ar-SA"/>
        </w:rPr>
        <w:t>متقلب</w:t>
      </w:r>
      <w:r w:rsidRPr="007D57B9"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 xml:space="preserve"> للشيكل إلى </w:t>
      </w:r>
      <w:r w:rsidR="007D57B9"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 xml:space="preserve">جانب </w:t>
      </w:r>
      <w:r w:rsidR="007D57B9">
        <w:rPr>
          <w:rFonts w:asciiTheme="minorBidi" w:hAnsiTheme="minorBidi" w:cstheme="minorBidi" w:hint="cs"/>
          <w:b/>
          <w:bCs/>
          <w:color w:val="1F497D" w:themeColor="text2"/>
          <w:sz w:val="24"/>
          <w:szCs w:val="24"/>
          <w:rtl/>
          <w:lang w:bidi="ar-SA"/>
        </w:rPr>
        <w:t>ارتفاع قيمة</w:t>
      </w:r>
      <w:r w:rsidRPr="007D57B9"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 xml:space="preserve"> الدولار في العالم.</w:t>
      </w:r>
    </w:p>
    <w:p w14:paraId="251A6770" w14:textId="77777777" w:rsidR="006500AF" w:rsidRPr="006500AF" w:rsidRDefault="006500AF" w:rsidP="006500AF">
      <w:pPr>
        <w:bidi/>
        <w:spacing w:line="360" w:lineRule="auto"/>
        <w:ind w:right="-101"/>
        <w:rPr>
          <w:rFonts w:asciiTheme="minorBidi" w:eastAsia="David" w:hAnsiTheme="minorBidi" w:cstheme="minorBidi"/>
          <w:sz w:val="24"/>
          <w:szCs w:val="24"/>
          <w:lang w:eastAsia="en-US"/>
        </w:rPr>
      </w:pPr>
    </w:p>
    <w:p w14:paraId="00FEF361" w14:textId="06B73257" w:rsidR="006500AF" w:rsidRPr="006500AF" w:rsidRDefault="006500AF" w:rsidP="0033772E">
      <w:pPr>
        <w:bidi/>
        <w:spacing w:line="360" w:lineRule="auto"/>
        <w:ind w:right="-101"/>
        <w:rPr>
          <w:rFonts w:asciiTheme="minorBidi" w:eastAsia="David" w:hAnsiTheme="minorBidi" w:cstheme="minorBidi"/>
          <w:sz w:val="24"/>
          <w:szCs w:val="24"/>
          <w:lang w:eastAsia="en-US"/>
        </w:rPr>
      </w:pPr>
      <w:r w:rsidRPr="006500AF">
        <w:rPr>
          <w:rFonts w:asciiTheme="minorBidi" w:eastAsia="David" w:hAnsiTheme="minorBidi" w:cs="Arial"/>
          <w:sz w:val="24"/>
          <w:szCs w:val="24"/>
          <w:rtl/>
          <w:lang w:eastAsia="en-US" w:bidi="ar-SA"/>
        </w:rPr>
        <w:t xml:space="preserve">خلال الربع الأول، تم تسجيل اتجاه </w:t>
      </w:r>
      <w:r w:rsidR="0033772E">
        <w:rPr>
          <w:rFonts w:asciiTheme="minorBidi" w:eastAsia="David" w:hAnsiTheme="minorBidi" w:cs="Arial" w:hint="cs"/>
          <w:sz w:val="24"/>
          <w:szCs w:val="24"/>
          <w:rtl/>
          <w:lang w:eastAsia="en-US" w:bidi="ar-SA"/>
        </w:rPr>
        <w:t>متقلب</w:t>
      </w:r>
      <w:r w:rsidRPr="006500AF">
        <w:rPr>
          <w:rFonts w:asciiTheme="minorBidi" w:eastAsia="David" w:hAnsiTheme="minorBidi" w:cs="Arial"/>
          <w:sz w:val="24"/>
          <w:szCs w:val="24"/>
          <w:rtl/>
          <w:lang w:eastAsia="en-US" w:bidi="ar-SA"/>
        </w:rPr>
        <w:t xml:space="preserve"> للشيكل. </w:t>
      </w:r>
      <w:r w:rsidR="006E687B">
        <w:rPr>
          <w:rFonts w:asciiTheme="minorBidi" w:eastAsia="David" w:hAnsiTheme="minorBidi" w:cs="Arial" w:hint="cs"/>
          <w:sz w:val="24"/>
          <w:szCs w:val="24"/>
          <w:rtl/>
          <w:lang w:eastAsia="en-US" w:bidi="ar-SA"/>
        </w:rPr>
        <w:t xml:space="preserve">حيث </w:t>
      </w:r>
      <w:r w:rsidR="0033772E">
        <w:rPr>
          <w:rFonts w:asciiTheme="minorBidi" w:eastAsia="David" w:hAnsiTheme="minorBidi" w:cs="Arial" w:hint="cs"/>
          <w:sz w:val="24"/>
          <w:szCs w:val="24"/>
          <w:rtl/>
          <w:lang w:eastAsia="en-US" w:bidi="ar-SA"/>
        </w:rPr>
        <w:t>ارتفعت قيمة</w:t>
      </w:r>
      <w:r w:rsidRPr="006500AF">
        <w:rPr>
          <w:rFonts w:asciiTheme="minorBidi" w:eastAsia="David" w:hAnsiTheme="minorBidi" w:cs="Arial"/>
          <w:sz w:val="24"/>
          <w:szCs w:val="24"/>
          <w:rtl/>
          <w:lang w:eastAsia="en-US" w:bidi="ar-SA"/>
        </w:rPr>
        <w:t xml:space="preserve"> الشيكل مقابل الدولار بنحو 1.5%، وانخفض</w:t>
      </w:r>
      <w:r w:rsidR="006E687B">
        <w:rPr>
          <w:rFonts w:asciiTheme="minorBidi" w:eastAsia="David" w:hAnsiTheme="minorBidi" w:cs="Arial" w:hint="cs"/>
          <w:sz w:val="24"/>
          <w:szCs w:val="24"/>
          <w:rtl/>
          <w:lang w:eastAsia="en-US" w:bidi="ar-SA"/>
        </w:rPr>
        <w:t>ت</w:t>
      </w:r>
      <w:r w:rsidRPr="006500AF">
        <w:rPr>
          <w:rFonts w:asciiTheme="minorBidi" w:eastAsia="David" w:hAnsiTheme="minorBidi" w:cs="Arial"/>
          <w:sz w:val="24"/>
          <w:szCs w:val="24"/>
          <w:rtl/>
          <w:lang w:eastAsia="en-US" w:bidi="ar-SA"/>
        </w:rPr>
        <w:t xml:space="preserve"> مقابل اليورو بنحو 0.8%. كما انخفض الشيكل بنسبة 0.6% مقابل عملات الشركاء التجاريين الرئيسيين لإسرائيل، </w:t>
      </w:r>
      <w:r w:rsidR="0033772E">
        <w:rPr>
          <w:rFonts w:asciiTheme="minorBidi" w:eastAsia="David" w:hAnsiTheme="minorBidi" w:cs="Arial" w:hint="cs"/>
          <w:sz w:val="24"/>
          <w:szCs w:val="24"/>
          <w:rtl/>
          <w:lang w:eastAsia="en-US" w:bidi="ar-SA"/>
        </w:rPr>
        <w:t>كما هو مرجح</w:t>
      </w:r>
      <w:r w:rsidRPr="006500AF">
        <w:rPr>
          <w:rFonts w:asciiTheme="minorBidi" w:eastAsia="David" w:hAnsiTheme="minorBidi" w:cs="Arial"/>
          <w:sz w:val="24"/>
          <w:szCs w:val="24"/>
          <w:rtl/>
          <w:lang w:eastAsia="en-US" w:bidi="ar-SA"/>
        </w:rPr>
        <w:t xml:space="preserve"> بمؤشر سعر الصرف الاسمي الفعلي.</w:t>
      </w:r>
    </w:p>
    <w:p w14:paraId="4FCB92D9" w14:textId="0E2AE3CA" w:rsidR="006500AF" w:rsidRPr="006500AF" w:rsidRDefault="006500AF" w:rsidP="0033772E">
      <w:pPr>
        <w:bidi/>
        <w:spacing w:line="360" w:lineRule="auto"/>
        <w:ind w:right="-101"/>
        <w:rPr>
          <w:rFonts w:asciiTheme="minorBidi" w:eastAsia="David" w:hAnsiTheme="minorBidi" w:cstheme="minorBidi"/>
          <w:sz w:val="24"/>
          <w:szCs w:val="24"/>
          <w:rtl/>
          <w:lang w:eastAsia="en-US" w:bidi="ar-SA"/>
        </w:rPr>
      </w:pPr>
      <w:r w:rsidRPr="006500AF">
        <w:rPr>
          <w:rFonts w:asciiTheme="minorBidi" w:eastAsia="David" w:hAnsiTheme="minorBidi" w:cs="Arial"/>
          <w:sz w:val="24"/>
          <w:szCs w:val="24"/>
          <w:rtl/>
          <w:lang w:eastAsia="en-US" w:bidi="ar-SA"/>
        </w:rPr>
        <w:t>في الوقت نفسه، ارتفع سعر الدولار مقابل معظم العملات الرئيسية في العالم (</w:t>
      </w:r>
      <w:r w:rsidR="0033772E">
        <w:rPr>
          <w:rFonts w:asciiTheme="minorBidi" w:eastAsia="David" w:hAnsiTheme="minorBidi" w:cs="Arial" w:hint="cs"/>
          <w:sz w:val="24"/>
          <w:szCs w:val="24"/>
          <w:rtl/>
          <w:lang w:eastAsia="en-US" w:bidi="ar-SA"/>
        </w:rPr>
        <w:t>الشكل</w:t>
      </w:r>
      <w:r w:rsidRPr="006500AF">
        <w:rPr>
          <w:rFonts w:asciiTheme="minorBidi" w:eastAsia="David" w:hAnsiTheme="minorBidi" w:cs="Arial"/>
          <w:sz w:val="24"/>
          <w:szCs w:val="24"/>
          <w:rtl/>
          <w:lang w:eastAsia="en-US" w:bidi="ar-SA"/>
        </w:rPr>
        <w:t xml:space="preserve"> 2)</w:t>
      </w:r>
      <w:r w:rsidR="006E687B">
        <w:rPr>
          <w:rFonts w:asciiTheme="minorBidi" w:eastAsia="David" w:hAnsiTheme="minorBidi" w:cs="Arial" w:hint="cs"/>
          <w:sz w:val="24"/>
          <w:szCs w:val="24"/>
          <w:rtl/>
          <w:lang w:eastAsia="en-US" w:bidi="ar-SA"/>
        </w:rPr>
        <w:t>،</w:t>
      </w:r>
      <w:r w:rsidRPr="006500AF">
        <w:rPr>
          <w:rFonts w:asciiTheme="minorBidi" w:eastAsia="David" w:hAnsiTheme="minorBidi" w:cs="Arial"/>
          <w:sz w:val="24"/>
          <w:szCs w:val="24"/>
          <w:rtl/>
          <w:lang w:eastAsia="en-US" w:bidi="ar-SA"/>
        </w:rPr>
        <w:t xml:space="preserve"> </w:t>
      </w:r>
      <w:r w:rsidR="0033772E">
        <w:rPr>
          <w:rFonts w:asciiTheme="minorBidi" w:eastAsia="David" w:hAnsiTheme="minorBidi" w:cs="Arial" w:hint="cs"/>
          <w:sz w:val="24"/>
          <w:szCs w:val="24"/>
          <w:rtl/>
          <w:lang w:eastAsia="en-US" w:bidi="ar-SA"/>
        </w:rPr>
        <w:t>بنسبة</w:t>
      </w:r>
      <w:r w:rsidRPr="006500AF">
        <w:rPr>
          <w:rFonts w:asciiTheme="minorBidi" w:eastAsia="David" w:hAnsiTheme="minorBidi" w:cs="Arial"/>
          <w:sz w:val="24"/>
          <w:szCs w:val="24"/>
          <w:rtl/>
          <w:lang w:eastAsia="en-US" w:bidi="ar-SA"/>
        </w:rPr>
        <w:t xml:space="preserve"> 2.3% </w:t>
      </w:r>
      <w:r w:rsidR="0033772E">
        <w:rPr>
          <w:rFonts w:asciiTheme="minorBidi" w:eastAsia="David" w:hAnsiTheme="minorBidi" w:cs="Arial" w:hint="cs"/>
          <w:sz w:val="24"/>
          <w:szCs w:val="24"/>
          <w:rtl/>
          <w:lang w:eastAsia="en-US" w:bidi="ar-SA"/>
        </w:rPr>
        <w:t xml:space="preserve">تقريباً </w:t>
      </w:r>
      <w:r w:rsidRPr="006500AF">
        <w:rPr>
          <w:rFonts w:asciiTheme="minorBidi" w:eastAsia="David" w:hAnsiTheme="minorBidi" w:cs="Arial"/>
          <w:sz w:val="24"/>
          <w:szCs w:val="24"/>
          <w:rtl/>
          <w:lang w:eastAsia="en-US" w:bidi="ar-SA"/>
        </w:rPr>
        <w:t>مقابل اليورو و</w:t>
      </w:r>
      <w:r w:rsidR="006E687B">
        <w:rPr>
          <w:rFonts w:asciiTheme="minorBidi" w:eastAsia="David" w:hAnsiTheme="minorBidi" w:cs="Arial" w:hint="cs"/>
          <w:sz w:val="24"/>
          <w:szCs w:val="24"/>
          <w:rtl/>
          <w:lang w:eastAsia="en-US" w:bidi="ar-SA"/>
        </w:rPr>
        <w:t>ب</w:t>
      </w:r>
      <w:r w:rsidRPr="006500AF">
        <w:rPr>
          <w:rFonts w:asciiTheme="minorBidi" w:eastAsia="David" w:hAnsiTheme="minorBidi" w:cs="Arial"/>
          <w:sz w:val="24"/>
          <w:szCs w:val="24"/>
          <w:rtl/>
          <w:lang w:eastAsia="en-US" w:bidi="ar-SA"/>
        </w:rPr>
        <w:t>نحو 6.9% مقابل الين الياباني و</w:t>
      </w:r>
      <w:r w:rsidR="006E687B">
        <w:rPr>
          <w:rFonts w:asciiTheme="minorBidi" w:eastAsia="David" w:hAnsiTheme="minorBidi" w:cs="Arial" w:hint="cs"/>
          <w:sz w:val="24"/>
          <w:szCs w:val="24"/>
          <w:rtl/>
          <w:lang w:eastAsia="en-US" w:bidi="ar-SA"/>
        </w:rPr>
        <w:t>ب</w:t>
      </w:r>
      <w:r w:rsidRPr="006500AF">
        <w:rPr>
          <w:rFonts w:asciiTheme="minorBidi" w:eastAsia="David" w:hAnsiTheme="minorBidi" w:cs="Arial"/>
          <w:sz w:val="24"/>
          <w:szCs w:val="24"/>
          <w:rtl/>
          <w:lang w:eastAsia="en-US" w:bidi="ar-SA"/>
        </w:rPr>
        <w:t>نحو 0.8% أمام الجنيه الاسترليني</w:t>
      </w:r>
    </w:p>
    <w:p w14:paraId="4FCD7B07" w14:textId="77777777" w:rsidR="00592639" w:rsidRPr="006500AF" w:rsidRDefault="00D72D6B" w:rsidP="00592639">
      <w:pPr>
        <w:bidi/>
        <w:spacing w:line="360" w:lineRule="auto"/>
        <w:ind w:right="-101"/>
        <w:rPr>
          <w:rFonts w:asciiTheme="minorBidi" w:eastAsia="David" w:hAnsiTheme="minorBidi" w:cstheme="minorBidi"/>
          <w:sz w:val="24"/>
          <w:szCs w:val="24"/>
          <w:rtl/>
          <w:lang w:eastAsia="en-US" w:bidi="ar-SA"/>
        </w:rPr>
      </w:pPr>
      <w:r w:rsidRPr="006500AF">
        <w:rPr>
          <w:rFonts w:asciiTheme="minorBidi" w:hAnsiTheme="minorBidi" w:cstheme="minorBidi"/>
          <w:noProof/>
          <w:sz w:val="24"/>
          <w:szCs w:val="24"/>
          <w:lang w:eastAsia="en-US" w:bidi="ar-SA"/>
        </w:rPr>
        <w:drawing>
          <wp:anchor distT="0" distB="0" distL="114300" distR="114300" simplePos="0" relativeHeight="251660288" behindDoc="1" locked="0" layoutInCell="1" allowOverlap="1" wp14:anchorId="2AD8B83B" wp14:editId="572082D4">
            <wp:simplePos x="0" y="0"/>
            <wp:positionH relativeFrom="column">
              <wp:posOffset>630555</wp:posOffset>
            </wp:positionH>
            <wp:positionV relativeFrom="paragraph">
              <wp:posOffset>109855</wp:posOffset>
            </wp:positionV>
            <wp:extent cx="4938395" cy="2566670"/>
            <wp:effectExtent l="0" t="0" r="0" b="5080"/>
            <wp:wrapTight wrapText="bothSides">
              <wp:wrapPolygon edited="0">
                <wp:start x="0" y="0"/>
                <wp:lineTo x="0" y="21482"/>
                <wp:lineTo x="21497" y="21482"/>
                <wp:lineTo x="214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F5ABF0" w14:textId="77777777" w:rsidR="00825944" w:rsidRPr="006500AF" w:rsidRDefault="00825944" w:rsidP="00825944">
      <w:pPr>
        <w:bidi/>
        <w:spacing w:line="360" w:lineRule="auto"/>
        <w:ind w:right="-101"/>
        <w:rPr>
          <w:rFonts w:asciiTheme="minorBidi" w:eastAsia="David" w:hAnsiTheme="minorBidi" w:cstheme="minorBidi"/>
          <w:sz w:val="24"/>
          <w:szCs w:val="24"/>
          <w:lang w:eastAsia="en-US" w:bidi="ar-SA"/>
        </w:rPr>
      </w:pPr>
    </w:p>
    <w:p w14:paraId="23D1DB59" w14:textId="31A4A5A5" w:rsidR="00192BA0" w:rsidRPr="006500AF" w:rsidRDefault="00005843" w:rsidP="00825944">
      <w:pPr>
        <w:bidi/>
        <w:spacing w:line="360" w:lineRule="auto"/>
        <w:ind w:right="-101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6500AF">
        <w:rPr>
          <w:rFonts w:asciiTheme="minorBidi" w:eastAsia="David" w:hAnsiTheme="minorBidi" w:cstheme="minorBidi"/>
          <w:sz w:val="24"/>
          <w:szCs w:val="24"/>
          <w:lang w:eastAsia="en-US" w:bidi="ar-SA"/>
        </w:rPr>
        <w:t>.</w:t>
      </w:r>
      <w:r w:rsidR="00825944" w:rsidRPr="006500AF">
        <w:rPr>
          <w:rFonts w:asciiTheme="minorBidi" w:hAnsiTheme="minorBidi" w:cstheme="minorBidi"/>
          <w:noProof/>
          <w:sz w:val="24"/>
          <w:szCs w:val="24"/>
          <w:lang w:eastAsia="en-US"/>
        </w:rPr>
        <w:t xml:space="preserve"> </w:t>
      </w:r>
    </w:p>
    <w:p w14:paraId="44D8B1E9" w14:textId="03D57109" w:rsidR="00404881" w:rsidRPr="006500AF" w:rsidRDefault="00404881" w:rsidP="00404881">
      <w:pPr>
        <w:bidi/>
        <w:rPr>
          <w:rFonts w:asciiTheme="minorBidi" w:hAnsiTheme="minorBidi" w:cstheme="minorBidi"/>
          <w:rtl/>
        </w:rPr>
      </w:pPr>
    </w:p>
    <w:p w14:paraId="1D4CC267" w14:textId="77777777" w:rsidR="00FD2F02" w:rsidRDefault="00FD2F02" w:rsidP="006500AF">
      <w:pPr>
        <w:bidi/>
        <w:spacing w:line="480" w:lineRule="auto"/>
        <w:ind w:right="-101"/>
        <w:jc w:val="both"/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</w:rPr>
      </w:pPr>
    </w:p>
    <w:p w14:paraId="0F64472A" w14:textId="77777777" w:rsidR="00FD2F02" w:rsidRDefault="00FD2F02" w:rsidP="00FD2F02">
      <w:pPr>
        <w:bidi/>
        <w:spacing w:line="480" w:lineRule="auto"/>
        <w:ind w:right="-101"/>
        <w:jc w:val="both"/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</w:rPr>
      </w:pPr>
    </w:p>
    <w:p w14:paraId="59F86252" w14:textId="77777777" w:rsidR="00FD2F02" w:rsidRDefault="00FD2F02" w:rsidP="00FD2F02">
      <w:pPr>
        <w:bidi/>
        <w:spacing w:line="480" w:lineRule="auto"/>
        <w:ind w:right="-101"/>
        <w:jc w:val="both"/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</w:rPr>
      </w:pPr>
    </w:p>
    <w:p w14:paraId="536F9D49" w14:textId="173ABB1D" w:rsidR="00FD2F02" w:rsidRDefault="00FD2F02" w:rsidP="00FD2F02">
      <w:pPr>
        <w:bidi/>
        <w:spacing w:line="480" w:lineRule="auto"/>
        <w:ind w:right="-101"/>
        <w:jc w:val="both"/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</w:rPr>
      </w:pPr>
    </w:p>
    <w:p w14:paraId="08461696" w14:textId="77777777" w:rsidR="00FD2F02" w:rsidRDefault="00FD2F02" w:rsidP="00FD2F02">
      <w:pPr>
        <w:bidi/>
        <w:spacing w:line="480" w:lineRule="auto"/>
        <w:ind w:right="-101"/>
        <w:jc w:val="both"/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</w:rPr>
      </w:pPr>
    </w:p>
    <w:p w14:paraId="5964FE50" w14:textId="47AD02D8" w:rsidR="00FD2F02" w:rsidRDefault="00FD2F02" w:rsidP="00FD2F02">
      <w:pPr>
        <w:bidi/>
        <w:spacing w:line="480" w:lineRule="auto"/>
        <w:ind w:right="-101"/>
        <w:jc w:val="center"/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</w:rPr>
      </w:pPr>
      <w:r w:rsidRPr="006500AF">
        <w:rPr>
          <w:rFonts w:asciiTheme="minorBidi" w:hAnsiTheme="minorBidi" w:cstheme="minorBidi"/>
          <w:noProof/>
          <w:sz w:val="24"/>
          <w:szCs w:val="24"/>
          <w:lang w:eastAsia="en-US" w:bidi="ar-SA"/>
        </w:rPr>
        <w:drawing>
          <wp:inline distT="0" distB="0" distL="0" distR="0" wp14:anchorId="5352F083" wp14:editId="2FE1AC7B">
            <wp:extent cx="4938395" cy="2566670"/>
            <wp:effectExtent l="0" t="0" r="0" b="5080"/>
            <wp:docPr id="6" name="Picture 6" descr="A graph with numbers and a red and blue b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aph with numbers and a red and blue b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E038C" w14:textId="03DD3C75" w:rsidR="006500AF" w:rsidRPr="0033772E" w:rsidRDefault="006500AF" w:rsidP="00FD2F02">
      <w:pPr>
        <w:bidi/>
        <w:spacing w:line="480" w:lineRule="auto"/>
        <w:ind w:right="-101"/>
        <w:jc w:val="both"/>
        <w:rPr>
          <w:rFonts w:asciiTheme="minorBidi" w:hAnsiTheme="minorBidi" w:cstheme="minorBidi"/>
          <w:b/>
          <w:bCs/>
          <w:color w:val="1F497D" w:themeColor="text2"/>
          <w:sz w:val="24"/>
          <w:szCs w:val="24"/>
        </w:rPr>
      </w:pPr>
      <w:r w:rsidRPr="0033772E"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lastRenderedPageBreak/>
        <w:t>تقلب سعر الصرف - زيادة في الانحراف المعياري الفعلي وانخفاض في الانحراف المعياري الضمني</w:t>
      </w:r>
    </w:p>
    <w:p w14:paraId="284AEBC6" w14:textId="77777777" w:rsidR="006500AF" w:rsidRPr="006500AF" w:rsidRDefault="006500AF" w:rsidP="00CA3945">
      <w:pPr>
        <w:bidi/>
        <w:spacing w:line="480" w:lineRule="auto"/>
        <w:ind w:right="-101"/>
        <w:jc w:val="both"/>
        <w:rPr>
          <w:rFonts w:asciiTheme="minorBidi" w:hAnsiTheme="minorBidi" w:cstheme="minorBidi"/>
          <w:sz w:val="24"/>
          <w:szCs w:val="24"/>
        </w:rPr>
      </w:pP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>ارتفع الانحراف المعياري للتغير في سعر صرف الشيكل/</w:t>
      </w:r>
      <w:r w:rsidR="00CA3945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الدولار - والذي يمثل التقلب </w:t>
      </w:r>
      <w:r w:rsidRPr="00CA394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الفعلي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في سعر الصرف</w:t>
      </w:r>
      <w:r w:rsidR="00CA3945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، 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>إلى مستوى متوسط ​​قدره 10.3%</w:t>
      </w:r>
      <w:r w:rsidR="00CA3945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CA3945" w:rsidRPr="006500AF">
        <w:rPr>
          <w:rFonts w:asciiTheme="minorBidi" w:hAnsiTheme="minorBidi" w:cs="Arial"/>
          <w:sz w:val="24"/>
          <w:szCs w:val="24"/>
          <w:rtl/>
          <w:lang w:bidi="ar-SA"/>
        </w:rPr>
        <w:t>خلال الربع</w:t>
      </w:r>
      <w:r w:rsidR="00CA3945">
        <w:rPr>
          <w:rFonts w:asciiTheme="minorBidi" w:hAnsiTheme="minorBidi" w:cs="Arial" w:hint="cs"/>
          <w:sz w:val="24"/>
          <w:szCs w:val="24"/>
          <w:rtl/>
          <w:lang w:bidi="ar-SA"/>
        </w:rPr>
        <w:t>.</w:t>
      </w:r>
    </w:p>
    <w:p w14:paraId="5D43E392" w14:textId="710C3B5F" w:rsidR="006500AF" w:rsidRPr="006500AF" w:rsidRDefault="006500AF" w:rsidP="00CA3945">
      <w:pPr>
        <w:bidi/>
        <w:spacing w:line="480" w:lineRule="auto"/>
        <w:ind w:right="-101"/>
        <w:jc w:val="both"/>
        <w:rPr>
          <w:rFonts w:asciiTheme="minorBidi" w:hAnsiTheme="minorBidi" w:cstheme="minorBidi"/>
          <w:sz w:val="24"/>
          <w:szCs w:val="24"/>
          <w:rtl/>
        </w:rPr>
      </w:pP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انخفض الانحراف المعياري </w:t>
      </w:r>
      <w:r w:rsidR="00CA3945">
        <w:rPr>
          <w:rFonts w:asciiTheme="minorBidi" w:hAnsiTheme="minorBidi" w:cs="Arial" w:hint="cs"/>
          <w:sz w:val="24"/>
          <w:szCs w:val="24"/>
          <w:rtl/>
          <w:lang w:bidi="ar-SA"/>
        </w:rPr>
        <w:t>الكامن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في خيارات سعر صرف الشيكل / ا</w:t>
      </w:r>
      <w:r w:rsidR="00CA3945">
        <w:rPr>
          <w:rFonts w:asciiTheme="minorBidi" w:hAnsiTheme="minorBidi" w:cs="Arial"/>
          <w:sz w:val="24"/>
          <w:szCs w:val="24"/>
          <w:rtl/>
          <w:lang w:bidi="ar-SA"/>
        </w:rPr>
        <w:t>لدولار المتداولة "خارج البورصة"</w:t>
      </w:r>
      <w:r w:rsidR="00CA394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والذي يمثل التقلب</w:t>
      </w:r>
      <w:r w:rsidR="006E687B">
        <w:rPr>
          <w:rFonts w:asciiTheme="minorBidi" w:hAnsiTheme="minorBidi" w:cs="Arial" w:hint="cs"/>
          <w:sz w:val="24"/>
          <w:szCs w:val="24"/>
          <w:rtl/>
          <w:lang w:bidi="ar-SA"/>
        </w:rPr>
        <w:t>ات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A394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المتوقع</w:t>
      </w:r>
      <w:r w:rsidR="006E687B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ة</w:t>
      </w:r>
      <w:r w:rsidR="00CA3945">
        <w:rPr>
          <w:rFonts w:asciiTheme="minorBidi" w:hAnsiTheme="minorBidi" w:cs="Arial"/>
          <w:sz w:val="24"/>
          <w:szCs w:val="24"/>
          <w:rtl/>
          <w:lang w:bidi="ar-SA"/>
        </w:rPr>
        <w:t xml:space="preserve"> في سعر الصرف</w:t>
      </w:r>
      <w:r w:rsidR="00CA3945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بنسبة 0.4 نقطة مئوية وبلغ في نهاية الربع مستوى متوسط ​​قدره 10.1%.</w:t>
      </w:r>
    </w:p>
    <w:p w14:paraId="107E2D50" w14:textId="5CD508D4" w:rsidR="006500AF" w:rsidRPr="006500AF" w:rsidRDefault="00CA3945" w:rsidP="00CA3945">
      <w:pPr>
        <w:bidi/>
        <w:spacing w:line="480" w:lineRule="auto"/>
        <w:ind w:right="-101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  <w:rtl/>
          <w:lang w:bidi="ar-SA"/>
        </w:rPr>
        <w:t>لغر</w:t>
      </w:r>
      <w:r w:rsidR="006500AF" w:rsidRPr="006500AF">
        <w:rPr>
          <w:rFonts w:asciiTheme="minorBidi" w:hAnsiTheme="minorBidi" w:cs="Arial"/>
          <w:sz w:val="24"/>
          <w:szCs w:val="24"/>
          <w:rtl/>
          <w:lang w:bidi="ar-SA"/>
        </w:rPr>
        <w:t>ض المقارنة، بلغ متوسط ​​مستوى الانحراف المعياري الكامن في خيارات النقد الأجنبي في الأسواق الناشئة 9.7% في نهاية الربع، بانخفاض قدره 1.4 نقطة مئوية مقارنة بالربع السابق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.</w:t>
      </w:r>
      <w:r w:rsidR="006500AF"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وبلغ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معدل هذا </w:t>
      </w:r>
      <w:r w:rsidR="006500AF" w:rsidRPr="006500AF">
        <w:rPr>
          <w:rFonts w:asciiTheme="minorBidi" w:hAnsiTheme="minorBidi" w:cs="Arial"/>
          <w:sz w:val="24"/>
          <w:szCs w:val="24"/>
          <w:rtl/>
          <w:lang w:bidi="ar-SA"/>
        </w:rPr>
        <w:t>الانحراف في الأسواق المتقدمة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>خلال الربع</w:t>
      </w:r>
      <w:r w:rsidR="006500AF"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7.1%، </w:t>
      </w:r>
      <w:r w:rsidR="006E687B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وهو </w:t>
      </w:r>
      <w:r w:rsidR="006500AF" w:rsidRPr="006500AF">
        <w:rPr>
          <w:rFonts w:asciiTheme="minorBidi" w:hAnsiTheme="minorBidi" w:cs="Arial"/>
          <w:sz w:val="24"/>
          <w:szCs w:val="24"/>
          <w:rtl/>
          <w:lang w:bidi="ar-SA"/>
        </w:rPr>
        <w:t>انخفاض قدره 0.6 نقطة مئوية تقريبًا مقارنة بالربع السابق (</w:t>
      </w:r>
      <w:r w:rsidR="006E687B">
        <w:rPr>
          <w:rFonts w:asciiTheme="minorBidi" w:hAnsiTheme="minorBidi" w:cs="Arial" w:hint="cs"/>
          <w:sz w:val="24"/>
          <w:szCs w:val="24"/>
          <w:rtl/>
          <w:lang w:bidi="ar-SA"/>
        </w:rPr>
        <w:t>الشكل</w:t>
      </w:r>
      <w:r w:rsidR="006500AF"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4).</w:t>
      </w:r>
    </w:p>
    <w:p w14:paraId="539CFE4C" w14:textId="77777777" w:rsidR="00592639" w:rsidRPr="006500AF" w:rsidRDefault="00592639" w:rsidP="00592639">
      <w:pPr>
        <w:bidi/>
        <w:spacing w:line="480" w:lineRule="auto"/>
        <w:ind w:right="-101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48D49834" w14:textId="77777777" w:rsidR="009D757B" w:rsidRPr="006500AF" w:rsidRDefault="0059148B" w:rsidP="001245F9">
      <w:pPr>
        <w:bidi/>
        <w:jc w:val="center"/>
        <w:rPr>
          <w:rFonts w:asciiTheme="minorBidi" w:hAnsiTheme="minorBidi" w:cstheme="minorBidi"/>
          <w:noProof/>
          <w:rtl/>
          <w:lang w:eastAsia="en-US"/>
        </w:rPr>
      </w:pPr>
      <w:r w:rsidRPr="006500AF">
        <w:rPr>
          <w:rFonts w:asciiTheme="minorBidi" w:hAnsiTheme="minorBidi" w:cstheme="minorBidi"/>
          <w:noProof/>
          <w:lang w:eastAsia="en-US" w:bidi="ar-SA"/>
        </w:rPr>
        <w:drawing>
          <wp:inline distT="0" distB="0" distL="0" distR="0" wp14:anchorId="461DA888" wp14:editId="7AD7311C">
            <wp:extent cx="4938395" cy="25666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DFE0A1" w14:textId="77777777" w:rsidR="00345945" w:rsidRPr="006500AF" w:rsidRDefault="00345945" w:rsidP="00345945">
      <w:pPr>
        <w:bidi/>
        <w:jc w:val="center"/>
        <w:rPr>
          <w:rFonts w:asciiTheme="minorBidi" w:hAnsiTheme="minorBidi" w:cstheme="minorBidi"/>
          <w:noProof/>
          <w:lang w:eastAsia="en-US"/>
        </w:rPr>
      </w:pPr>
    </w:p>
    <w:p w14:paraId="0DB93CE2" w14:textId="77777777" w:rsidR="001245F9" w:rsidRPr="006500AF" w:rsidRDefault="00217436" w:rsidP="00CC2B6B">
      <w:pPr>
        <w:bidi/>
        <w:jc w:val="center"/>
        <w:rPr>
          <w:rFonts w:asciiTheme="minorBidi" w:hAnsiTheme="minorBidi" w:cstheme="minorBidi"/>
        </w:rPr>
      </w:pPr>
      <w:r w:rsidRPr="006500AF">
        <w:rPr>
          <w:rFonts w:asciiTheme="minorBidi" w:hAnsiTheme="minorBidi" w:cstheme="minorBidi"/>
          <w:noProof/>
          <w:lang w:eastAsia="en-US"/>
        </w:rPr>
        <w:t xml:space="preserve"> </w:t>
      </w:r>
      <w:r w:rsidR="0059148B" w:rsidRPr="006500AF">
        <w:rPr>
          <w:rFonts w:asciiTheme="minorBidi" w:hAnsiTheme="minorBidi" w:cstheme="minorBidi"/>
          <w:noProof/>
          <w:lang w:eastAsia="en-US" w:bidi="ar-SA"/>
        </w:rPr>
        <w:drawing>
          <wp:inline distT="0" distB="0" distL="0" distR="0" wp14:anchorId="2C840452" wp14:editId="5FA68F16">
            <wp:extent cx="4938395" cy="25666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16D04" w14:textId="77777777" w:rsidR="00592639" w:rsidRPr="006500AF" w:rsidRDefault="00592639">
      <w:pPr>
        <w:spacing w:after="200" w:line="276" w:lineRule="auto"/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</w:rPr>
      </w:pPr>
      <w:r w:rsidRPr="006500AF">
        <w:rPr>
          <w:rFonts w:asciiTheme="minorBidi" w:hAnsiTheme="minorBidi" w:cstheme="minorBidi"/>
          <w:color w:val="1F497D" w:themeColor="text2"/>
          <w:sz w:val="24"/>
          <w:szCs w:val="24"/>
          <w:rtl/>
        </w:rPr>
        <w:br w:type="page"/>
      </w:r>
    </w:p>
    <w:p w14:paraId="329FEDCC" w14:textId="151EF492" w:rsidR="00193994" w:rsidRDefault="006E687B" w:rsidP="00CA3945">
      <w:pPr>
        <w:pStyle w:val="Heading1"/>
        <w:bidi/>
        <w:spacing w:before="0" w:line="360" w:lineRule="auto"/>
        <w:rPr>
          <w:rFonts w:asciiTheme="minorBidi" w:eastAsia="Times New Roman" w:hAnsiTheme="minorBidi" w:cstheme="minorBidi"/>
          <w:color w:val="1F497D" w:themeColor="text2"/>
          <w:sz w:val="24"/>
          <w:szCs w:val="24"/>
          <w:rtl/>
          <w:lang w:bidi="ar-SA"/>
        </w:rPr>
      </w:pPr>
      <w:r>
        <w:rPr>
          <w:rFonts w:asciiTheme="minorBidi" w:eastAsia="Times New Roman" w:hAnsiTheme="minorBidi" w:cs="Arial" w:hint="cs"/>
          <w:color w:val="1F497D" w:themeColor="text2"/>
          <w:sz w:val="24"/>
          <w:szCs w:val="24"/>
          <w:rtl/>
          <w:lang w:bidi="ar-SA"/>
        </w:rPr>
        <w:lastRenderedPageBreak/>
        <w:t>أنشطة</w:t>
      </w:r>
      <w:r w:rsidR="00CA3945" w:rsidRPr="006500AF">
        <w:rPr>
          <w:rFonts w:asciiTheme="minorBidi" w:eastAsia="Times New Roman" w:hAnsiTheme="minorBidi" w:cs="Arial"/>
          <w:color w:val="1F497D" w:themeColor="text2"/>
          <w:sz w:val="24"/>
          <w:szCs w:val="24"/>
          <w:rtl/>
          <w:lang w:bidi="ar-SA"/>
        </w:rPr>
        <w:t xml:space="preserve"> القطاعات الرئيسية في سوق الصرف الأجنبي</w:t>
      </w:r>
      <w:r w:rsidR="00CA3945" w:rsidRPr="006500AF">
        <w:rPr>
          <w:rStyle w:val="FootnoteReference"/>
          <w:rFonts w:asciiTheme="minorBidi" w:eastAsia="Times New Roman" w:hAnsiTheme="minorBidi" w:cstheme="minorBidi"/>
          <w:color w:val="1F497D" w:themeColor="text2"/>
          <w:sz w:val="24"/>
          <w:szCs w:val="24"/>
          <w:rtl/>
        </w:rPr>
        <w:t xml:space="preserve"> </w:t>
      </w:r>
      <w:r w:rsidR="00193994" w:rsidRPr="006500AF">
        <w:rPr>
          <w:rStyle w:val="FootnoteReference"/>
          <w:rFonts w:asciiTheme="minorBidi" w:eastAsia="Times New Roman" w:hAnsiTheme="minorBidi" w:cstheme="minorBidi"/>
          <w:color w:val="1F497D" w:themeColor="text2"/>
          <w:sz w:val="24"/>
          <w:szCs w:val="24"/>
          <w:rtl/>
        </w:rPr>
        <w:footnoteReference w:id="1"/>
      </w:r>
    </w:p>
    <w:p w14:paraId="3C727F8E" w14:textId="77777777" w:rsidR="00CA3945" w:rsidRDefault="00CA3945" w:rsidP="00CA3945">
      <w:pPr>
        <w:bidi/>
        <w:spacing w:line="360" w:lineRule="auto"/>
        <w:rPr>
          <w:rFonts w:asciiTheme="minorBidi" w:hAnsiTheme="minorBidi" w:cstheme="minorBidi"/>
          <w:sz w:val="24"/>
          <w:szCs w:val="24"/>
          <w:rtl/>
          <w:lang w:bidi="ar-SA"/>
        </w:rPr>
      </w:pP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تشير تقديرات نشاط القطاعات </w:t>
      </w:r>
      <w:r w:rsidRPr="00CA3945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>الرئيسية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في سوق الصرف الأجنبي إلى أن </w:t>
      </w:r>
      <w:r w:rsidRPr="00CA394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الهيئات المؤسس</w:t>
      </w:r>
      <w:r w:rsidRPr="00CA394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ات</w:t>
      </w:r>
      <w:r w:rsidRPr="00CA394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ية (صناديق التقاعد</w:t>
      </w:r>
      <w:r w:rsidRPr="00CA394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CA394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CA394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وصناديق التعويض</w:t>
      </w:r>
      <w:r w:rsidRPr="00CA394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وشركات التأمين)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باعت خلال الربع الأول صافي 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نقد 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أجنبي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بنحو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5.3 تقريباً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.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CA394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واشترى قطاع الأعمال والمقيمون الأجانب</w:t>
      </w:r>
      <w:r>
        <w:rPr>
          <w:rFonts w:asciiTheme="minorBidi" w:hAnsiTheme="minorBidi" w:cs="Arial"/>
          <w:sz w:val="24"/>
          <w:szCs w:val="24"/>
          <w:rtl/>
          <w:lang w:bidi="ar-SA"/>
        </w:rPr>
        <w:t xml:space="preserve"> صافي نقد 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أجنبي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بنحو 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2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وبنحو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0.6 مليار دولار على التوالي</w:t>
      </w:r>
      <w:r w:rsidRPr="006500AF">
        <w:rPr>
          <w:rFonts w:asciiTheme="minorBidi" w:hAnsiTheme="minorBidi" w:cstheme="minorBidi"/>
          <w:sz w:val="24"/>
          <w:szCs w:val="24"/>
          <w:rtl/>
        </w:rPr>
        <w:t>.</w:t>
      </w:r>
    </w:p>
    <w:p w14:paraId="0F943944" w14:textId="77777777" w:rsidR="00CA3945" w:rsidRDefault="00CA3945" w:rsidP="00CA3945">
      <w:pPr>
        <w:bidi/>
        <w:rPr>
          <w:rtl/>
          <w:lang w:bidi="ar-SA"/>
        </w:rPr>
      </w:pPr>
    </w:p>
    <w:p w14:paraId="44658E8A" w14:textId="77777777" w:rsidR="00CA3945" w:rsidRDefault="00CA3945" w:rsidP="00CA3945">
      <w:pPr>
        <w:bidi/>
        <w:rPr>
          <w:rtl/>
          <w:lang w:bidi="ar-SA"/>
        </w:rPr>
      </w:pPr>
      <w:r w:rsidRPr="006500AF">
        <w:rPr>
          <w:rFonts w:asciiTheme="minorBidi" w:hAnsiTheme="minorBidi" w:cstheme="minorBidi"/>
          <w:noProof/>
          <w:sz w:val="24"/>
          <w:szCs w:val="24"/>
          <w:lang w:eastAsia="en-US" w:bidi="ar-SA"/>
        </w:rPr>
        <w:drawing>
          <wp:inline distT="0" distB="0" distL="0" distR="0" wp14:anchorId="13CC1BE8" wp14:editId="18574FC0">
            <wp:extent cx="4938395" cy="25666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A1DC0" w14:textId="77777777" w:rsidR="00CA3945" w:rsidRDefault="00CA3945" w:rsidP="00CA3945">
      <w:pPr>
        <w:bidi/>
        <w:rPr>
          <w:rtl/>
          <w:lang w:bidi="ar-SA"/>
        </w:rPr>
      </w:pPr>
    </w:p>
    <w:p w14:paraId="0FF40B85" w14:textId="77777777" w:rsidR="00CA3945" w:rsidRDefault="00CA3945" w:rsidP="00CA3945">
      <w:pPr>
        <w:bidi/>
        <w:rPr>
          <w:rtl/>
          <w:lang w:bidi="ar-SA"/>
        </w:rPr>
      </w:pPr>
    </w:p>
    <w:p w14:paraId="206AACB5" w14:textId="77777777" w:rsidR="00CA3945" w:rsidRPr="00CA3945" w:rsidRDefault="00CA3945" w:rsidP="00CA3945">
      <w:pPr>
        <w:bidi/>
        <w:rPr>
          <w:rFonts w:cs="Times New Roman"/>
          <w:rtl/>
          <w:lang w:bidi="ar-SA"/>
        </w:rPr>
        <w:sectPr w:rsidR="00CA3945" w:rsidRPr="00CA3945" w:rsidSect="004E549D"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 w:rsidRPr="006500AF">
        <w:rPr>
          <w:rFonts w:asciiTheme="minorBidi" w:hAnsiTheme="minorBidi" w:cstheme="minorBidi"/>
          <w:noProof/>
          <w:sz w:val="24"/>
          <w:szCs w:val="24"/>
          <w:lang w:eastAsia="en-US" w:bidi="ar-SA"/>
        </w:rPr>
        <w:drawing>
          <wp:inline distT="0" distB="0" distL="0" distR="0" wp14:anchorId="689B42A1" wp14:editId="2757F813">
            <wp:extent cx="4938395" cy="256667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068DB" w14:textId="77777777" w:rsidR="00193994" w:rsidRPr="006500AF" w:rsidRDefault="00193994" w:rsidP="00193994">
      <w:pPr>
        <w:tabs>
          <w:tab w:val="left" w:pos="2047"/>
        </w:tabs>
        <w:rPr>
          <w:rFonts w:asciiTheme="minorBidi" w:hAnsiTheme="minorBidi" w:cstheme="minorBidi"/>
          <w:rtl/>
          <w:lang w:bidi="ar-SA"/>
        </w:rPr>
        <w:sectPr w:rsidR="00193994" w:rsidRPr="006500AF" w:rsidSect="004E549D">
          <w:footerReference w:type="default" r:id="rId15"/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</w:p>
    <w:p w14:paraId="6E736FE0" w14:textId="77777777" w:rsidR="00CA3945" w:rsidRDefault="00CA3945" w:rsidP="00CA3945">
      <w:pPr>
        <w:tabs>
          <w:tab w:val="left" w:pos="419"/>
        </w:tabs>
        <w:bidi/>
        <w:spacing w:line="360" w:lineRule="auto"/>
        <w:rPr>
          <w:rFonts w:asciiTheme="minorBidi" w:hAnsiTheme="minorBidi" w:cstheme="minorBidi"/>
          <w:sz w:val="24"/>
          <w:szCs w:val="24"/>
          <w:rtl/>
          <w:lang w:bidi="ar-SA"/>
        </w:rPr>
      </w:pPr>
      <w:r>
        <w:rPr>
          <w:rFonts w:asciiTheme="minorBidi" w:hAnsiTheme="minorBidi" w:cstheme="minorBidi"/>
          <w:sz w:val="24"/>
          <w:szCs w:val="24"/>
          <w:rtl/>
          <w:lang w:bidi="ar-SA"/>
        </w:rPr>
        <w:lastRenderedPageBreak/>
        <w:tab/>
      </w:r>
    </w:p>
    <w:p w14:paraId="5D97C7CE" w14:textId="170B0FBF" w:rsidR="00CA3945" w:rsidRPr="00CA3945" w:rsidRDefault="00CA3945" w:rsidP="00CA3945">
      <w:pPr>
        <w:bidi/>
        <w:spacing w:line="360" w:lineRule="auto"/>
        <w:jc w:val="both"/>
        <w:rPr>
          <w:rFonts w:asciiTheme="minorBidi" w:hAnsiTheme="minorBidi" w:cstheme="minorBidi"/>
          <w:b/>
          <w:bCs/>
          <w:color w:val="1F497D" w:themeColor="text2"/>
          <w:sz w:val="24"/>
          <w:szCs w:val="24"/>
        </w:rPr>
      </w:pPr>
      <w:r w:rsidRPr="00CA3945"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>حجم التداول - جداول و</w:t>
      </w:r>
      <w:r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 xml:space="preserve">رسوم </w:t>
      </w:r>
      <w:r w:rsidRPr="00CA3945">
        <w:rPr>
          <w:rFonts w:asciiTheme="minorBidi" w:hAnsiTheme="minorBidi" w:cstheme="minorBidi"/>
          <w:b/>
          <w:bCs/>
          <w:color w:val="1F497D" w:themeColor="text2"/>
          <w:sz w:val="24"/>
          <w:szCs w:val="24"/>
          <w:rtl/>
          <w:lang w:bidi="ar-SA"/>
        </w:rPr>
        <w:t>بيانية</w:t>
      </w:r>
    </w:p>
    <w:p w14:paraId="22D9052D" w14:textId="77777777" w:rsidR="00024BD1" w:rsidRPr="006500AF" w:rsidRDefault="00CA3945" w:rsidP="00CA3945">
      <w:pPr>
        <w:pStyle w:val="Heading2"/>
        <w:bidi/>
        <w:rPr>
          <w:rFonts w:asciiTheme="minorBidi" w:hAnsiTheme="minorBidi" w:cstheme="minorBidi"/>
          <w:sz w:val="24"/>
          <w:szCs w:val="24"/>
          <w:rtl/>
        </w:rPr>
      </w:pPr>
      <w:r w:rsidRPr="00CA3945">
        <w:rPr>
          <w:rFonts w:asciiTheme="minorBidi" w:hAnsiTheme="minorBidi" w:cstheme="minorBidi"/>
          <w:b w:val="0"/>
          <w:bCs w:val="0"/>
          <w:sz w:val="24"/>
          <w:szCs w:val="24"/>
          <w:rtl/>
          <w:lang w:bidi="ar-SA"/>
        </w:rPr>
        <w:t xml:space="preserve">حجم التجارة </w:t>
      </w:r>
      <w:r w:rsidRPr="00CA3945">
        <w:rPr>
          <w:rFonts w:asciiTheme="minorBidi" w:hAnsiTheme="minorBidi" w:cstheme="minorBidi" w:hint="cs"/>
          <w:b w:val="0"/>
          <w:bCs w:val="0"/>
          <w:sz w:val="24"/>
          <w:szCs w:val="24"/>
          <w:rtl/>
          <w:lang w:bidi="ar-SA"/>
        </w:rPr>
        <w:t>مع</w:t>
      </w:r>
      <w:r w:rsidRPr="00CA3945">
        <w:rPr>
          <w:rFonts w:asciiTheme="minorBidi" w:hAnsiTheme="minorBidi" w:cstheme="minorBidi"/>
          <w:b w:val="0"/>
          <w:bCs w:val="0"/>
          <w:sz w:val="24"/>
          <w:szCs w:val="24"/>
          <w:rtl/>
          <w:lang w:bidi="ar-SA"/>
        </w:rPr>
        <w:t xml:space="preserve"> النظام المصرفي المحلي</w:t>
      </w:r>
      <w:r w:rsidRPr="006500AF">
        <w:rPr>
          <w:rFonts w:asciiTheme="minorBidi" w:hAnsiTheme="minorBidi" w:cstheme="minorBidi"/>
          <w:vertAlign w:val="superscript"/>
          <w:rtl/>
        </w:rPr>
        <w:t xml:space="preserve"> </w:t>
      </w:r>
      <w:r w:rsidR="00024BD1" w:rsidRPr="006500AF">
        <w:rPr>
          <w:rFonts w:asciiTheme="minorBidi" w:hAnsiTheme="minorBidi" w:cstheme="minorBidi"/>
          <w:vertAlign w:val="superscript"/>
          <w:rtl/>
        </w:rPr>
        <w:footnoteReference w:id="2"/>
      </w:r>
    </w:p>
    <w:p w14:paraId="7AA852EE" w14:textId="77777777" w:rsidR="00024BD1" w:rsidRPr="006500AF" w:rsidRDefault="00024BD1" w:rsidP="00024BD1">
      <w:pPr>
        <w:bidi/>
        <w:rPr>
          <w:rFonts w:asciiTheme="minorBidi" w:hAnsiTheme="minorBidi" w:cstheme="minorBidi"/>
          <w:rtl/>
        </w:rPr>
      </w:pPr>
    </w:p>
    <w:p w14:paraId="26826E85" w14:textId="77777777" w:rsidR="006500AF" w:rsidRPr="006500AF" w:rsidRDefault="006500AF" w:rsidP="00CA3945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74D6BA1B" w14:textId="77777777" w:rsidR="006500AF" w:rsidRPr="006500AF" w:rsidRDefault="006500AF" w:rsidP="00CA3945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انخفض </w:t>
      </w:r>
      <w:r w:rsidRPr="00CA394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متوسط ​​حجم التداول اليومي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خلال الربع بنحو 4.3% إلى مستوى 10.1 مليار دولار، </w:t>
      </w:r>
      <w:r w:rsidR="00CA3945">
        <w:rPr>
          <w:rFonts w:asciiTheme="minorBidi" w:hAnsiTheme="minorBidi" w:cs="Arial" w:hint="cs"/>
          <w:sz w:val="24"/>
          <w:szCs w:val="24"/>
          <w:rtl/>
          <w:lang w:bidi="ar-SA"/>
        </w:rPr>
        <w:t>وجاء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الانخفاض الرئيسي </w:t>
      </w:r>
      <w:r w:rsidR="00CA3945">
        <w:rPr>
          <w:rFonts w:asciiTheme="minorBidi" w:hAnsiTheme="minorBidi" w:cs="Arial" w:hint="cs"/>
          <w:sz w:val="24"/>
          <w:szCs w:val="24"/>
          <w:rtl/>
          <w:lang w:bidi="ar-SA"/>
        </w:rPr>
        <w:t>نتيجة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انخفاض حجم التداول اليومي في معاملات الخيارات.</w:t>
      </w:r>
    </w:p>
    <w:p w14:paraId="6CAE9D2F" w14:textId="77777777" w:rsidR="006500AF" w:rsidRPr="006500AF" w:rsidRDefault="006500AF" w:rsidP="006500AF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</w:rPr>
      </w:pPr>
    </w:p>
    <w:p w14:paraId="01D10C30" w14:textId="77777777" w:rsidR="006500AF" w:rsidRPr="006500AF" w:rsidRDefault="006500AF" w:rsidP="00CA3945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CA394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انخفضت الحصة النسبية لغير المقيمين </w:t>
      </w:r>
      <w:r w:rsidR="00CA3945" w:rsidRPr="00CA3945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CA3945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حجم التداول مع النظام المصرفي المحلي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(عمليات التحويل، ومعاملات الخيارات، وعمليات المبادلة) ب</w:t>
      </w:r>
      <w:r w:rsidR="00CA3945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5.3 نقطة مئوية لتبلغ حوالي 41.3% في نهاية الربع الأول.</w:t>
      </w:r>
    </w:p>
    <w:tbl>
      <w:tblPr>
        <w:bidiVisual/>
        <w:tblW w:w="9666" w:type="dxa"/>
        <w:tblLook w:val="04A0" w:firstRow="1" w:lastRow="0" w:firstColumn="1" w:lastColumn="0" w:noHBand="0" w:noVBand="1"/>
      </w:tblPr>
      <w:tblGrid>
        <w:gridCol w:w="978"/>
        <w:gridCol w:w="2786"/>
        <w:gridCol w:w="995"/>
        <w:gridCol w:w="927"/>
        <w:gridCol w:w="1353"/>
        <w:gridCol w:w="1065"/>
        <w:gridCol w:w="1562"/>
      </w:tblGrid>
      <w:tr w:rsidR="00C84391" w:rsidRPr="006500AF" w14:paraId="6FD247C3" w14:textId="77777777" w:rsidTr="00853663">
        <w:trPr>
          <w:trHeight w:val="300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4782" w14:textId="77777777" w:rsidR="00343917" w:rsidRPr="006500AF" w:rsidRDefault="0059148B" w:rsidP="001819DD">
            <w:pPr>
              <w:spacing w:after="200" w:line="276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500AF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lang w:eastAsia="en-US" w:bidi="ar-SA"/>
              </w:rPr>
              <w:drawing>
                <wp:inline distT="0" distB="0" distL="0" distR="0" wp14:anchorId="74D4C5B8" wp14:editId="21B2155D">
                  <wp:extent cx="4938395" cy="2566670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8395" cy="2566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3D174E" w14:textId="77777777" w:rsidR="0094220E" w:rsidRPr="006500AF" w:rsidRDefault="0094220E" w:rsidP="00C8439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  <w:p w14:paraId="4BB3C3FB" w14:textId="77777777" w:rsidR="00C84391" w:rsidRPr="006500AF" w:rsidRDefault="006500AF" w:rsidP="00F8795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eastAsia="en-US" w:bidi="ar-SA"/>
              </w:rPr>
            </w:pPr>
            <w:r w:rsidRPr="006500AF"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eastAsia="en-US" w:bidi="ar-SA"/>
              </w:rPr>
              <w:t xml:space="preserve">معاملات النقد الأجنبي </w:t>
            </w:r>
            <w:r w:rsidR="00F8795B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  <w:lang w:eastAsia="en-US" w:bidi="ar-SA"/>
              </w:rPr>
              <w:t>مع</w:t>
            </w:r>
            <w:r w:rsidRPr="006500AF"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eastAsia="en-US" w:bidi="ar-SA"/>
              </w:rPr>
              <w:t xml:space="preserve"> البنوك المحلية </w:t>
            </w:r>
            <w:r w:rsidR="00F8795B">
              <w:rPr>
                <w:rFonts w:asciiTheme="minorBidi" w:hAnsiTheme="minorBidi" w:cs="Arial" w:hint="cs"/>
                <w:b/>
                <w:bCs/>
                <w:sz w:val="22"/>
                <w:szCs w:val="22"/>
                <w:rtl/>
                <w:lang w:eastAsia="en-US" w:bidi="ar-SA"/>
              </w:rPr>
              <w:t>ب</w:t>
            </w:r>
            <w:r w:rsidRPr="006500AF">
              <w:rPr>
                <w:rFonts w:asciiTheme="minorBidi" w:hAnsiTheme="minorBidi" w:cs="Arial"/>
                <w:b/>
                <w:bCs/>
                <w:sz w:val="22"/>
                <w:szCs w:val="22"/>
                <w:rtl/>
                <w:lang w:eastAsia="en-US" w:bidi="ar-SA"/>
              </w:rPr>
              <w:t>حسب الأدوات والقطاعات (بملايين الدولارات)</w:t>
            </w:r>
          </w:p>
          <w:tbl>
            <w:tblPr>
              <w:bidiVisual/>
              <w:tblW w:w="9440" w:type="dxa"/>
              <w:tblLook w:val="04A0" w:firstRow="1" w:lastRow="0" w:firstColumn="1" w:lastColumn="0" w:noHBand="0" w:noVBand="1"/>
            </w:tblPr>
            <w:tblGrid>
              <w:gridCol w:w="950"/>
              <w:gridCol w:w="3213"/>
              <w:gridCol w:w="894"/>
              <w:gridCol w:w="867"/>
              <w:gridCol w:w="1216"/>
              <w:gridCol w:w="888"/>
              <w:gridCol w:w="1412"/>
            </w:tblGrid>
            <w:tr w:rsidR="00853663" w:rsidRPr="006500AF" w14:paraId="4A74F507" w14:textId="77777777" w:rsidTr="00EA0BAC">
              <w:trPr>
                <w:trHeight w:val="795"/>
              </w:trPr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25A4F" w14:textId="77777777" w:rsidR="00853663" w:rsidRPr="006500AF" w:rsidRDefault="00853663" w:rsidP="00853663">
                  <w:pPr>
                    <w:rPr>
                      <w:rFonts w:asciiTheme="minorBidi" w:hAnsiTheme="minorBidi" w:cstheme="minorBidi"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FF78A5" w14:textId="77777777" w:rsidR="00853663" w:rsidRPr="006500AF" w:rsidRDefault="00853663" w:rsidP="00853663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C413A8" w14:textId="26995CEE" w:rsidR="00853663" w:rsidRPr="006500AF" w:rsidRDefault="006500AF" w:rsidP="00853663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 xml:space="preserve">معاملات التحويل </w:t>
                  </w:r>
                  <w:r w:rsidR="00853663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(1) 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2D2F8" w14:textId="318F5E18" w:rsidR="00853663" w:rsidRPr="006500AF" w:rsidRDefault="006500AF" w:rsidP="00853663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 xml:space="preserve">معاملات الصرف </w:t>
                  </w:r>
                  <w:r w:rsidR="00853663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1</w:t>
                  </w:r>
                  <w:r w:rsidR="00853663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</w:t>
                  </w:r>
                  <w:r w:rsidR="00BD55C0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>سواب</w:t>
                  </w:r>
                  <w:r w:rsidR="00853663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) (2)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4641C" w14:textId="64199B1A" w:rsidR="00853663" w:rsidRPr="006500AF" w:rsidRDefault="00853663" w:rsidP="00853663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="006500AF"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 xml:space="preserve">معاملات الصرف 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2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  <w:t>Cross Currency Swap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(3)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17538" w14:textId="45603339" w:rsidR="00853663" w:rsidRPr="006500AF" w:rsidRDefault="006500AF" w:rsidP="00853663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 xml:space="preserve">معاملات الخيارات </w:t>
                  </w:r>
                  <w:r w:rsidR="00853663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  <w:lang w:eastAsia="en-US"/>
                    </w:rPr>
                    <w:t>3</w:t>
                  </w:r>
                  <w:r w:rsidR="00853663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 xml:space="preserve"> (4)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AA04F" w14:textId="1699F870" w:rsidR="00853663" w:rsidRPr="006500AF" w:rsidRDefault="006500AF" w:rsidP="00853663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</w:pPr>
                  <w:r w:rsidRPr="006500AF">
                    <w:rPr>
                      <w:rFonts w:asciiTheme="minorBidi" w:hAnsiTheme="minorBidi" w:cs="Arial"/>
                      <w:b/>
                      <w:bCs/>
                      <w:sz w:val="18"/>
                      <w:szCs w:val="18"/>
                      <w:rtl/>
                      <w:lang w:eastAsia="en-US" w:bidi="ar-SA"/>
                    </w:rPr>
                    <w:t xml:space="preserve">إجمالي حجم التداول </w:t>
                  </w:r>
                  <w:r w:rsidR="00853663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(</w:t>
                  </w:r>
                  <w:proofErr w:type="gramStart"/>
                  <w:r w:rsidR="00853663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1)+(</w:t>
                  </w:r>
                  <w:proofErr w:type="gramEnd"/>
                  <w:r w:rsidR="00853663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eastAsia="en-US"/>
                    </w:rPr>
                    <w:t>2)+(3)+(4)</w:t>
                  </w:r>
                </w:p>
              </w:tc>
            </w:tr>
            <w:tr w:rsidR="00BE7BEF" w:rsidRPr="006500AF" w14:paraId="7648DC99" w14:textId="77777777" w:rsidTr="00EA0BAC">
              <w:trPr>
                <w:trHeight w:val="210"/>
              </w:trPr>
              <w:tc>
                <w:tcPr>
                  <w:tcW w:w="9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8F0FA" w14:textId="24F035D4" w:rsidR="00BE7BEF" w:rsidRPr="006500AF" w:rsidRDefault="00BD55C0" w:rsidP="00BE7BEF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الربع الأول</w:t>
                  </w:r>
                  <w:r w:rsidR="00BE7BEF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2024 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معطى مؤقت</w:t>
                  </w:r>
                  <w:r w:rsidR="00BE7BEF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A715BB9" w14:textId="0A5A4C7D" w:rsidR="00BE7BEF" w:rsidRPr="006500AF" w:rsidRDefault="00BD55C0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الاجمالي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9D884D4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173,432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26C6A78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421,178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43D52F0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1,374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FA396C1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18,385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1DB5497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614,368 </w:t>
                  </w:r>
                </w:p>
              </w:tc>
            </w:tr>
            <w:tr w:rsidR="00BE7BEF" w:rsidRPr="006500AF" w14:paraId="30B374AA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3DF2D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AD5BC75" w14:textId="1C026F5A" w:rsidR="00BE7BEF" w:rsidRPr="006500AF" w:rsidRDefault="00BD55C0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الإجمالي (متوسط يومي وفق 61 يوم تداول)</w:t>
                  </w:r>
                  <w:r w:rsidR="00BE7BEF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4AB98B1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2,843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60D7D05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6,905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E81DD91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23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71DD8B7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bookmarkStart w:id="0" w:name="RANGE!F7"/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301 </w:t>
                  </w:r>
                  <w:bookmarkEnd w:id="0"/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F0FEAE7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10,072 </w:t>
                  </w:r>
                </w:p>
              </w:tc>
            </w:tr>
            <w:tr w:rsidR="00BE7BEF" w:rsidRPr="006500AF" w14:paraId="1FD6FFE8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F61F1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D3FA0" w14:textId="16B86CAC" w:rsidR="00BE7BEF" w:rsidRPr="006500AF" w:rsidRDefault="00BD55C0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المقيمين الأجانب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EDEAE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53,789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16EDD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194,246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6C9DB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941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AD1E3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5,562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2F111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254,538 </w:t>
                  </w:r>
                </w:p>
              </w:tc>
            </w:tr>
            <w:tr w:rsidR="00BE7BEF" w:rsidRPr="006500AF" w14:paraId="1C978D6B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41BE2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E7436" w14:textId="431D7936" w:rsidR="00BE7BEF" w:rsidRPr="006500AF" w:rsidRDefault="00BD55C0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 xml:space="preserve">منهم: مؤسسات مالية أجنبية 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CFD8F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53,068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8046F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194,197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EEA9F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941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B9681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5,562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983F2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253,767 </w:t>
                  </w:r>
                </w:p>
              </w:tc>
            </w:tr>
            <w:tr w:rsidR="00BE7BEF" w:rsidRPr="006500AF" w14:paraId="17D26FD6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905AE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BCCD0" w14:textId="5953AC0E" w:rsidR="00BE7BEF" w:rsidRPr="006500AF" w:rsidRDefault="00BD55C0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سكان اسرائيل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D10EB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119,643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EDA8A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226,932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2D1CD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433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76E15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12,823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6CF7A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359,831 </w:t>
                  </w:r>
                </w:p>
              </w:tc>
            </w:tr>
            <w:tr w:rsidR="00BE7BEF" w:rsidRPr="006500AF" w14:paraId="0B4A2830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92986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AF025" w14:textId="695043BA" w:rsidR="00BE7BEF" w:rsidRPr="006500AF" w:rsidRDefault="00BD55C0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منهم</w:t>
                  </w:r>
                  <w:r w:rsidR="00BE7BEF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: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القطاع الحقيقي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BB75A9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39,301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DB366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24,015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85C8C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132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33083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6,402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900A2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69,849 </w:t>
                  </w:r>
                </w:p>
              </w:tc>
            </w:tr>
            <w:tr w:rsidR="00BE7BEF" w:rsidRPr="006500AF" w14:paraId="675DBFB9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46B0A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B41E9" w14:textId="754285DF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BD55C0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القطاع المالي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C7B55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37,333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4571A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108,375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E5797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2F8D9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813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17121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146,521 </w:t>
                  </w:r>
                </w:p>
              </w:tc>
            </w:tr>
            <w:tr w:rsidR="00BE7BEF" w:rsidRPr="006500AF" w14:paraId="099A27CA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11A04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FBDF4" w14:textId="372F3384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EA0BAC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المؤسسات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(</w:t>
                  </w:r>
                  <w:r w:rsidR="00EA0BAC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شركات التأمين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723D1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21,867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CB29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78,893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FD39D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156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61836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2,880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B91ED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103,796 </w:t>
                  </w:r>
                </w:p>
              </w:tc>
            </w:tr>
            <w:tr w:rsidR="00BE7BEF" w:rsidRPr="006500AF" w14:paraId="03184358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51911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F9337" w14:textId="507F1AAD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 w:bidi="ar-SA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EA0BAC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أفراد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F9081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2,669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77171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222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7C7F3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EB58E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123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7E13B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3,015 </w:t>
                  </w:r>
                </w:p>
              </w:tc>
            </w:tr>
            <w:tr w:rsidR="00BE7BEF" w:rsidRPr="006500AF" w14:paraId="187D1092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C2F34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BCC7D" w14:textId="7456C6C6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EA0BAC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آخرون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0A5C9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722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4E9B6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49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6AEDB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EC2D3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50C7D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770 </w:t>
                  </w:r>
                </w:p>
              </w:tc>
            </w:tr>
            <w:tr w:rsidR="00BE7BEF" w:rsidRPr="006500AF" w14:paraId="73E32E4D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17FF1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5FE4B" w14:textId="6D63B4AF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EA0BAC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آخرون</w:t>
                  </w:r>
                  <w:r w:rsidR="00EA0BAC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 xml:space="preserve"> 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95080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9,780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1FC65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11,391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C6384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146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29AF8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1,712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FDD21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23,029 </w:t>
                  </w:r>
                </w:p>
              </w:tc>
            </w:tr>
            <w:tr w:rsidR="00BE7BEF" w:rsidRPr="006500AF" w14:paraId="73AB6BA3" w14:textId="77777777" w:rsidTr="00EA0BAC">
              <w:trPr>
                <w:trHeight w:val="210"/>
              </w:trPr>
              <w:tc>
                <w:tcPr>
                  <w:tcW w:w="9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42EB7" w14:textId="38492771" w:rsidR="00BE7BEF" w:rsidRPr="006500AF" w:rsidRDefault="00BD55C0" w:rsidP="00BE7BEF">
                  <w:pPr>
                    <w:bidi/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الربع الرابع</w:t>
                  </w:r>
                  <w:r w:rsidR="00BE7BEF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2023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D310E4E" w14:textId="34BDFE6E" w:rsidR="00BE7BEF" w:rsidRPr="006500AF" w:rsidRDefault="00EA0BAC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  <w:lang w:bidi="ar-SA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الاجمالي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DFE887F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bookmarkStart w:id="1" w:name="RANGE!C17"/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180,407 </w:t>
                  </w:r>
                  <w:bookmarkEnd w:id="1"/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8C758E3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437,838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2A9D3E9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1,607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8334425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21,991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1CA299D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641,843 </w:t>
                  </w:r>
                </w:p>
              </w:tc>
            </w:tr>
            <w:tr w:rsidR="00BE7BEF" w:rsidRPr="006500AF" w14:paraId="5AEBDDAF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D32F2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6A82297" w14:textId="6FDC24DD" w:rsidR="00BE7BEF" w:rsidRPr="006500AF" w:rsidRDefault="00EA0BAC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الإجمالي (متوسط يومي وفق 61 يوم تداول)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B43C8EE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bookmarkStart w:id="2" w:name="RANGE!C18"/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2,957 </w:t>
                  </w:r>
                  <w:bookmarkEnd w:id="2"/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28036A4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7,178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BBD05E0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26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D97231E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361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A2AE6F9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  <w:t xml:space="preserve">10,522 </w:t>
                  </w:r>
                </w:p>
              </w:tc>
            </w:tr>
            <w:tr w:rsidR="00EA0BAC" w:rsidRPr="006500AF" w14:paraId="47AF7D13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46CE6" w14:textId="77777777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283BB" w14:textId="4EBC11F8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المقيمين الأجانب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45E0D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58,549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8C647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240,538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B7C6A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579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0DAA1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7,555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03073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307,220 </w:t>
                  </w:r>
                </w:p>
              </w:tc>
            </w:tr>
            <w:tr w:rsidR="00EA0BAC" w:rsidRPr="006500AF" w14:paraId="5C07180A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E1ED1" w14:textId="77777777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0F464" w14:textId="4334C4CA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 xml:space="preserve">منهم: مؤسسات مالية أجنبية 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C9091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57,805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30EA0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240,467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E505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579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62C2F0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7,555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D4E07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306,405 </w:t>
                  </w:r>
                </w:p>
              </w:tc>
            </w:tr>
            <w:tr w:rsidR="00EA0BAC" w:rsidRPr="006500AF" w14:paraId="243DE97B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22C00" w14:textId="77777777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EB2D8" w14:textId="53311DC3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سكان اسرائيل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0072C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121,858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002D2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197,299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8F1FB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1,028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7ECCC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14,437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413F1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334,623 </w:t>
                  </w:r>
                </w:p>
              </w:tc>
            </w:tr>
            <w:tr w:rsidR="00EA0BAC" w:rsidRPr="006500AF" w14:paraId="37771E4D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2E0DB" w14:textId="77777777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93536" w14:textId="6E847A59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منهم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: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القطاع الحقيقي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B11A3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42,231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07CD2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24,952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15FA1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143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E6712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6,390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5179A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73,716 </w:t>
                  </w:r>
                </w:p>
              </w:tc>
            </w:tr>
            <w:tr w:rsidR="00EA0BAC" w:rsidRPr="006500AF" w14:paraId="3C0688A6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24204" w14:textId="77777777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B8FAE" w14:textId="72DD8BEF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القطاع المالي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40CB5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34,806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85765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86,110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D76C9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2E698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833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52C70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121,759 </w:t>
                  </w:r>
                </w:p>
              </w:tc>
            </w:tr>
            <w:tr w:rsidR="00EA0BAC" w:rsidRPr="006500AF" w14:paraId="4C7C164B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B5187A" w14:textId="77777777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8E7CB" w14:textId="2BF7159B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المؤسسات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شركات التأمين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15107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20,778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E642A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74,098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58B4E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660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E0679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3,620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B59AE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99,156 </w:t>
                  </w:r>
                </w:p>
              </w:tc>
            </w:tr>
            <w:tr w:rsidR="00EA0BAC" w:rsidRPr="006500AF" w14:paraId="4719A6B5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009EC" w14:textId="77777777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971F0" w14:textId="6BA66FFC" w:rsidR="00EA0BAC" w:rsidRPr="006500AF" w:rsidRDefault="00EA0BAC" w:rsidP="00EA0BAC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أفراد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4B770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3,109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E26D1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499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405C0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D9141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159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A6A37" w14:textId="77777777" w:rsidR="00EA0BAC" w:rsidRPr="006500AF" w:rsidRDefault="00EA0BAC" w:rsidP="00EA0BAC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3,768 </w:t>
                  </w:r>
                </w:p>
              </w:tc>
            </w:tr>
            <w:tr w:rsidR="00BE7BEF" w:rsidRPr="006500AF" w14:paraId="055A2230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D48B8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B81F4" w14:textId="1E092E62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EA0BAC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آخرون</w:t>
                  </w:r>
                  <w:r w:rsidR="00EA0BAC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 xml:space="preserve"> 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52F95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744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F149C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71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68855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8C852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9C869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815 </w:t>
                  </w:r>
                </w:p>
              </w:tc>
            </w:tr>
            <w:tr w:rsidR="00BE7BEF" w:rsidRPr="006500AF" w14:paraId="42DFDEBA" w14:textId="77777777" w:rsidTr="00EA0BAC">
              <w:trPr>
                <w:trHeight w:val="210"/>
              </w:trPr>
              <w:tc>
                <w:tcPr>
                  <w:tcW w:w="9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E4E32" w14:textId="77777777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ACE4D" w14:textId="0DC25B46" w:rsidR="00BE7BEF" w:rsidRPr="006500AF" w:rsidRDefault="00BE7BEF" w:rsidP="00BE7BEF">
                  <w:pPr>
                    <w:bidi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 w:rsidR="00EA0BAC"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آخرون</w:t>
                  </w:r>
                  <w:r w:rsidR="00EA0BAC"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 xml:space="preserve"> </w:t>
                  </w:r>
                  <w:r w:rsidRPr="006500A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vertAlign w:val="superscript"/>
                      <w:rtl/>
                    </w:rPr>
                    <w:t>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91673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12,661 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5EEF48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8,802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E44CC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116 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1FCF5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2,660 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21B58" w14:textId="77777777" w:rsidR="00BE7BEF" w:rsidRPr="006500AF" w:rsidRDefault="00BE7BEF" w:rsidP="00BE7BEF">
                  <w:pPr>
                    <w:jc w:val="center"/>
                    <w:rPr>
                      <w:rFonts w:asciiTheme="minorBidi" w:hAnsiTheme="minorBidi" w:cstheme="minorBidi"/>
                      <w:sz w:val="18"/>
                      <w:szCs w:val="18"/>
                    </w:rPr>
                  </w:pPr>
                  <w:r w:rsidRPr="006500AF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24,239 </w:t>
                  </w:r>
                </w:p>
              </w:tc>
            </w:tr>
          </w:tbl>
          <w:p w14:paraId="217064A8" w14:textId="77777777" w:rsidR="00853663" w:rsidRPr="006500AF" w:rsidRDefault="00853663" w:rsidP="00853663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84391" w:rsidRPr="006500AF" w14:paraId="5C13CFB0" w14:textId="77777777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EFA9" w14:textId="77777777" w:rsidR="00C84391" w:rsidRPr="006500AF" w:rsidRDefault="00C84391" w:rsidP="00C8439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0EEC" w14:textId="77777777" w:rsidR="00C84391" w:rsidRPr="006500AF" w:rsidRDefault="00C84391" w:rsidP="00C84391">
            <w:pPr>
              <w:jc w:val="center"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3631" w14:textId="77777777" w:rsidR="00C84391" w:rsidRPr="006500AF" w:rsidRDefault="00C84391" w:rsidP="00C84391">
            <w:pPr>
              <w:jc w:val="center"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FA6D" w14:textId="77777777" w:rsidR="00C84391" w:rsidRPr="006500AF" w:rsidRDefault="00C84391" w:rsidP="00C84391">
            <w:pPr>
              <w:jc w:val="center"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EE8F" w14:textId="77777777" w:rsidR="00C84391" w:rsidRPr="006500AF" w:rsidRDefault="00C84391" w:rsidP="00C84391">
            <w:pPr>
              <w:jc w:val="center"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97F3" w14:textId="77777777" w:rsidR="00C84391" w:rsidRPr="006500AF" w:rsidRDefault="00C84391" w:rsidP="00C84391">
            <w:pPr>
              <w:jc w:val="center"/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15C" w14:textId="77777777" w:rsidR="00C84391" w:rsidRPr="006500AF" w:rsidRDefault="00C84391" w:rsidP="00C84391">
            <w:pPr>
              <w:jc w:val="center"/>
              <w:rPr>
                <w:rFonts w:asciiTheme="minorBidi" w:hAnsiTheme="minorBidi" w:cstheme="minorBidi"/>
                <w:lang w:eastAsia="en-US"/>
              </w:rPr>
            </w:pPr>
          </w:p>
        </w:tc>
      </w:tr>
      <w:tr w:rsidR="00C84391" w:rsidRPr="006500AF" w14:paraId="0866D267" w14:textId="77777777" w:rsidTr="00853663">
        <w:trPr>
          <w:trHeight w:val="4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38A25" w14:textId="77777777" w:rsidR="00C84391" w:rsidRPr="006500AF" w:rsidRDefault="00C84391" w:rsidP="00C84391">
            <w:pPr>
              <w:jc w:val="center"/>
              <w:rPr>
                <w:rFonts w:asciiTheme="minorBidi" w:hAnsiTheme="minorBid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7AD45" w14:textId="77777777" w:rsidR="00C84391" w:rsidRPr="006500AF" w:rsidRDefault="00C84391" w:rsidP="00C84391">
            <w:pPr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F0569" w14:textId="77777777" w:rsidR="00C84391" w:rsidRPr="006500AF" w:rsidRDefault="00C84391" w:rsidP="00C84391">
            <w:pPr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F62B7" w14:textId="77777777" w:rsidR="00C84391" w:rsidRPr="006500AF" w:rsidRDefault="00C84391" w:rsidP="00C84391">
            <w:pPr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ACA97" w14:textId="77777777" w:rsidR="00C84391" w:rsidRPr="006500AF" w:rsidRDefault="00C84391" w:rsidP="00C84391">
            <w:pPr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AE0F8" w14:textId="77777777" w:rsidR="00C84391" w:rsidRPr="006500AF" w:rsidRDefault="00C84391" w:rsidP="00C84391">
            <w:pPr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542F6" w14:textId="77777777" w:rsidR="00C84391" w:rsidRPr="006500AF" w:rsidRDefault="00C84391" w:rsidP="00C84391">
            <w:pPr>
              <w:rPr>
                <w:rFonts w:asciiTheme="minorBidi" w:hAnsiTheme="minorBidi" w:cstheme="minorBidi"/>
                <w:lang w:eastAsia="en-US"/>
              </w:rPr>
            </w:pPr>
          </w:p>
        </w:tc>
      </w:tr>
      <w:tr w:rsidR="00C84391" w:rsidRPr="006500AF" w14:paraId="56EAB764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76C8" w14:textId="77777777" w:rsidR="00C84391" w:rsidRPr="006500AF" w:rsidRDefault="00C84391" w:rsidP="00C84391">
            <w:pPr>
              <w:rPr>
                <w:rFonts w:asciiTheme="minorBidi" w:hAnsiTheme="minorBidi" w:cstheme="minorBidi"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CDCB" w14:textId="03A4958C" w:rsidR="00C84391" w:rsidRPr="006500AF" w:rsidRDefault="00C84391" w:rsidP="00075760">
            <w:pPr>
              <w:bidi/>
              <w:rPr>
                <w:rFonts w:asciiTheme="minorBidi" w:hAnsiTheme="minorBidi" w:cstheme="minorBidi"/>
                <w:sz w:val="12"/>
                <w:szCs w:val="12"/>
                <w:rtl/>
                <w:lang w:eastAsia="en-US" w:bidi="ar-SA"/>
              </w:rPr>
            </w:pPr>
            <w:r w:rsidRPr="006500AF">
              <w:rPr>
                <w:rFonts w:asciiTheme="minorBidi" w:hAnsiTheme="minorBidi" w:cstheme="minorBidi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6500AF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 xml:space="preserve"> </w:t>
            </w:r>
            <w:r w:rsidR="006E687B" w:rsidRPr="00456825">
              <w:rPr>
                <w:rFonts w:ascii="Arial" w:hAnsi="Arial" w:cs="Arial"/>
                <w:color w:val="2E3D50"/>
                <w:sz w:val="12"/>
                <w:szCs w:val="12"/>
                <w:rtl/>
                <w:lang w:bidi="ar-SA"/>
              </w:rPr>
              <w:t>سلسلة واحدة فقط من معاملة المقايضة، أي القيمة الاسمية للمعاملة</w:t>
            </w:r>
            <w:r w:rsidR="006E687B">
              <w:rPr>
                <w:rFonts w:ascii="Arial" w:hAnsi="Arial" w:cs="Arial" w:hint="cs"/>
                <w:color w:val="2E3D50"/>
                <w:sz w:val="12"/>
                <w:szCs w:val="12"/>
                <w:rtl/>
                <w:lang w:bidi="ar-SA"/>
              </w:rPr>
              <w:t xml:space="preserve"> (</w:t>
            </w:r>
            <w:r w:rsidR="006E687B" w:rsidRPr="00456825">
              <w:rPr>
                <w:rFonts w:ascii="Arial" w:hAnsi="Arial" w:cs="Arial"/>
                <w:color w:val="2E3D50"/>
                <w:sz w:val="12"/>
                <w:szCs w:val="12"/>
                <w:rtl/>
                <w:lang w:bidi="ar-SA"/>
              </w:rPr>
              <w:t>وفقًا لتعريفات بنك التسويات الدولية</w:t>
            </w:r>
            <w:r w:rsidR="006E687B">
              <w:rPr>
                <w:rFonts w:asciiTheme="minorBidi" w:hAnsiTheme="minorBidi" w:cstheme="minorBidi" w:hint="cs"/>
                <w:sz w:val="12"/>
                <w:szCs w:val="12"/>
                <w:rtl/>
                <w:lang w:eastAsia="en-US" w:bidi="ar-SA"/>
              </w:rPr>
              <w:t xml:space="preserve"> </w:t>
            </w:r>
            <w:r w:rsidR="006E687B">
              <w:rPr>
                <w:rFonts w:asciiTheme="minorBidi" w:hAnsiTheme="minorBidi" w:cstheme="minorBidi"/>
                <w:sz w:val="12"/>
                <w:szCs w:val="12"/>
                <w:lang w:eastAsia="en-US" w:bidi="ar-SA"/>
              </w:rPr>
              <w:t>BIS</w:t>
            </w:r>
            <w:r w:rsidR="006E687B">
              <w:rPr>
                <w:rFonts w:asciiTheme="minorBidi" w:hAnsiTheme="minorBidi" w:cstheme="minorBidi" w:hint="cs"/>
                <w:sz w:val="12"/>
                <w:szCs w:val="12"/>
                <w:rtl/>
                <w:lang w:eastAsia="en-US" w:bidi="ar-SA"/>
              </w:rPr>
              <w:t>)</w:t>
            </w:r>
          </w:p>
        </w:tc>
      </w:tr>
      <w:tr w:rsidR="00C84391" w:rsidRPr="006500AF" w14:paraId="4EAC1110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5E95" w14:textId="77777777" w:rsidR="00C84391" w:rsidRPr="006500AF" w:rsidRDefault="00C84391" w:rsidP="00C84391">
            <w:pPr>
              <w:bidi/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3925" w14:textId="5FD627DE" w:rsidR="00C84391" w:rsidRPr="006500AF" w:rsidRDefault="00C84391" w:rsidP="00075760">
            <w:pPr>
              <w:bidi/>
              <w:rPr>
                <w:rFonts w:asciiTheme="minorBidi" w:hAnsiTheme="minorBidi" w:cstheme="minorBidi"/>
                <w:sz w:val="12"/>
                <w:szCs w:val="12"/>
                <w:lang w:eastAsia="en-US" w:bidi="ar-SA"/>
              </w:rPr>
            </w:pPr>
            <w:r w:rsidRPr="006500AF">
              <w:rPr>
                <w:rFonts w:asciiTheme="minorBidi" w:hAnsiTheme="minorBidi" w:cstheme="minorBidi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="00075760">
              <w:rPr>
                <w:rFonts w:asciiTheme="minorBidi" w:hAnsiTheme="minorBidi" w:cstheme="minorBidi" w:hint="cs"/>
                <w:sz w:val="12"/>
                <w:szCs w:val="12"/>
                <w:rtl/>
                <w:lang w:eastAsia="en-US" w:bidi="ar-SA"/>
              </w:rPr>
              <w:t xml:space="preserve"> </w:t>
            </w:r>
            <w:r w:rsidR="006E687B" w:rsidRPr="00456825">
              <w:rPr>
                <w:rFonts w:ascii="Arial" w:hAnsi="Arial" w:cs="Arial"/>
                <w:color w:val="2E3D50"/>
                <w:sz w:val="12"/>
                <w:szCs w:val="12"/>
                <w:rtl/>
                <w:lang w:bidi="ar-SA"/>
              </w:rPr>
              <w:t>سيتم احتساب الصناديق المتبادلة في معاملات</w:t>
            </w:r>
            <w:r w:rsidR="006E687B" w:rsidRPr="00456825">
              <w:rPr>
                <w:rFonts w:ascii="Arial" w:hAnsi="Arial" w:cs="Arial"/>
                <w:color w:val="2E3D50"/>
                <w:sz w:val="12"/>
                <w:szCs w:val="12"/>
              </w:rPr>
              <w:t xml:space="preserve"> Cross Currency Swap </w:t>
            </w:r>
            <w:r w:rsidR="006E687B" w:rsidRPr="00456825">
              <w:rPr>
                <w:rFonts w:ascii="Arial" w:hAnsi="Arial" w:cs="Arial"/>
                <w:color w:val="2E3D50"/>
                <w:sz w:val="12"/>
                <w:szCs w:val="12"/>
                <w:rtl/>
                <w:lang w:bidi="ar-SA"/>
              </w:rPr>
              <w:t>لغرض الحجم كسلسلة واحدة فقط، في الحالات التي يتم فيها خصم السلاسل (سيقان المقايضة) من بعضهما البعض</w:t>
            </w:r>
          </w:p>
        </w:tc>
      </w:tr>
      <w:tr w:rsidR="00C84391" w:rsidRPr="006500AF" w14:paraId="47BF7611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7DBC" w14:textId="77777777" w:rsidR="00C84391" w:rsidRPr="006500AF" w:rsidRDefault="00C84391" w:rsidP="00C84391">
            <w:pPr>
              <w:bidi/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76DB" w14:textId="77777777" w:rsidR="00C84391" w:rsidRPr="006500AF" w:rsidRDefault="00C84391" w:rsidP="00075760">
            <w:pPr>
              <w:bidi/>
              <w:rPr>
                <w:rFonts w:asciiTheme="minorBidi" w:hAnsiTheme="minorBidi" w:cstheme="minorBidi"/>
                <w:sz w:val="12"/>
                <w:szCs w:val="12"/>
                <w:lang w:eastAsia="en-US" w:bidi="ar-SA"/>
              </w:rPr>
            </w:pPr>
            <w:bookmarkStart w:id="3" w:name="RANGE!B31"/>
            <w:r w:rsidRPr="006500AF">
              <w:rPr>
                <w:rFonts w:asciiTheme="minorBidi" w:hAnsiTheme="minorBidi" w:cstheme="minorBidi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6500AF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 xml:space="preserve"> </w:t>
            </w:r>
            <w:r w:rsidR="00075760">
              <w:rPr>
                <w:rFonts w:asciiTheme="minorBidi" w:hAnsiTheme="minorBidi" w:cstheme="minorBidi" w:hint="cs"/>
                <w:sz w:val="12"/>
                <w:szCs w:val="12"/>
                <w:rtl/>
                <w:lang w:eastAsia="en-US" w:bidi="ar-SA"/>
              </w:rPr>
              <w:t>الـ</w:t>
            </w:r>
            <w:r w:rsidRPr="006500AF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 xml:space="preserve"> </w:t>
            </w:r>
            <w:r w:rsidRPr="006500AF">
              <w:rPr>
                <w:rFonts w:asciiTheme="minorBidi" w:hAnsiTheme="minorBidi" w:cstheme="minorBidi"/>
                <w:sz w:val="12"/>
                <w:szCs w:val="12"/>
                <w:lang w:eastAsia="en-US"/>
              </w:rPr>
              <w:t>National value</w:t>
            </w:r>
            <w:r w:rsidRPr="006500AF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>.</w:t>
            </w:r>
            <w:bookmarkEnd w:id="3"/>
            <w:r w:rsidR="006500AF">
              <w:rPr>
                <w:rFonts w:asciiTheme="minorBidi" w:hAnsiTheme="minorBidi" w:cstheme="minorBidi" w:hint="cs"/>
                <w:sz w:val="12"/>
                <w:szCs w:val="12"/>
                <w:rtl/>
                <w:lang w:eastAsia="en-US" w:bidi="ar-SA"/>
              </w:rPr>
              <w:t xml:space="preserve"> </w:t>
            </w:r>
            <w:r w:rsidR="006500AF" w:rsidRPr="006500AF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القيمة الوطنية الإجمالية لمعاملات </w:t>
            </w:r>
            <w:r w:rsidR="00075760" w:rsidRPr="006500AF">
              <w:rPr>
                <w:rFonts w:asciiTheme="minorBidi" w:hAnsiTheme="minorBidi" w:cstheme="minorBidi"/>
                <w:sz w:val="12"/>
                <w:szCs w:val="12"/>
                <w:lang w:eastAsia="en-US"/>
              </w:rPr>
              <w:t>Call</w:t>
            </w:r>
            <w:r w:rsidR="00075760" w:rsidRPr="006500AF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 xml:space="preserve"> </w:t>
            </w:r>
            <w:r w:rsidR="00075760">
              <w:rPr>
                <w:rFonts w:asciiTheme="minorBidi" w:hAnsiTheme="minorBidi" w:cstheme="minorBidi" w:hint="cs"/>
                <w:sz w:val="12"/>
                <w:szCs w:val="12"/>
                <w:rtl/>
                <w:lang w:eastAsia="en-US" w:bidi="ar-SA"/>
              </w:rPr>
              <w:t>و</w:t>
            </w:r>
            <w:r w:rsidR="00075760" w:rsidRPr="006500AF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 xml:space="preserve"> </w:t>
            </w:r>
            <w:r w:rsidR="00075760" w:rsidRPr="006500AF">
              <w:rPr>
                <w:rFonts w:asciiTheme="minorBidi" w:hAnsiTheme="minorBidi" w:cstheme="minorBidi"/>
                <w:sz w:val="12"/>
                <w:szCs w:val="12"/>
                <w:lang w:eastAsia="en-US"/>
              </w:rPr>
              <w:t>Put</w:t>
            </w:r>
            <w:r w:rsidR="006500AF" w:rsidRPr="006500AF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>.</w:t>
            </w:r>
          </w:p>
        </w:tc>
      </w:tr>
      <w:tr w:rsidR="00C84391" w:rsidRPr="006500AF" w14:paraId="146BC648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4118" w14:textId="77777777" w:rsidR="00C84391" w:rsidRPr="006500AF" w:rsidRDefault="00C84391" w:rsidP="00C84391">
            <w:pPr>
              <w:bidi/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042A" w14:textId="15C74D4A" w:rsidR="00C84391" w:rsidRPr="006500AF" w:rsidRDefault="00C84391" w:rsidP="00C84391">
            <w:pPr>
              <w:bidi/>
              <w:rPr>
                <w:rFonts w:asciiTheme="minorBidi" w:hAnsiTheme="minorBidi" w:cstheme="minorBidi"/>
                <w:sz w:val="12"/>
                <w:szCs w:val="12"/>
                <w:lang w:eastAsia="en-US" w:bidi="ar-SA"/>
              </w:rPr>
            </w:pPr>
            <w:bookmarkStart w:id="4" w:name="RANGE!B32"/>
            <w:r w:rsidRPr="006500AF">
              <w:rPr>
                <w:rFonts w:asciiTheme="minorBidi" w:hAnsiTheme="minorBidi" w:cstheme="minorBidi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bookmarkEnd w:id="4"/>
            <w:r w:rsidR="006500AF" w:rsidRPr="006500AF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يشمل </w:t>
            </w:r>
            <w:r w:rsidR="00EA0BAC">
              <w:rPr>
                <w:rFonts w:asciiTheme="minorBidi" w:hAnsiTheme="minorBidi" w:cs="Arial" w:hint="cs"/>
                <w:sz w:val="12"/>
                <w:szCs w:val="12"/>
                <w:rtl/>
                <w:lang w:eastAsia="en-US" w:bidi="ar-SA"/>
              </w:rPr>
              <w:t>هيئات</w:t>
            </w:r>
            <w:r w:rsidR="006500AF" w:rsidRPr="006500AF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 مثل مديري </w:t>
            </w:r>
            <w:r w:rsidR="00EA0BAC">
              <w:rPr>
                <w:rFonts w:asciiTheme="minorBidi" w:hAnsiTheme="minorBidi" w:cs="Arial" w:hint="cs"/>
                <w:sz w:val="12"/>
                <w:szCs w:val="12"/>
                <w:rtl/>
                <w:lang w:eastAsia="en-US" w:bidi="ar-SA"/>
              </w:rPr>
              <w:t>المحافظ</w:t>
            </w:r>
            <w:r w:rsidR="006500AF" w:rsidRPr="006500AF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 والمنظمات غير الربحية والمؤسسات الوطنية وتلك غير المدرجة في </w:t>
            </w:r>
            <w:r w:rsidR="00EA0BAC">
              <w:rPr>
                <w:rFonts w:asciiTheme="minorBidi" w:hAnsiTheme="minorBidi" w:cs="Arial" w:hint="cs"/>
                <w:sz w:val="12"/>
                <w:szCs w:val="12"/>
                <w:rtl/>
                <w:lang w:eastAsia="en-US" w:bidi="ar-SA"/>
              </w:rPr>
              <w:t>البنود</w:t>
            </w:r>
            <w:r w:rsidR="006500AF" w:rsidRPr="006500AF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 الأخرى.</w:t>
            </w:r>
          </w:p>
        </w:tc>
      </w:tr>
      <w:tr w:rsidR="00C84391" w:rsidRPr="006500AF" w14:paraId="48CB7F23" w14:textId="77777777" w:rsidTr="00853663">
        <w:trPr>
          <w:trHeight w:val="1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77ED" w14:textId="77777777" w:rsidR="00C84391" w:rsidRPr="006500AF" w:rsidRDefault="00C84391" w:rsidP="00C84391">
            <w:pPr>
              <w:bidi/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6250" w14:textId="071BB77C" w:rsidR="00C84391" w:rsidRPr="006500AF" w:rsidRDefault="00C84391" w:rsidP="00C84391">
            <w:pPr>
              <w:bidi/>
              <w:rPr>
                <w:rFonts w:asciiTheme="minorBidi" w:hAnsiTheme="minorBidi" w:cstheme="minorBidi"/>
                <w:sz w:val="12"/>
                <w:szCs w:val="12"/>
                <w:lang w:eastAsia="en-US" w:bidi="ar-SA"/>
              </w:rPr>
            </w:pPr>
            <w:bookmarkStart w:id="5" w:name="RANGE!B33"/>
            <w:r w:rsidRPr="006500AF">
              <w:rPr>
                <w:rFonts w:asciiTheme="minorBidi" w:hAnsiTheme="minorBidi" w:cstheme="minorBidi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6500AF">
              <w:rPr>
                <w:rFonts w:asciiTheme="minorBidi" w:hAnsiTheme="minorBidi" w:cstheme="minorBidi"/>
                <w:sz w:val="12"/>
                <w:szCs w:val="12"/>
                <w:rtl/>
                <w:lang w:eastAsia="en-US"/>
              </w:rPr>
              <w:t xml:space="preserve"> </w:t>
            </w:r>
            <w:bookmarkEnd w:id="5"/>
            <w:r w:rsidR="006E687B">
              <w:rPr>
                <w:rFonts w:asciiTheme="minorBidi" w:hAnsiTheme="minorBidi" w:cs="Arial" w:hint="cs"/>
                <w:sz w:val="12"/>
                <w:szCs w:val="12"/>
                <w:rtl/>
                <w:lang w:eastAsia="en-US" w:bidi="ar-SA"/>
              </w:rPr>
              <w:t xml:space="preserve">يتم تقسيم </w:t>
            </w:r>
            <w:r w:rsidR="006500AF" w:rsidRPr="006500AF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إجمالي </w:t>
            </w:r>
            <w:r w:rsidR="00EA0BAC">
              <w:rPr>
                <w:rFonts w:asciiTheme="minorBidi" w:hAnsiTheme="minorBidi" w:cs="Arial" w:hint="cs"/>
                <w:sz w:val="12"/>
                <w:szCs w:val="12"/>
                <w:rtl/>
                <w:lang w:eastAsia="en-US" w:bidi="ar-SA"/>
              </w:rPr>
              <w:t>التداول</w:t>
            </w:r>
            <w:r w:rsidR="006500AF" w:rsidRPr="006500AF">
              <w:rPr>
                <w:rFonts w:asciiTheme="minorBidi" w:hAnsiTheme="minorBidi" w:cs="Arial"/>
                <w:sz w:val="12"/>
                <w:szCs w:val="12"/>
                <w:rtl/>
                <w:lang w:eastAsia="en-US" w:bidi="ar-SA"/>
              </w:rPr>
              <w:t xml:space="preserve"> بين البنوك على اثنين.</w:t>
            </w:r>
          </w:p>
        </w:tc>
      </w:tr>
    </w:tbl>
    <w:p w14:paraId="73931455" w14:textId="77777777" w:rsidR="00BD55C0" w:rsidRDefault="00BD55C0" w:rsidP="00BD55C0">
      <w:pPr>
        <w:bidi/>
        <w:spacing w:line="360" w:lineRule="auto"/>
        <w:jc w:val="both"/>
        <w:rPr>
          <w:rFonts w:asciiTheme="minorBidi" w:eastAsiaTheme="majorEastAsia" w:hAnsiTheme="minorBidi" w:cstheme="minorBidi"/>
          <w:b/>
          <w:bCs/>
          <w:color w:val="4F81BD" w:themeColor="accent1"/>
          <w:sz w:val="24"/>
          <w:szCs w:val="24"/>
          <w:rtl/>
          <w:lang w:bidi="ar-SA"/>
        </w:rPr>
      </w:pPr>
    </w:p>
    <w:p w14:paraId="41D94705" w14:textId="0278E919" w:rsidR="007306CA" w:rsidRPr="00BD55C0" w:rsidRDefault="00BD55C0" w:rsidP="00BD55C0">
      <w:pPr>
        <w:bidi/>
        <w:spacing w:line="360" w:lineRule="auto"/>
        <w:jc w:val="both"/>
        <w:rPr>
          <w:rFonts w:asciiTheme="minorBidi" w:eastAsiaTheme="majorEastAsia" w:hAnsiTheme="minorBidi" w:cstheme="minorBidi"/>
          <w:b/>
          <w:bCs/>
          <w:color w:val="4F81BD" w:themeColor="accent1"/>
          <w:sz w:val="24"/>
          <w:szCs w:val="24"/>
          <w:rtl/>
        </w:rPr>
      </w:pPr>
      <w:r w:rsidRPr="00BD55C0">
        <w:rPr>
          <w:rFonts w:asciiTheme="minorBidi" w:eastAsiaTheme="majorEastAsia" w:hAnsiTheme="minorBidi" w:cstheme="minorBidi"/>
          <w:b/>
          <w:bCs/>
          <w:color w:val="4F81BD" w:themeColor="accent1"/>
          <w:sz w:val="24"/>
          <w:szCs w:val="24"/>
          <w:rtl/>
          <w:lang w:bidi="ar-SA"/>
        </w:rPr>
        <w:t>تقدير حجم التداول الإجمالي</w:t>
      </w:r>
      <w:r w:rsidR="007306CA" w:rsidRPr="006500AF">
        <w:rPr>
          <w:rStyle w:val="FootnoteReference"/>
          <w:rFonts w:asciiTheme="minorBidi" w:hAnsiTheme="minorBidi" w:cstheme="minorBidi"/>
          <w:sz w:val="24"/>
          <w:szCs w:val="24"/>
          <w:rtl/>
        </w:rPr>
        <w:footnoteReference w:id="3"/>
      </w:r>
      <w:r w:rsidR="007306CA" w:rsidRPr="006500AF">
        <w:rPr>
          <w:rFonts w:asciiTheme="minorBidi" w:hAnsiTheme="minorBidi" w:cstheme="minorBidi"/>
          <w:sz w:val="24"/>
          <w:szCs w:val="24"/>
          <w:rtl/>
        </w:rPr>
        <w:t xml:space="preserve"> - </w:t>
      </w:r>
      <w:r w:rsidRPr="00BD55C0">
        <w:rPr>
          <w:rFonts w:asciiTheme="minorBidi" w:eastAsiaTheme="majorEastAsia" w:hAnsiTheme="minorBidi" w:cstheme="minorBidi"/>
          <w:b/>
          <w:bCs/>
          <w:color w:val="4F81BD" w:themeColor="accent1"/>
          <w:sz w:val="24"/>
          <w:szCs w:val="24"/>
          <w:rtl/>
          <w:lang w:bidi="ar-SA"/>
        </w:rPr>
        <w:t xml:space="preserve">النظام المصرفي المحلي </w:t>
      </w:r>
      <w:r>
        <w:rPr>
          <w:rFonts w:asciiTheme="minorBidi" w:eastAsiaTheme="majorEastAsia" w:hAnsiTheme="minorBidi" w:cstheme="minorBidi" w:hint="cs"/>
          <w:b/>
          <w:bCs/>
          <w:color w:val="4F81BD" w:themeColor="accent1"/>
          <w:sz w:val="24"/>
          <w:szCs w:val="24"/>
          <w:rtl/>
          <w:lang w:bidi="ar-SA"/>
        </w:rPr>
        <w:t>والتقارير الأجنبية</w:t>
      </w:r>
    </w:p>
    <w:p w14:paraId="47865479" w14:textId="77777777" w:rsidR="007306CA" w:rsidRPr="006500AF" w:rsidRDefault="007306CA" w:rsidP="007306CA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28D65C27" w14:textId="482FAF6A" w:rsidR="006500AF" w:rsidRPr="006500AF" w:rsidRDefault="006500AF" w:rsidP="006500AF">
      <w:pPr>
        <w:bidi/>
        <w:spacing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يظهر تقدير النشاط الإجمالي في المعاملات مقابل الشيكل </w:t>
      </w:r>
      <w:r w:rsidR="00BD55C0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المنعكس في تقارير الجهاز المصرفي المحلي </w:t>
      </w:r>
      <w:r w:rsidR="00BD55C0">
        <w:rPr>
          <w:rFonts w:asciiTheme="minorBidi" w:hAnsiTheme="minorBidi" w:cs="Arial" w:hint="cs"/>
          <w:sz w:val="24"/>
          <w:szCs w:val="24"/>
          <w:rtl/>
          <w:lang w:bidi="ar-SA"/>
        </w:rPr>
        <w:t>والتقارير الأجنبية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D55C0"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أن الحصة النسبية لغير المقيمين </w:t>
      </w:r>
      <w:r w:rsidR="00BD55C0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6500AF">
        <w:rPr>
          <w:rFonts w:asciiTheme="minorBidi" w:hAnsiTheme="minorBidi" w:cs="Arial"/>
          <w:sz w:val="24"/>
          <w:szCs w:val="24"/>
          <w:rtl/>
          <w:lang w:bidi="ar-SA"/>
        </w:rPr>
        <w:t xml:space="preserve"> حجم التداول في معاملات التحويل (بدون معاملات المبادلة والخيارات) بلغت 81.5٪ في الربع الأول، حيث شكلت التداولات بين الأجانب 70.9% من حجم التداول، بمتوسط ​​يومي بلغ حوالي 10.1 مليار دولار.</w:t>
      </w:r>
    </w:p>
    <w:p w14:paraId="429A10BF" w14:textId="77777777" w:rsidR="00AE755B" w:rsidRPr="006500AF" w:rsidRDefault="00AE755B" w:rsidP="00AE755B">
      <w:pPr>
        <w:bidi/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9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904"/>
        <w:gridCol w:w="1177"/>
        <w:gridCol w:w="1232"/>
        <w:gridCol w:w="1557"/>
        <w:gridCol w:w="999"/>
        <w:gridCol w:w="1235"/>
      </w:tblGrid>
      <w:tr w:rsidR="0050666E" w:rsidRPr="006500AF" w14:paraId="7AF2BB19" w14:textId="77777777" w:rsidTr="0050666E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2B813B4A" w14:textId="77777777" w:rsidR="0050666E" w:rsidRPr="006500AF" w:rsidRDefault="0050666E" w:rsidP="007F4B87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17CC5FCD" w14:textId="77777777" w:rsidR="0050666E" w:rsidRPr="006500AF" w:rsidRDefault="0050666E" w:rsidP="007F4B87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EDC1" w14:textId="39D85A75" w:rsidR="0050666E" w:rsidRPr="006500AF" w:rsidRDefault="00BD55C0" w:rsidP="007F4B87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>الحصة النسبية من حجم التداول الاجمالي</w:t>
            </w:r>
            <w:r w:rsidR="0050666E" w:rsidRPr="006500AF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56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14:paraId="5E44B404" w14:textId="37B2B4F5" w:rsidR="0050666E" w:rsidRPr="006500AF" w:rsidRDefault="006500AF" w:rsidP="007F4B87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="Arial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 xml:space="preserve">الحجم الإجمالي (بملايين </w:t>
            </w:r>
            <w:r w:rsidR="00EA0BAC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>الدولارات</w:t>
            </w:r>
            <w:r w:rsidR="0050666E" w:rsidRPr="006500AF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  <w:t>)</w:t>
            </w:r>
          </w:p>
        </w:tc>
        <w:tc>
          <w:tcPr>
            <w:tcW w:w="124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14:paraId="0CBAF26B" w14:textId="0C8D9B8B" w:rsidR="0050666E" w:rsidRPr="006500AF" w:rsidRDefault="00BD55C0" w:rsidP="000E4B36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>المتوسط اليومي</w:t>
            </w:r>
            <w:r w:rsidR="0050666E" w:rsidRPr="006500AF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 (</w:t>
            </w: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>بملايين</w:t>
            </w:r>
            <w:r w:rsidR="0050666E" w:rsidRPr="006500AF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 </w:t>
            </w:r>
            <w:r w:rsidR="00EA0BAC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>الدولارات</w:t>
            </w:r>
            <w:r w:rsidR="0050666E" w:rsidRPr="006500AF"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  <w:t>)</w:t>
            </w:r>
          </w:p>
        </w:tc>
      </w:tr>
      <w:tr w:rsidR="0050666E" w:rsidRPr="006500AF" w14:paraId="708AE08C" w14:textId="77777777" w:rsidTr="00D2525F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4D00B22E" w14:textId="77777777" w:rsidR="0050666E" w:rsidRPr="006500AF" w:rsidRDefault="0050666E" w:rsidP="007F4B87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2EC0718B" w14:textId="77777777" w:rsidR="0050666E" w:rsidRPr="006500AF" w:rsidRDefault="0050666E" w:rsidP="007F4B87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0AB61" w14:textId="61896CA8" w:rsidR="0050666E" w:rsidRPr="006500AF" w:rsidRDefault="00BD55C0" w:rsidP="007F4B87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</w:pPr>
            <w:r>
              <w:rPr>
                <w:rFonts w:asciiTheme="minorBidi" w:hAnsiTheme="minorBidi" w:cs="Arial" w:hint="cs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>التداول</w:t>
            </w:r>
            <w:r w:rsidR="006500AF" w:rsidRPr="006500AF">
              <w:rPr>
                <w:rFonts w:asciiTheme="minorBidi" w:hAnsiTheme="minorBidi" w:cs="Arial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 xml:space="preserve"> بين الأجانب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5F77" w14:textId="185F4760" w:rsidR="0050666E" w:rsidRPr="006500AF" w:rsidRDefault="00BD55C0" w:rsidP="005534E9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>التداول</w:t>
            </w:r>
            <w:r w:rsidR="006500AF" w:rsidRPr="006500AF">
              <w:rPr>
                <w:rFonts w:asciiTheme="minorBidi" w:hAnsiTheme="minorBidi" w:cs="Arial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 xml:space="preserve"> بين </w:t>
            </w:r>
            <w:r>
              <w:rPr>
                <w:rFonts w:asciiTheme="minorBidi" w:hAnsiTheme="minorBidi" w:cs="Arial" w:hint="cs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>الأجانب والمحليين</w:t>
            </w:r>
            <w:r w:rsidR="0050666E" w:rsidRPr="006500AF">
              <w:rPr>
                <w:rStyle w:val="FootnoteReference"/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  <w:footnoteReference w:id="4"/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A06AF" w14:textId="72BDAFA3" w:rsidR="0050666E" w:rsidRPr="006500AF" w:rsidRDefault="006500AF" w:rsidP="007F4B87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</w:pPr>
            <w:r w:rsidRPr="006500AF">
              <w:rPr>
                <w:rFonts w:asciiTheme="minorBidi" w:hAnsiTheme="minorBidi" w:cs="Arial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>التداول بين النظام المصرفي المحلي والمحلي</w:t>
            </w:r>
            <w:r w:rsidR="00BD55C0">
              <w:rPr>
                <w:rFonts w:asciiTheme="minorBidi" w:hAnsiTheme="minorBidi" w:cs="Arial" w:hint="cs"/>
                <w:b/>
                <w:bCs/>
                <w:color w:val="FFFFFF" w:themeColor="background1"/>
                <w:sz w:val="22"/>
                <w:szCs w:val="22"/>
                <w:rtl/>
                <w:lang w:bidi="ar-SA"/>
              </w:rPr>
              <w:t>ين</w:t>
            </w:r>
          </w:p>
        </w:tc>
        <w:tc>
          <w:tcPr>
            <w:tcW w:w="956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14:paraId="60FF5917" w14:textId="77777777" w:rsidR="0050666E" w:rsidRPr="006500AF" w:rsidRDefault="0050666E" w:rsidP="007F4B87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24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14:paraId="3F09A850" w14:textId="77777777" w:rsidR="0050666E" w:rsidRPr="006500AF" w:rsidRDefault="0050666E" w:rsidP="007F4B87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</w:tr>
      <w:tr w:rsidR="001D2795" w:rsidRPr="006500AF" w14:paraId="5B5CA5AB" w14:textId="77777777" w:rsidTr="00077A6F">
        <w:tc>
          <w:tcPr>
            <w:tcW w:w="1649" w:type="dxa"/>
            <w:vMerge w:val="restart"/>
            <w:tcBorders>
              <w:top w:val="single" w:sz="4" w:space="0" w:color="4F81BD" w:themeColor="accent1"/>
              <w:left w:val="single" w:sz="8" w:space="0" w:color="9CC2E5"/>
              <w:right w:val="single" w:sz="8" w:space="0" w:color="9CC2E5"/>
            </w:tcBorders>
            <w:shd w:val="clear" w:color="auto" w:fill="DEEAF6"/>
          </w:tcPr>
          <w:p w14:paraId="1AD552BF" w14:textId="0D388B4E" w:rsidR="001D2795" w:rsidRPr="006500AF" w:rsidRDefault="00BD55C0" w:rsidP="001D2795">
            <w:pPr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="Arial" w:hint="cs"/>
                <w:rtl/>
                <w:lang w:bidi="ar-SA"/>
              </w:rPr>
              <w:t>الربع</w:t>
            </w:r>
            <w:r w:rsidR="006500AF" w:rsidRPr="006500AF">
              <w:rPr>
                <w:rFonts w:asciiTheme="minorBidi" w:hAnsiTheme="minorBidi" w:cs="Arial"/>
                <w:rtl/>
                <w:lang w:bidi="ar-SA"/>
              </w:rPr>
              <w:t xml:space="preserve"> الأول 2024 </w:t>
            </w:r>
            <w:r>
              <w:rPr>
                <w:rFonts w:asciiTheme="minorBidi" w:hAnsiTheme="minorBidi" w:cs="Arial" w:hint="cs"/>
                <w:rtl/>
                <w:lang w:bidi="ar-SA"/>
              </w:rPr>
              <w:t>معطى</w:t>
            </w:r>
            <w:r w:rsidR="006500AF" w:rsidRPr="006500AF">
              <w:rPr>
                <w:rFonts w:asciiTheme="minorBidi" w:hAnsiTheme="minorBidi" w:cs="Arial"/>
                <w:rtl/>
                <w:lang w:bidi="ar-SA"/>
              </w:rPr>
              <w:t xml:space="preserve"> مؤقت</w:t>
            </w:r>
            <w:r w:rsidR="006E687B">
              <w:rPr>
                <w:rFonts w:asciiTheme="minorBidi" w:hAnsiTheme="minorBidi" w:cs="Arial" w:hint="cs"/>
                <w:rtl/>
                <w:lang w:bidi="ar-SA"/>
              </w:rPr>
              <w:t>)</w:t>
            </w:r>
            <w:r w:rsidR="006500AF" w:rsidRPr="006500AF">
              <w:rPr>
                <w:rFonts w:asciiTheme="minorBidi" w:hAnsiTheme="minorBidi" w:cstheme="minorBidi"/>
              </w:rPr>
              <w:t>)</w:t>
            </w:r>
          </w:p>
          <w:p w14:paraId="04D434D8" w14:textId="77777777" w:rsidR="001D2795" w:rsidRPr="006500AF" w:rsidRDefault="001D2795" w:rsidP="001D279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14:paraId="5BFBF292" w14:textId="4592C6C2" w:rsidR="001D2795" w:rsidRPr="006500AF" w:rsidRDefault="006500AF" w:rsidP="001D2795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SA"/>
              </w:rPr>
            </w:pPr>
            <w:r w:rsidRPr="006500AF">
              <w:rPr>
                <w:rFonts w:asciiTheme="minorBidi" w:hAnsiTheme="minorBidi" w:cs="Arial"/>
                <w:rtl/>
                <w:lang w:bidi="ar-SA"/>
              </w:rPr>
              <w:t>حجم التداول في معاملات التحويل</w:t>
            </w:r>
          </w:p>
        </w:tc>
        <w:tc>
          <w:tcPr>
            <w:tcW w:w="1181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5BC67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lang w:eastAsia="en-US"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>70.9%</w:t>
            </w:r>
          </w:p>
        </w:tc>
        <w:tc>
          <w:tcPr>
            <w:tcW w:w="1235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B4CD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>10.6%</w:t>
            </w:r>
          </w:p>
        </w:tc>
        <w:tc>
          <w:tcPr>
            <w:tcW w:w="1564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A0033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>18.5%</w:t>
            </w:r>
          </w:p>
        </w:tc>
        <w:tc>
          <w:tcPr>
            <w:tcW w:w="956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</w:tcPr>
          <w:p w14:paraId="55F69BAA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614,335 </w:t>
            </w:r>
          </w:p>
        </w:tc>
        <w:tc>
          <w:tcPr>
            <w:tcW w:w="124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</w:tcPr>
          <w:p w14:paraId="70BE9B67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10,071 </w:t>
            </w:r>
          </w:p>
        </w:tc>
      </w:tr>
      <w:tr w:rsidR="001D2795" w:rsidRPr="006500AF" w14:paraId="166514F6" w14:textId="77777777" w:rsidTr="00077A6F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14:paraId="0C4C76A7" w14:textId="77777777" w:rsidR="001D2795" w:rsidRPr="006500AF" w:rsidRDefault="001D2795" w:rsidP="001D2795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14:paraId="6C709CDD" w14:textId="2ADFD90B" w:rsidR="001D2795" w:rsidRPr="006500AF" w:rsidRDefault="006500AF" w:rsidP="001D2795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ar-SA"/>
              </w:rPr>
            </w:pPr>
            <w:r w:rsidRPr="006500AF">
              <w:rPr>
                <w:rFonts w:asciiTheme="minorBidi" w:hAnsiTheme="minorBidi" w:cs="Arial"/>
                <w:rtl/>
                <w:lang w:bidi="ar-SA"/>
              </w:rPr>
              <w:t>حجم التداول في معاملات المبادلة والخيارات</w:t>
            </w:r>
          </w:p>
        </w:tc>
        <w:tc>
          <w:tcPr>
            <w:tcW w:w="1181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ACF7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>47.6%</w:t>
            </w:r>
          </w:p>
        </w:tc>
        <w:tc>
          <w:tcPr>
            <w:tcW w:w="1235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621C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>24.4%</w:t>
            </w:r>
          </w:p>
        </w:tc>
        <w:tc>
          <w:tcPr>
            <w:tcW w:w="1564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B8F7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>27.9%</w:t>
            </w:r>
          </w:p>
        </w:tc>
        <w:tc>
          <w:tcPr>
            <w:tcW w:w="956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</w:tcPr>
          <w:p w14:paraId="1472D20C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923,254 </w:t>
            </w:r>
          </w:p>
        </w:tc>
        <w:tc>
          <w:tcPr>
            <w:tcW w:w="1240" w:type="dxa"/>
            <w:tcBorders>
              <w:top w:val="nil"/>
              <w:left w:val="single" w:sz="8" w:space="0" w:color="9CC2E5"/>
              <w:bottom w:val="single" w:sz="12" w:space="0" w:color="auto"/>
              <w:right w:val="nil"/>
            </w:tcBorders>
            <w:shd w:val="clear" w:color="000000" w:fill="DEEAF6"/>
            <w:vAlign w:val="center"/>
          </w:tcPr>
          <w:p w14:paraId="13F0C292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15,135 </w:t>
            </w:r>
          </w:p>
        </w:tc>
      </w:tr>
      <w:tr w:rsidR="001D2795" w:rsidRPr="006500AF" w14:paraId="2804D933" w14:textId="77777777" w:rsidTr="00077A6F">
        <w:trPr>
          <w:trHeight w:val="886"/>
        </w:trPr>
        <w:tc>
          <w:tcPr>
            <w:tcW w:w="1649" w:type="dxa"/>
            <w:vMerge w:val="restart"/>
            <w:tcBorders>
              <w:top w:val="single" w:sz="12" w:space="0" w:color="auto"/>
              <w:left w:val="single" w:sz="8" w:space="0" w:color="9CC2E5"/>
              <w:right w:val="single" w:sz="8" w:space="0" w:color="9CC2E5"/>
            </w:tcBorders>
            <w:shd w:val="clear" w:color="auto" w:fill="DEEAF6"/>
          </w:tcPr>
          <w:p w14:paraId="3EE1E481" w14:textId="0DF614D2" w:rsidR="001D2795" w:rsidRPr="006500AF" w:rsidRDefault="00BD55C0" w:rsidP="001D2795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الربع الرابع</w:t>
            </w:r>
            <w:r w:rsidR="001D2795" w:rsidRPr="006500AF">
              <w:rPr>
                <w:rFonts w:asciiTheme="minorBidi" w:hAnsiTheme="minorBidi" w:cstheme="minorBidi"/>
                <w:rtl/>
              </w:rPr>
              <w:t xml:space="preserve"> 2023</w:t>
            </w:r>
          </w:p>
          <w:p w14:paraId="7B07F91C" w14:textId="77777777" w:rsidR="001D2795" w:rsidRPr="006500AF" w:rsidRDefault="001D2795" w:rsidP="001D2795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917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14:paraId="7BEC959D" w14:textId="348987BE" w:rsidR="001D2795" w:rsidRPr="006500AF" w:rsidRDefault="006500AF" w:rsidP="001D2795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="Arial"/>
                <w:rtl/>
                <w:lang w:bidi="ar-SA"/>
              </w:rPr>
              <w:t>حجم التداول في معاملات التحويل</w:t>
            </w:r>
          </w:p>
        </w:tc>
        <w:tc>
          <w:tcPr>
            <w:tcW w:w="1181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9E59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>70.4%</w:t>
            </w:r>
          </w:p>
        </w:tc>
        <w:tc>
          <w:tcPr>
            <w:tcW w:w="1235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8EFB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>11.8%</w:t>
            </w:r>
          </w:p>
        </w:tc>
        <w:tc>
          <w:tcPr>
            <w:tcW w:w="1564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F412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>17.8%</w:t>
            </w:r>
          </w:p>
        </w:tc>
        <w:tc>
          <w:tcPr>
            <w:tcW w:w="956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</w:tcPr>
          <w:p w14:paraId="71D83BEA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603,062 </w:t>
            </w:r>
          </w:p>
        </w:tc>
        <w:tc>
          <w:tcPr>
            <w:tcW w:w="1240" w:type="dxa"/>
            <w:tcBorders>
              <w:top w:val="nil"/>
              <w:left w:val="single" w:sz="8" w:space="0" w:color="9CC2E5"/>
              <w:bottom w:val="single" w:sz="8" w:space="0" w:color="4F81BD"/>
              <w:right w:val="nil"/>
            </w:tcBorders>
            <w:shd w:val="clear" w:color="000000" w:fill="DEEAF6"/>
            <w:vAlign w:val="center"/>
          </w:tcPr>
          <w:p w14:paraId="0F7F76FF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  9,886 </w:t>
            </w:r>
          </w:p>
        </w:tc>
      </w:tr>
      <w:tr w:rsidR="001D2795" w:rsidRPr="006500AF" w14:paraId="69B6C091" w14:textId="77777777" w:rsidTr="00077A6F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14:paraId="5D0D34B8" w14:textId="77777777" w:rsidR="001D2795" w:rsidRPr="006500AF" w:rsidRDefault="001D2795" w:rsidP="001D2795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14:paraId="5EAC63B7" w14:textId="1B295A7E" w:rsidR="001D2795" w:rsidRPr="006500AF" w:rsidRDefault="006500AF" w:rsidP="001D2795">
            <w:pPr>
              <w:bidi/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val="en-GB" w:bidi="ar-SA"/>
              </w:rPr>
            </w:pPr>
            <w:r w:rsidRPr="006500AF">
              <w:rPr>
                <w:rFonts w:asciiTheme="minorBidi" w:hAnsiTheme="minorBidi" w:cs="Arial"/>
                <w:rtl/>
                <w:lang w:bidi="ar-SA"/>
              </w:rPr>
              <w:t>حجم التداول في معاملات المبادلة والخيارات</w:t>
            </w:r>
          </w:p>
        </w:tc>
        <w:tc>
          <w:tcPr>
            <w:tcW w:w="1181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3A66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>49.5%</w:t>
            </w:r>
          </w:p>
        </w:tc>
        <w:tc>
          <w:tcPr>
            <w:tcW w:w="1235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2981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>28.4%</w:t>
            </w:r>
          </w:p>
        </w:tc>
        <w:tc>
          <w:tcPr>
            <w:tcW w:w="1564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1A85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>22.0%</w:t>
            </w:r>
          </w:p>
        </w:tc>
        <w:tc>
          <w:tcPr>
            <w:tcW w:w="956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</w:tcPr>
          <w:p w14:paraId="286E464C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1,081,257 </w:t>
            </w:r>
          </w:p>
        </w:tc>
        <w:tc>
          <w:tcPr>
            <w:tcW w:w="1240" w:type="dxa"/>
            <w:tcBorders>
              <w:top w:val="nil"/>
              <w:left w:val="single" w:sz="8" w:space="0" w:color="9CC2E5"/>
              <w:bottom w:val="nil"/>
              <w:right w:val="nil"/>
            </w:tcBorders>
            <w:shd w:val="clear" w:color="000000" w:fill="DEEAF6"/>
            <w:vAlign w:val="center"/>
          </w:tcPr>
          <w:p w14:paraId="298B8D41" w14:textId="77777777" w:rsidR="001D2795" w:rsidRPr="006500AF" w:rsidRDefault="001D2795" w:rsidP="001D2795">
            <w:pPr>
              <w:bidi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00A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          17,726 </w:t>
            </w:r>
          </w:p>
        </w:tc>
      </w:tr>
    </w:tbl>
    <w:p w14:paraId="23065F3B" w14:textId="77777777" w:rsidR="00AE755B" w:rsidRPr="006500AF" w:rsidRDefault="00AE755B" w:rsidP="00DD57F6">
      <w:pPr>
        <w:bidi/>
        <w:spacing w:line="360" w:lineRule="auto"/>
        <w:jc w:val="center"/>
        <w:rPr>
          <w:rFonts w:asciiTheme="minorBidi" w:eastAsiaTheme="minorHAnsi" w:hAnsiTheme="minorBidi" w:cstheme="minorBidi"/>
          <w:sz w:val="22"/>
          <w:szCs w:val="22"/>
          <w:rtl/>
        </w:rPr>
      </w:pPr>
    </w:p>
    <w:p w14:paraId="46802B22" w14:textId="77777777" w:rsidR="00AE755B" w:rsidRPr="006500AF" w:rsidRDefault="00AE755B" w:rsidP="009E2D60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</w:p>
    <w:sectPr w:rsidR="00AE755B" w:rsidRPr="006500AF" w:rsidSect="004E549D"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40797" w14:textId="77777777" w:rsidR="000C037D" w:rsidRDefault="000C037D" w:rsidP="00C04A6B">
      <w:r>
        <w:separator/>
      </w:r>
    </w:p>
  </w:endnote>
  <w:endnote w:type="continuationSeparator" w:id="0">
    <w:p w14:paraId="36D026E0" w14:textId="77777777" w:rsidR="000C037D" w:rsidRDefault="000C037D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14:paraId="35395B50" w14:textId="77777777" w:rsidR="00C04A6B" w:rsidRPr="002168C6" w:rsidRDefault="006E1923" w:rsidP="00E16E05">
            <w:pPr>
              <w:pStyle w:val="Footer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E16E05">
              <w:rPr>
                <w:rFonts w:cs="David" w:hint="cs"/>
                <w:rtl/>
                <w:lang w:val="he-IL"/>
              </w:rPr>
              <w:t>ה</w:t>
            </w:r>
            <w:r w:rsidR="00005843">
              <w:rPr>
                <w:rFonts w:cs="David" w:hint="cs"/>
                <w:rtl/>
                <w:lang w:val="he-IL"/>
              </w:rPr>
              <w:t>שלישי</w:t>
            </w:r>
            <w:r w:rsidR="007A1EC6">
              <w:rPr>
                <w:rFonts w:cs="David" w:hint="cs"/>
                <w:rtl/>
                <w:lang w:val="he-IL"/>
              </w:rPr>
              <w:t xml:space="preserve"> </w:t>
            </w:r>
            <w:r w:rsidR="002168C6">
              <w:rPr>
                <w:rFonts w:cs="David" w:hint="cs"/>
                <w:rtl/>
                <w:lang w:val="he-IL"/>
              </w:rPr>
              <w:t>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7A1EC6">
              <w:rPr>
                <w:rFonts w:cs="David" w:hint="cs"/>
                <w:rtl/>
                <w:lang w:val="he-IL"/>
              </w:rPr>
              <w:t>202</w:t>
            </w:r>
            <w:r w:rsidR="00832042">
              <w:rPr>
                <w:rFonts w:cs="David" w:hint="cs"/>
                <w:rtl/>
                <w:lang w:val="he-IL"/>
              </w:rPr>
              <w:t>3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075760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075760">
              <w:rPr>
                <w:rFonts w:cs="David"/>
                <w:b/>
                <w:bCs/>
                <w:noProof/>
                <w:rtl/>
              </w:rPr>
              <w:t>6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8EDA" w14:textId="77777777" w:rsidR="000C037D" w:rsidRDefault="000C037D" w:rsidP="00C04A6B">
      <w:r>
        <w:separator/>
      </w:r>
    </w:p>
  </w:footnote>
  <w:footnote w:type="continuationSeparator" w:id="0">
    <w:p w14:paraId="01883D5D" w14:textId="77777777" w:rsidR="000C037D" w:rsidRDefault="000C037D" w:rsidP="00C04A6B">
      <w:r>
        <w:continuationSeparator/>
      </w:r>
    </w:p>
  </w:footnote>
  <w:footnote w:id="1">
    <w:p w14:paraId="215562A2" w14:textId="77777777" w:rsidR="00193994" w:rsidRPr="00256361" w:rsidRDefault="00193994" w:rsidP="00CA3945">
      <w:pPr>
        <w:pStyle w:val="FootnoteText"/>
        <w:bidi/>
        <w:rPr>
          <w:rFonts w:ascii="David" w:hAnsi="David" w:cs="David"/>
        </w:rPr>
      </w:pPr>
      <w:r>
        <w:rPr>
          <w:rStyle w:val="FootnoteReference"/>
        </w:rPr>
        <w:footnoteRef/>
      </w:r>
      <w:r>
        <w:t xml:space="preserve"> </w:t>
      </w:r>
      <w:r w:rsidR="00CA3945">
        <w:rPr>
          <w:rFonts w:ascii="David" w:hAnsi="David" w:cstheme="minorBidi" w:hint="cs"/>
          <w:rtl/>
          <w:lang w:bidi="ar-SA"/>
        </w:rPr>
        <w:t xml:space="preserve"> </w:t>
      </w:r>
      <w:r w:rsidR="006500AF" w:rsidRPr="006500AF">
        <w:rPr>
          <w:rFonts w:ascii="David" w:hAnsi="David" w:cs="Times New Roman"/>
          <w:rtl/>
          <w:lang w:bidi="ar-SA"/>
        </w:rPr>
        <w:t xml:space="preserve">القطاعات الرئيسية </w:t>
      </w:r>
      <w:r w:rsidR="00CA3945">
        <w:rPr>
          <w:rFonts w:ascii="David" w:hAnsi="David" w:cs="Times New Roman" w:hint="cs"/>
          <w:rtl/>
          <w:lang w:bidi="ar-SA"/>
        </w:rPr>
        <w:t>المعروضة</w:t>
      </w:r>
      <w:r w:rsidR="006500AF" w:rsidRPr="006500AF">
        <w:rPr>
          <w:rFonts w:ascii="David" w:hAnsi="David" w:cs="Times New Roman"/>
          <w:rtl/>
          <w:lang w:bidi="ar-SA"/>
        </w:rPr>
        <w:t xml:space="preserve"> لا تشكل السوق بأكمله - ل</w:t>
      </w:r>
      <w:r w:rsidR="00CA3945">
        <w:rPr>
          <w:rFonts w:ascii="David" w:hAnsi="David" w:cs="Times New Roman"/>
          <w:rtl/>
          <w:lang w:bidi="ar-SA"/>
        </w:rPr>
        <w:t xml:space="preserve">مزيد من المعلومات، راجع "نظام </w:t>
      </w:r>
      <w:r w:rsidR="006500AF" w:rsidRPr="006500AF">
        <w:rPr>
          <w:rFonts w:ascii="David" w:hAnsi="David" w:cs="Times New Roman"/>
          <w:rtl/>
          <w:lang w:bidi="ar-SA"/>
        </w:rPr>
        <w:t xml:space="preserve">بيانات نشاط سوق الشيكل / العملات الأجنبية" في منشور </w:t>
      </w:r>
      <w:r w:rsidR="00CA3945">
        <w:rPr>
          <w:rFonts w:ascii="David" w:hAnsi="David" w:cs="Times New Roman" w:hint="cs"/>
          <w:rtl/>
          <w:lang w:bidi="ar-SA"/>
        </w:rPr>
        <w:t>نظرة احصائية</w:t>
      </w:r>
      <w:r w:rsidR="006500AF" w:rsidRPr="006500AF">
        <w:rPr>
          <w:rFonts w:ascii="David" w:hAnsi="David" w:cs="Times New Roman"/>
          <w:rtl/>
          <w:lang w:bidi="ar-SA"/>
        </w:rPr>
        <w:t xml:space="preserve"> لعام 2018</w:t>
      </w:r>
    </w:p>
    <w:p w14:paraId="63B5A63C" w14:textId="77777777" w:rsidR="00193994" w:rsidRPr="0028134B" w:rsidRDefault="00FD2F02" w:rsidP="00193994">
      <w:pPr>
        <w:pStyle w:val="FootnoteText"/>
        <w:bidi/>
        <w:rPr>
          <w:rFonts w:ascii="David" w:hAnsi="David" w:cs="David"/>
          <w:rtl/>
        </w:rPr>
      </w:pPr>
      <w:hyperlink r:id="rId1" w:history="1">
        <w:r w:rsidR="00193994" w:rsidRPr="006A31F0">
          <w:rPr>
            <w:rStyle w:val="Hyperlink"/>
            <w:rFonts w:ascii="David" w:hAnsi="David" w:cs="David"/>
          </w:rPr>
          <w:t>https://www.boi.org.il/he/NewsAndPublications/RegularPublications/Documents/MabatStat2018/shekel.pdf</w:t>
        </w:r>
      </w:hyperlink>
      <w:r w:rsidR="00193994">
        <w:rPr>
          <w:rFonts w:ascii="David" w:hAnsi="David" w:cs="David" w:hint="cs"/>
          <w:rtl/>
        </w:rPr>
        <w:t xml:space="preserve"> </w:t>
      </w:r>
    </w:p>
  </w:footnote>
  <w:footnote w:id="2">
    <w:p w14:paraId="4AB72D47" w14:textId="77777777" w:rsidR="00024BD1" w:rsidRPr="004372A2" w:rsidRDefault="00024BD1" w:rsidP="00F8795B">
      <w:pPr>
        <w:pStyle w:val="FootnoteText"/>
        <w:bidi/>
        <w:rPr>
          <w:rFonts w:ascii="David" w:hAnsi="David" w:cs="David"/>
          <w:rtl/>
        </w:rPr>
      </w:pPr>
      <w:r w:rsidRPr="00256361">
        <w:rPr>
          <w:rStyle w:val="FootnoteReference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 w:rsidR="00F8795B">
        <w:rPr>
          <w:rFonts w:ascii="David" w:hAnsi="David" w:cstheme="minorBidi" w:hint="cs"/>
          <w:rtl/>
          <w:lang w:bidi="ar-SA"/>
        </w:rPr>
        <w:t xml:space="preserve"> </w:t>
      </w:r>
      <w:r w:rsidR="006500AF" w:rsidRPr="006500AF">
        <w:rPr>
          <w:rFonts w:ascii="David" w:hAnsi="David" w:cs="Times New Roman"/>
          <w:rtl/>
          <w:lang w:bidi="ar-SA"/>
        </w:rPr>
        <w:t>اعتبارًا من عام 2020، لا تشمل البيانات فروع البنوك الأجنبية في إسرائيل.</w:t>
      </w:r>
    </w:p>
  </w:footnote>
  <w:footnote w:id="3">
    <w:p w14:paraId="7050E2B1" w14:textId="7BF4CB39" w:rsidR="007306CA" w:rsidRPr="005534E9" w:rsidRDefault="007306CA" w:rsidP="007306CA">
      <w:pPr>
        <w:bidi/>
        <w:rPr>
          <w:rFonts w:ascii="David" w:hAnsi="David" w:cs="David"/>
          <w:sz w:val="22"/>
          <w:szCs w:val="22"/>
          <w:rtl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="006500AF" w:rsidRPr="006500AF">
        <w:rPr>
          <w:rFonts w:ascii="David" w:eastAsiaTheme="minorHAnsi" w:hAnsi="David" w:cs="Times New Roman"/>
          <w:rtl/>
          <w:lang w:bidi="ar-SA"/>
        </w:rPr>
        <w:t xml:space="preserve">إجمالي حجم التداول هو تقدير لإجمالي النشاط في المعاملات مقابل الشيكل، بناءً على تقارير الجهاز المصرفي المحلي </w:t>
      </w:r>
      <w:r w:rsidR="00BD55C0">
        <w:rPr>
          <w:rFonts w:ascii="David" w:eastAsiaTheme="minorHAnsi" w:hAnsi="David" w:cs="Times New Roman" w:hint="cs"/>
          <w:rtl/>
          <w:lang w:bidi="ar-SA"/>
        </w:rPr>
        <w:t>والتقارير الأجنبية</w:t>
      </w:r>
      <w:r w:rsidR="006500AF" w:rsidRPr="006500AF">
        <w:rPr>
          <w:rFonts w:ascii="David" w:eastAsiaTheme="minorHAnsi" w:hAnsi="David" w:cs="Times New Roman"/>
          <w:rtl/>
          <w:lang w:bidi="ar-SA"/>
        </w:rPr>
        <w:t>.</w:t>
      </w:r>
    </w:p>
  </w:footnote>
  <w:footnote w:id="4">
    <w:p w14:paraId="5AE9448A" w14:textId="6E8DD385" w:rsidR="006500AF" w:rsidRPr="006500AF" w:rsidRDefault="0050666E" w:rsidP="00BD55C0">
      <w:pPr>
        <w:bidi/>
        <w:rPr>
          <w:rFonts w:ascii="David" w:hAnsi="David" w:cs="David"/>
        </w:rPr>
      </w:pPr>
      <w:r>
        <w:rPr>
          <w:rStyle w:val="FootnoteReference"/>
        </w:rPr>
        <w:footnoteRef/>
      </w:r>
      <w:r>
        <w:t xml:space="preserve"> </w:t>
      </w:r>
      <w:r w:rsidR="00BD55C0">
        <w:rPr>
          <w:rFonts w:ascii="David" w:hAnsi="David" w:cstheme="minorBidi" w:hint="cs"/>
          <w:rtl/>
          <w:lang w:bidi="ar-SA"/>
        </w:rPr>
        <w:t xml:space="preserve"> </w:t>
      </w:r>
      <w:r w:rsidR="00BD55C0">
        <w:rPr>
          <w:rFonts w:ascii="David" w:hAnsi="David" w:cs="Times New Roman" w:hint="cs"/>
          <w:rtl/>
          <w:lang w:bidi="ar-SA"/>
        </w:rPr>
        <w:t>التداول بين الأجانب والمحليين يتضمن</w:t>
      </w:r>
      <w:r w:rsidR="006500AF" w:rsidRPr="006500AF">
        <w:rPr>
          <w:rFonts w:ascii="David" w:hAnsi="David" w:cs="Times New Roman"/>
          <w:rtl/>
          <w:lang w:bidi="ar-SA"/>
        </w:rPr>
        <w:t xml:space="preserve">: </w:t>
      </w:r>
      <w:r w:rsidR="00BD55C0">
        <w:rPr>
          <w:rFonts w:ascii="David" w:hAnsi="David" w:cs="Times New Roman"/>
          <w:rtl/>
          <w:lang w:bidi="ar-SA"/>
        </w:rPr>
        <w:tab/>
      </w:r>
      <w:r w:rsidR="006500AF" w:rsidRPr="006500AF">
        <w:rPr>
          <w:rFonts w:ascii="David" w:hAnsi="David" w:cs="Times New Roman"/>
          <w:rtl/>
          <w:lang w:bidi="ar-SA"/>
        </w:rPr>
        <w:t xml:space="preserve">(1) تقارير </w:t>
      </w:r>
      <w:r w:rsidR="00BD55C0">
        <w:rPr>
          <w:rFonts w:ascii="David" w:hAnsi="David" w:cs="Times New Roman" w:hint="cs"/>
          <w:rtl/>
          <w:lang w:bidi="ar-SA"/>
        </w:rPr>
        <w:t>أجنبية</w:t>
      </w:r>
      <w:r w:rsidR="006500AF" w:rsidRPr="006500AF">
        <w:rPr>
          <w:rFonts w:ascii="David" w:hAnsi="David" w:cs="Times New Roman"/>
          <w:rtl/>
          <w:lang w:bidi="ar-SA"/>
        </w:rPr>
        <w:t xml:space="preserve"> عن المعاملات مع السكان المحليين</w:t>
      </w:r>
    </w:p>
    <w:p w14:paraId="41F74D48" w14:textId="6CD147BD" w:rsidR="0050666E" w:rsidRPr="005534E9" w:rsidRDefault="006500AF" w:rsidP="00BD55C0">
      <w:pPr>
        <w:bidi/>
        <w:ind w:left="2160" w:firstLine="720"/>
        <w:rPr>
          <w:rFonts w:ascii="David" w:hAnsi="David" w:cs="David"/>
          <w:rtl/>
        </w:rPr>
      </w:pPr>
      <w:r w:rsidRPr="006500AF">
        <w:rPr>
          <w:rFonts w:ascii="David" w:hAnsi="David" w:cs="David"/>
          <w:rtl/>
        </w:rPr>
        <w:t xml:space="preserve">(2) </w:t>
      </w:r>
      <w:r w:rsidRPr="006500AF">
        <w:rPr>
          <w:rFonts w:ascii="David" w:hAnsi="David" w:cs="Times New Roman"/>
          <w:rtl/>
          <w:lang w:bidi="ar-SA"/>
        </w:rPr>
        <w:t xml:space="preserve">تقارير البنوك المحلية عن </w:t>
      </w:r>
      <w:r w:rsidR="00BD55C0">
        <w:rPr>
          <w:rFonts w:ascii="David" w:hAnsi="David" w:cs="Times New Roman" w:hint="cs"/>
          <w:rtl/>
          <w:lang w:bidi="ar-SA"/>
        </w:rPr>
        <w:t>التداولات</w:t>
      </w:r>
      <w:r w:rsidRPr="006500AF">
        <w:rPr>
          <w:rFonts w:ascii="David" w:hAnsi="David" w:cs="Times New Roman"/>
          <w:rtl/>
          <w:lang w:bidi="ar-SA"/>
        </w:rPr>
        <w:t xml:space="preserve"> مع الأجانب</w:t>
      </w:r>
    </w:p>
    <w:p w14:paraId="475C9341" w14:textId="77777777" w:rsidR="0050666E" w:rsidRDefault="0050666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5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923"/>
    <w:rsid w:val="00001531"/>
    <w:rsid w:val="000035A1"/>
    <w:rsid w:val="000038D4"/>
    <w:rsid w:val="00005843"/>
    <w:rsid w:val="00007757"/>
    <w:rsid w:val="00007D99"/>
    <w:rsid w:val="00011B0D"/>
    <w:rsid w:val="0001222D"/>
    <w:rsid w:val="000133CD"/>
    <w:rsid w:val="00014BDC"/>
    <w:rsid w:val="00015825"/>
    <w:rsid w:val="00016D86"/>
    <w:rsid w:val="000214DB"/>
    <w:rsid w:val="00024BD1"/>
    <w:rsid w:val="00025140"/>
    <w:rsid w:val="000261BE"/>
    <w:rsid w:val="00027C8A"/>
    <w:rsid w:val="00027F15"/>
    <w:rsid w:val="000329CD"/>
    <w:rsid w:val="00032A75"/>
    <w:rsid w:val="000346A8"/>
    <w:rsid w:val="00034E2A"/>
    <w:rsid w:val="000355D0"/>
    <w:rsid w:val="00040540"/>
    <w:rsid w:val="00045EEC"/>
    <w:rsid w:val="00046872"/>
    <w:rsid w:val="00046FD3"/>
    <w:rsid w:val="00050D65"/>
    <w:rsid w:val="000511E7"/>
    <w:rsid w:val="0005353F"/>
    <w:rsid w:val="00053D76"/>
    <w:rsid w:val="000578C8"/>
    <w:rsid w:val="00060CD7"/>
    <w:rsid w:val="00063ACA"/>
    <w:rsid w:val="00064655"/>
    <w:rsid w:val="00065FC6"/>
    <w:rsid w:val="0007040B"/>
    <w:rsid w:val="00071CA9"/>
    <w:rsid w:val="00073A6E"/>
    <w:rsid w:val="00075760"/>
    <w:rsid w:val="00075BC2"/>
    <w:rsid w:val="000771B6"/>
    <w:rsid w:val="00077867"/>
    <w:rsid w:val="00080CDA"/>
    <w:rsid w:val="0008243A"/>
    <w:rsid w:val="00085271"/>
    <w:rsid w:val="000863E5"/>
    <w:rsid w:val="00090558"/>
    <w:rsid w:val="00090B40"/>
    <w:rsid w:val="00090D2F"/>
    <w:rsid w:val="000916E4"/>
    <w:rsid w:val="00094325"/>
    <w:rsid w:val="00095A9E"/>
    <w:rsid w:val="00096E44"/>
    <w:rsid w:val="0009769A"/>
    <w:rsid w:val="00097EFB"/>
    <w:rsid w:val="000A1C56"/>
    <w:rsid w:val="000A3731"/>
    <w:rsid w:val="000A3F1A"/>
    <w:rsid w:val="000A4006"/>
    <w:rsid w:val="000A4E46"/>
    <w:rsid w:val="000A624C"/>
    <w:rsid w:val="000A72C5"/>
    <w:rsid w:val="000B0E16"/>
    <w:rsid w:val="000B11B7"/>
    <w:rsid w:val="000B1ABF"/>
    <w:rsid w:val="000B1F50"/>
    <w:rsid w:val="000B589C"/>
    <w:rsid w:val="000B7847"/>
    <w:rsid w:val="000C032A"/>
    <w:rsid w:val="000C037D"/>
    <w:rsid w:val="000C2489"/>
    <w:rsid w:val="000C2635"/>
    <w:rsid w:val="000C2B2A"/>
    <w:rsid w:val="000C3B85"/>
    <w:rsid w:val="000D098E"/>
    <w:rsid w:val="000D10F8"/>
    <w:rsid w:val="000D1783"/>
    <w:rsid w:val="000D2936"/>
    <w:rsid w:val="000D5480"/>
    <w:rsid w:val="000D7291"/>
    <w:rsid w:val="000D7DB9"/>
    <w:rsid w:val="000E4486"/>
    <w:rsid w:val="000E4B36"/>
    <w:rsid w:val="000E5483"/>
    <w:rsid w:val="000E57E1"/>
    <w:rsid w:val="000E58BB"/>
    <w:rsid w:val="000E6BDB"/>
    <w:rsid w:val="000F1DAD"/>
    <w:rsid w:val="000F3FC4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35D3"/>
    <w:rsid w:val="00114BCD"/>
    <w:rsid w:val="00115086"/>
    <w:rsid w:val="001159FC"/>
    <w:rsid w:val="00115A82"/>
    <w:rsid w:val="00117379"/>
    <w:rsid w:val="00117E8C"/>
    <w:rsid w:val="00121A45"/>
    <w:rsid w:val="00121A5F"/>
    <w:rsid w:val="00121F12"/>
    <w:rsid w:val="001230E3"/>
    <w:rsid w:val="00123388"/>
    <w:rsid w:val="001245F9"/>
    <w:rsid w:val="00124668"/>
    <w:rsid w:val="00124D6B"/>
    <w:rsid w:val="001256D3"/>
    <w:rsid w:val="00126A4A"/>
    <w:rsid w:val="00131D80"/>
    <w:rsid w:val="00132055"/>
    <w:rsid w:val="001329EF"/>
    <w:rsid w:val="00132F14"/>
    <w:rsid w:val="00133905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47DC7"/>
    <w:rsid w:val="00150F6A"/>
    <w:rsid w:val="0015310E"/>
    <w:rsid w:val="00156760"/>
    <w:rsid w:val="00157061"/>
    <w:rsid w:val="001577DC"/>
    <w:rsid w:val="00157EDF"/>
    <w:rsid w:val="00160B94"/>
    <w:rsid w:val="001613D3"/>
    <w:rsid w:val="00162E06"/>
    <w:rsid w:val="00162F2C"/>
    <w:rsid w:val="0016558C"/>
    <w:rsid w:val="0016750A"/>
    <w:rsid w:val="00167A3A"/>
    <w:rsid w:val="00170228"/>
    <w:rsid w:val="00171A02"/>
    <w:rsid w:val="00171F4D"/>
    <w:rsid w:val="001723F1"/>
    <w:rsid w:val="00175EA4"/>
    <w:rsid w:val="00176750"/>
    <w:rsid w:val="00177241"/>
    <w:rsid w:val="00177686"/>
    <w:rsid w:val="001778D8"/>
    <w:rsid w:val="00180E8A"/>
    <w:rsid w:val="001819DD"/>
    <w:rsid w:val="0018269F"/>
    <w:rsid w:val="001843E5"/>
    <w:rsid w:val="00187BA8"/>
    <w:rsid w:val="0019011E"/>
    <w:rsid w:val="00190AA2"/>
    <w:rsid w:val="00190E7A"/>
    <w:rsid w:val="0019133B"/>
    <w:rsid w:val="00191526"/>
    <w:rsid w:val="00192212"/>
    <w:rsid w:val="001922D1"/>
    <w:rsid w:val="00192BA0"/>
    <w:rsid w:val="00193994"/>
    <w:rsid w:val="001948E0"/>
    <w:rsid w:val="00196AEE"/>
    <w:rsid w:val="001A155A"/>
    <w:rsid w:val="001A29D0"/>
    <w:rsid w:val="001A2C93"/>
    <w:rsid w:val="001A3C78"/>
    <w:rsid w:val="001A3E11"/>
    <w:rsid w:val="001A678C"/>
    <w:rsid w:val="001A7635"/>
    <w:rsid w:val="001B11A5"/>
    <w:rsid w:val="001B39FB"/>
    <w:rsid w:val="001B4831"/>
    <w:rsid w:val="001B6C5E"/>
    <w:rsid w:val="001B6F9F"/>
    <w:rsid w:val="001C0D6E"/>
    <w:rsid w:val="001C2BC2"/>
    <w:rsid w:val="001C3A2E"/>
    <w:rsid w:val="001C43B2"/>
    <w:rsid w:val="001C582B"/>
    <w:rsid w:val="001C6F3D"/>
    <w:rsid w:val="001D2795"/>
    <w:rsid w:val="001D578A"/>
    <w:rsid w:val="001D7646"/>
    <w:rsid w:val="001E47BB"/>
    <w:rsid w:val="001E4F8E"/>
    <w:rsid w:val="001E5A00"/>
    <w:rsid w:val="001E5D7D"/>
    <w:rsid w:val="001E6258"/>
    <w:rsid w:val="001E7D3F"/>
    <w:rsid w:val="001E7E23"/>
    <w:rsid w:val="001F1151"/>
    <w:rsid w:val="001F19E7"/>
    <w:rsid w:val="001F2946"/>
    <w:rsid w:val="001F3D99"/>
    <w:rsid w:val="001F40C2"/>
    <w:rsid w:val="001F4208"/>
    <w:rsid w:val="001F5829"/>
    <w:rsid w:val="001F623A"/>
    <w:rsid w:val="002001BD"/>
    <w:rsid w:val="00200A5B"/>
    <w:rsid w:val="00201BF6"/>
    <w:rsid w:val="00201ECB"/>
    <w:rsid w:val="002022E3"/>
    <w:rsid w:val="00203888"/>
    <w:rsid w:val="002044D2"/>
    <w:rsid w:val="002101D4"/>
    <w:rsid w:val="00210869"/>
    <w:rsid w:val="00211627"/>
    <w:rsid w:val="00214A25"/>
    <w:rsid w:val="002168C6"/>
    <w:rsid w:val="00217436"/>
    <w:rsid w:val="00217697"/>
    <w:rsid w:val="00222765"/>
    <w:rsid w:val="00225121"/>
    <w:rsid w:val="00231270"/>
    <w:rsid w:val="0023501E"/>
    <w:rsid w:val="0023547E"/>
    <w:rsid w:val="00235952"/>
    <w:rsid w:val="00236048"/>
    <w:rsid w:val="002360BD"/>
    <w:rsid w:val="002435C1"/>
    <w:rsid w:val="002438E2"/>
    <w:rsid w:val="00244B81"/>
    <w:rsid w:val="002455A4"/>
    <w:rsid w:val="0024679B"/>
    <w:rsid w:val="002473F2"/>
    <w:rsid w:val="00251B18"/>
    <w:rsid w:val="00253DB1"/>
    <w:rsid w:val="0025601B"/>
    <w:rsid w:val="00256361"/>
    <w:rsid w:val="00260180"/>
    <w:rsid w:val="002603C3"/>
    <w:rsid w:val="00262224"/>
    <w:rsid w:val="002646A1"/>
    <w:rsid w:val="00265CDB"/>
    <w:rsid w:val="0026668A"/>
    <w:rsid w:val="00266A17"/>
    <w:rsid w:val="00273A91"/>
    <w:rsid w:val="00273B38"/>
    <w:rsid w:val="00274D7A"/>
    <w:rsid w:val="002806D2"/>
    <w:rsid w:val="002811E6"/>
    <w:rsid w:val="0028134B"/>
    <w:rsid w:val="00281E65"/>
    <w:rsid w:val="00282C17"/>
    <w:rsid w:val="00283F56"/>
    <w:rsid w:val="00285A84"/>
    <w:rsid w:val="00286F6D"/>
    <w:rsid w:val="0029270D"/>
    <w:rsid w:val="00292718"/>
    <w:rsid w:val="00292B14"/>
    <w:rsid w:val="002A4BDC"/>
    <w:rsid w:val="002A5C19"/>
    <w:rsid w:val="002A5E79"/>
    <w:rsid w:val="002A6574"/>
    <w:rsid w:val="002B0707"/>
    <w:rsid w:val="002B0808"/>
    <w:rsid w:val="002B1C21"/>
    <w:rsid w:val="002B263E"/>
    <w:rsid w:val="002B2903"/>
    <w:rsid w:val="002B3FB0"/>
    <w:rsid w:val="002B417B"/>
    <w:rsid w:val="002B4D76"/>
    <w:rsid w:val="002B57EF"/>
    <w:rsid w:val="002B6B7C"/>
    <w:rsid w:val="002B7BF9"/>
    <w:rsid w:val="002C0E72"/>
    <w:rsid w:val="002D01AB"/>
    <w:rsid w:val="002D11B6"/>
    <w:rsid w:val="002D11F1"/>
    <w:rsid w:val="002D2268"/>
    <w:rsid w:val="002D368D"/>
    <w:rsid w:val="002D50AA"/>
    <w:rsid w:val="002D6BFC"/>
    <w:rsid w:val="002E1AC6"/>
    <w:rsid w:val="002E1D11"/>
    <w:rsid w:val="002E1E36"/>
    <w:rsid w:val="002E4CFF"/>
    <w:rsid w:val="002E50F6"/>
    <w:rsid w:val="002E7747"/>
    <w:rsid w:val="002F0F35"/>
    <w:rsid w:val="002F2100"/>
    <w:rsid w:val="002F2B3C"/>
    <w:rsid w:val="002F41C3"/>
    <w:rsid w:val="002F7CDC"/>
    <w:rsid w:val="00300B3A"/>
    <w:rsid w:val="00303916"/>
    <w:rsid w:val="003044F6"/>
    <w:rsid w:val="00304746"/>
    <w:rsid w:val="003102B4"/>
    <w:rsid w:val="003132E4"/>
    <w:rsid w:val="00313810"/>
    <w:rsid w:val="00315053"/>
    <w:rsid w:val="003159CD"/>
    <w:rsid w:val="003159CF"/>
    <w:rsid w:val="0031697F"/>
    <w:rsid w:val="00317F88"/>
    <w:rsid w:val="00321209"/>
    <w:rsid w:val="00322023"/>
    <w:rsid w:val="00322500"/>
    <w:rsid w:val="00323FCE"/>
    <w:rsid w:val="003241A7"/>
    <w:rsid w:val="003270FE"/>
    <w:rsid w:val="00327B60"/>
    <w:rsid w:val="003309FD"/>
    <w:rsid w:val="0033209D"/>
    <w:rsid w:val="003329C4"/>
    <w:rsid w:val="00332CFE"/>
    <w:rsid w:val="0033595D"/>
    <w:rsid w:val="003364E6"/>
    <w:rsid w:val="0033772E"/>
    <w:rsid w:val="00337E33"/>
    <w:rsid w:val="00342EDF"/>
    <w:rsid w:val="003433C9"/>
    <w:rsid w:val="00343917"/>
    <w:rsid w:val="00344613"/>
    <w:rsid w:val="00344E3D"/>
    <w:rsid w:val="00345033"/>
    <w:rsid w:val="00345945"/>
    <w:rsid w:val="003477B4"/>
    <w:rsid w:val="003505DD"/>
    <w:rsid w:val="003516BF"/>
    <w:rsid w:val="00351C9A"/>
    <w:rsid w:val="003537B9"/>
    <w:rsid w:val="003544E1"/>
    <w:rsid w:val="00355BA0"/>
    <w:rsid w:val="00357823"/>
    <w:rsid w:val="00357F2D"/>
    <w:rsid w:val="00361581"/>
    <w:rsid w:val="0036171D"/>
    <w:rsid w:val="003642F7"/>
    <w:rsid w:val="003655B1"/>
    <w:rsid w:val="0036708A"/>
    <w:rsid w:val="00367B73"/>
    <w:rsid w:val="00367FFD"/>
    <w:rsid w:val="0037062A"/>
    <w:rsid w:val="0037098C"/>
    <w:rsid w:val="00374070"/>
    <w:rsid w:val="00374756"/>
    <w:rsid w:val="0037499F"/>
    <w:rsid w:val="003752B3"/>
    <w:rsid w:val="00375D59"/>
    <w:rsid w:val="00376120"/>
    <w:rsid w:val="003773AA"/>
    <w:rsid w:val="0038002F"/>
    <w:rsid w:val="00380894"/>
    <w:rsid w:val="003822B2"/>
    <w:rsid w:val="00382320"/>
    <w:rsid w:val="00382716"/>
    <w:rsid w:val="00384807"/>
    <w:rsid w:val="00386BAD"/>
    <w:rsid w:val="003901E0"/>
    <w:rsid w:val="0039036B"/>
    <w:rsid w:val="00393094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35D2"/>
    <w:rsid w:val="003B5057"/>
    <w:rsid w:val="003B5C7A"/>
    <w:rsid w:val="003C19EB"/>
    <w:rsid w:val="003C5812"/>
    <w:rsid w:val="003C638D"/>
    <w:rsid w:val="003C74AE"/>
    <w:rsid w:val="003D0678"/>
    <w:rsid w:val="003D1221"/>
    <w:rsid w:val="003D208A"/>
    <w:rsid w:val="003D7A36"/>
    <w:rsid w:val="003D7D42"/>
    <w:rsid w:val="003E0C33"/>
    <w:rsid w:val="003E1908"/>
    <w:rsid w:val="003E3051"/>
    <w:rsid w:val="003E4452"/>
    <w:rsid w:val="003F13D5"/>
    <w:rsid w:val="003F163D"/>
    <w:rsid w:val="003F1E6B"/>
    <w:rsid w:val="003F43EE"/>
    <w:rsid w:val="003F4C15"/>
    <w:rsid w:val="003F7838"/>
    <w:rsid w:val="00401ADB"/>
    <w:rsid w:val="004024FA"/>
    <w:rsid w:val="00403161"/>
    <w:rsid w:val="004031B1"/>
    <w:rsid w:val="00404881"/>
    <w:rsid w:val="00411332"/>
    <w:rsid w:val="00411CD8"/>
    <w:rsid w:val="00411F9C"/>
    <w:rsid w:val="0041202F"/>
    <w:rsid w:val="00412AF2"/>
    <w:rsid w:val="00412EA5"/>
    <w:rsid w:val="00413158"/>
    <w:rsid w:val="0041439D"/>
    <w:rsid w:val="00414E02"/>
    <w:rsid w:val="00416426"/>
    <w:rsid w:val="0041796A"/>
    <w:rsid w:val="00420F93"/>
    <w:rsid w:val="00422B0F"/>
    <w:rsid w:val="00424756"/>
    <w:rsid w:val="004327FD"/>
    <w:rsid w:val="004330A6"/>
    <w:rsid w:val="00433323"/>
    <w:rsid w:val="004341A0"/>
    <w:rsid w:val="00436D8C"/>
    <w:rsid w:val="004372A2"/>
    <w:rsid w:val="00440CA2"/>
    <w:rsid w:val="00441A4E"/>
    <w:rsid w:val="0044467D"/>
    <w:rsid w:val="004467A1"/>
    <w:rsid w:val="00446CA1"/>
    <w:rsid w:val="0044713E"/>
    <w:rsid w:val="00447E2D"/>
    <w:rsid w:val="00450DA7"/>
    <w:rsid w:val="0045117B"/>
    <w:rsid w:val="004566C7"/>
    <w:rsid w:val="00456771"/>
    <w:rsid w:val="00456EC0"/>
    <w:rsid w:val="00456FB5"/>
    <w:rsid w:val="0045705A"/>
    <w:rsid w:val="00457614"/>
    <w:rsid w:val="00457D76"/>
    <w:rsid w:val="004625EB"/>
    <w:rsid w:val="00465A54"/>
    <w:rsid w:val="00466063"/>
    <w:rsid w:val="00470746"/>
    <w:rsid w:val="004709B4"/>
    <w:rsid w:val="00470A3C"/>
    <w:rsid w:val="00471F70"/>
    <w:rsid w:val="004726DB"/>
    <w:rsid w:val="00473858"/>
    <w:rsid w:val="00473F72"/>
    <w:rsid w:val="00474B79"/>
    <w:rsid w:val="00475264"/>
    <w:rsid w:val="00481245"/>
    <w:rsid w:val="00481515"/>
    <w:rsid w:val="00481BD8"/>
    <w:rsid w:val="00482C1F"/>
    <w:rsid w:val="00482F53"/>
    <w:rsid w:val="004935CD"/>
    <w:rsid w:val="00493822"/>
    <w:rsid w:val="00493B40"/>
    <w:rsid w:val="00497843"/>
    <w:rsid w:val="004A0170"/>
    <w:rsid w:val="004A09F6"/>
    <w:rsid w:val="004A3B32"/>
    <w:rsid w:val="004A59C4"/>
    <w:rsid w:val="004B07EA"/>
    <w:rsid w:val="004B0DF2"/>
    <w:rsid w:val="004B0F95"/>
    <w:rsid w:val="004B18B7"/>
    <w:rsid w:val="004B1BE7"/>
    <w:rsid w:val="004B212B"/>
    <w:rsid w:val="004B3C97"/>
    <w:rsid w:val="004B5D8D"/>
    <w:rsid w:val="004B62BC"/>
    <w:rsid w:val="004B62EF"/>
    <w:rsid w:val="004B74BD"/>
    <w:rsid w:val="004C0E5D"/>
    <w:rsid w:val="004C1866"/>
    <w:rsid w:val="004C386E"/>
    <w:rsid w:val="004C46FB"/>
    <w:rsid w:val="004C4C02"/>
    <w:rsid w:val="004C4CE6"/>
    <w:rsid w:val="004C5FB1"/>
    <w:rsid w:val="004C7344"/>
    <w:rsid w:val="004D0131"/>
    <w:rsid w:val="004D208D"/>
    <w:rsid w:val="004D2F5D"/>
    <w:rsid w:val="004D3B85"/>
    <w:rsid w:val="004D42AB"/>
    <w:rsid w:val="004D68CC"/>
    <w:rsid w:val="004D6C65"/>
    <w:rsid w:val="004E21FD"/>
    <w:rsid w:val="004E2A39"/>
    <w:rsid w:val="004E549D"/>
    <w:rsid w:val="004E5DC4"/>
    <w:rsid w:val="004E6F2F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666E"/>
    <w:rsid w:val="00507811"/>
    <w:rsid w:val="00511ADE"/>
    <w:rsid w:val="00511C28"/>
    <w:rsid w:val="00511CED"/>
    <w:rsid w:val="00514351"/>
    <w:rsid w:val="00515A13"/>
    <w:rsid w:val="00521505"/>
    <w:rsid w:val="00530D48"/>
    <w:rsid w:val="00531A5D"/>
    <w:rsid w:val="00532368"/>
    <w:rsid w:val="005332FA"/>
    <w:rsid w:val="00533D14"/>
    <w:rsid w:val="00534660"/>
    <w:rsid w:val="005346CA"/>
    <w:rsid w:val="005356A3"/>
    <w:rsid w:val="00535E2E"/>
    <w:rsid w:val="005366CB"/>
    <w:rsid w:val="005411C6"/>
    <w:rsid w:val="00541291"/>
    <w:rsid w:val="005414DC"/>
    <w:rsid w:val="00541D5A"/>
    <w:rsid w:val="00541E3F"/>
    <w:rsid w:val="00542D66"/>
    <w:rsid w:val="00543C49"/>
    <w:rsid w:val="00543F25"/>
    <w:rsid w:val="00544963"/>
    <w:rsid w:val="00544C37"/>
    <w:rsid w:val="00546ACF"/>
    <w:rsid w:val="00550E8E"/>
    <w:rsid w:val="005534E9"/>
    <w:rsid w:val="0055353D"/>
    <w:rsid w:val="00553CEB"/>
    <w:rsid w:val="0056091C"/>
    <w:rsid w:val="0056122A"/>
    <w:rsid w:val="0056149E"/>
    <w:rsid w:val="0056248C"/>
    <w:rsid w:val="00565C6D"/>
    <w:rsid w:val="0057040C"/>
    <w:rsid w:val="005709DB"/>
    <w:rsid w:val="00571DD3"/>
    <w:rsid w:val="00572B8D"/>
    <w:rsid w:val="00574CCA"/>
    <w:rsid w:val="00575E00"/>
    <w:rsid w:val="00577CFF"/>
    <w:rsid w:val="005808C9"/>
    <w:rsid w:val="00582935"/>
    <w:rsid w:val="00582D1F"/>
    <w:rsid w:val="0059148B"/>
    <w:rsid w:val="00591BE8"/>
    <w:rsid w:val="00592303"/>
    <w:rsid w:val="00592639"/>
    <w:rsid w:val="00593A56"/>
    <w:rsid w:val="00593C3C"/>
    <w:rsid w:val="00593FDD"/>
    <w:rsid w:val="00595552"/>
    <w:rsid w:val="005962B4"/>
    <w:rsid w:val="005A042E"/>
    <w:rsid w:val="005A2BB4"/>
    <w:rsid w:val="005A42A6"/>
    <w:rsid w:val="005A5F55"/>
    <w:rsid w:val="005A7E39"/>
    <w:rsid w:val="005B0E08"/>
    <w:rsid w:val="005B27FA"/>
    <w:rsid w:val="005B3926"/>
    <w:rsid w:val="005B790C"/>
    <w:rsid w:val="005C0976"/>
    <w:rsid w:val="005C19FF"/>
    <w:rsid w:val="005C3454"/>
    <w:rsid w:val="005C3888"/>
    <w:rsid w:val="005C480F"/>
    <w:rsid w:val="005C4BF8"/>
    <w:rsid w:val="005C509D"/>
    <w:rsid w:val="005C6CC2"/>
    <w:rsid w:val="005C6F0A"/>
    <w:rsid w:val="005D1B42"/>
    <w:rsid w:val="005D42C8"/>
    <w:rsid w:val="005D4477"/>
    <w:rsid w:val="005D474E"/>
    <w:rsid w:val="005D694B"/>
    <w:rsid w:val="005E1369"/>
    <w:rsid w:val="005E143B"/>
    <w:rsid w:val="005E6556"/>
    <w:rsid w:val="005E7897"/>
    <w:rsid w:val="005F19C3"/>
    <w:rsid w:val="005F35EF"/>
    <w:rsid w:val="005F4635"/>
    <w:rsid w:val="005F4984"/>
    <w:rsid w:val="005F5D4E"/>
    <w:rsid w:val="005F662C"/>
    <w:rsid w:val="00601689"/>
    <w:rsid w:val="00606812"/>
    <w:rsid w:val="00610022"/>
    <w:rsid w:val="006123F9"/>
    <w:rsid w:val="00613EBF"/>
    <w:rsid w:val="00614095"/>
    <w:rsid w:val="00614732"/>
    <w:rsid w:val="00614B30"/>
    <w:rsid w:val="00616C24"/>
    <w:rsid w:val="00620631"/>
    <w:rsid w:val="006251C8"/>
    <w:rsid w:val="00625314"/>
    <w:rsid w:val="0062534F"/>
    <w:rsid w:val="00625A1B"/>
    <w:rsid w:val="006311E4"/>
    <w:rsid w:val="006312BB"/>
    <w:rsid w:val="00631C9E"/>
    <w:rsid w:val="00635904"/>
    <w:rsid w:val="00635936"/>
    <w:rsid w:val="00635EAE"/>
    <w:rsid w:val="00636040"/>
    <w:rsid w:val="00636E68"/>
    <w:rsid w:val="00640FA2"/>
    <w:rsid w:val="00642C25"/>
    <w:rsid w:val="00643919"/>
    <w:rsid w:val="00643D21"/>
    <w:rsid w:val="00644959"/>
    <w:rsid w:val="006472EE"/>
    <w:rsid w:val="0064747B"/>
    <w:rsid w:val="006500AF"/>
    <w:rsid w:val="00651335"/>
    <w:rsid w:val="006527B4"/>
    <w:rsid w:val="006545E0"/>
    <w:rsid w:val="006554DF"/>
    <w:rsid w:val="00655E8F"/>
    <w:rsid w:val="00656520"/>
    <w:rsid w:val="00660C5A"/>
    <w:rsid w:val="00661451"/>
    <w:rsid w:val="00662271"/>
    <w:rsid w:val="00664A34"/>
    <w:rsid w:val="006657A5"/>
    <w:rsid w:val="00665937"/>
    <w:rsid w:val="00665A54"/>
    <w:rsid w:val="00666126"/>
    <w:rsid w:val="00666CC6"/>
    <w:rsid w:val="006704C8"/>
    <w:rsid w:val="00670EB5"/>
    <w:rsid w:val="0067168F"/>
    <w:rsid w:val="00672EAD"/>
    <w:rsid w:val="00675031"/>
    <w:rsid w:val="00675922"/>
    <w:rsid w:val="006771A5"/>
    <w:rsid w:val="006800B3"/>
    <w:rsid w:val="006805BD"/>
    <w:rsid w:val="00684AFE"/>
    <w:rsid w:val="00685174"/>
    <w:rsid w:val="00686123"/>
    <w:rsid w:val="0068614B"/>
    <w:rsid w:val="00686C5E"/>
    <w:rsid w:val="0068710B"/>
    <w:rsid w:val="00692A43"/>
    <w:rsid w:val="00692CDF"/>
    <w:rsid w:val="006939D7"/>
    <w:rsid w:val="00693CD9"/>
    <w:rsid w:val="00694AA0"/>
    <w:rsid w:val="0069531F"/>
    <w:rsid w:val="006956C5"/>
    <w:rsid w:val="00697808"/>
    <w:rsid w:val="006A1A59"/>
    <w:rsid w:val="006A31F0"/>
    <w:rsid w:val="006A3211"/>
    <w:rsid w:val="006A4210"/>
    <w:rsid w:val="006A56AC"/>
    <w:rsid w:val="006A6A5A"/>
    <w:rsid w:val="006A6BEE"/>
    <w:rsid w:val="006B06E8"/>
    <w:rsid w:val="006B1087"/>
    <w:rsid w:val="006B314F"/>
    <w:rsid w:val="006B48A9"/>
    <w:rsid w:val="006B4F6C"/>
    <w:rsid w:val="006B7530"/>
    <w:rsid w:val="006B7C5E"/>
    <w:rsid w:val="006B7D34"/>
    <w:rsid w:val="006B7E33"/>
    <w:rsid w:val="006C01FB"/>
    <w:rsid w:val="006C039C"/>
    <w:rsid w:val="006C0A5C"/>
    <w:rsid w:val="006C138C"/>
    <w:rsid w:val="006C19B2"/>
    <w:rsid w:val="006C1D47"/>
    <w:rsid w:val="006C3931"/>
    <w:rsid w:val="006C4942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2EAE"/>
    <w:rsid w:val="006E5623"/>
    <w:rsid w:val="006E6015"/>
    <w:rsid w:val="006E672B"/>
    <w:rsid w:val="006E687B"/>
    <w:rsid w:val="006F3306"/>
    <w:rsid w:val="006F6337"/>
    <w:rsid w:val="006F7631"/>
    <w:rsid w:val="0070231A"/>
    <w:rsid w:val="0070423F"/>
    <w:rsid w:val="0070530B"/>
    <w:rsid w:val="00705F07"/>
    <w:rsid w:val="00706BD4"/>
    <w:rsid w:val="007073D5"/>
    <w:rsid w:val="00707E14"/>
    <w:rsid w:val="007134EE"/>
    <w:rsid w:val="0071361C"/>
    <w:rsid w:val="00713751"/>
    <w:rsid w:val="007224B8"/>
    <w:rsid w:val="00722F23"/>
    <w:rsid w:val="00722FF8"/>
    <w:rsid w:val="0072395F"/>
    <w:rsid w:val="00723C59"/>
    <w:rsid w:val="00724CD4"/>
    <w:rsid w:val="00726672"/>
    <w:rsid w:val="0072782F"/>
    <w:rsid w:val="007306CA"/>
    <w:rsid w:val="00730C46"/>
    <w:rsid w:val="00730F17"/>
    <w:rsid w:val="00732F95"/>
    <w:rsid w:val="0073315E"/>
    <w:rsid w:val="00733497"/>
    <w:rsid w:val="00736E4D"/>
    <w:rsid w:val="00741A31"/>
    <w:rsid w:val="00743C50"/>
    <w:rsid w:val="007449B9"/>
    <w:rsid w:val="0074502E"/>
    <w:rsid w:val="00745544"/>
    <w:rsid w:val="007510C2"/>
    <w:rsid w:val="0075204C"/>
    <w:rsid w:val="00752151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D5A"/>
    <w:rsid w:val="00772CD4"/>
    <w:rsid w:val="00773BFD"/>
    <w:rsid w:val="0077472D"/>
    <w:rsid w:val="00775B21"/>
    <w:rsid w:val="007774BC"/>
    <w:rsid w:val="00781B8F"/>
    <w:rsid w:val="00785941"/>
    <w:rsid w:val="00786429"/>
    <w:rsid w:val="007901B5"/>
    <w:rsid w:val="00792855"/>
    <w:rsid w:val="00792F22"/>
    <w:rsid w:val="00793CBD"/>
    <w:rsid w:val="007978A1"/>
    <w:rsid w:val="007A1EC6"/>
    <w:rsid w:val="007A1FC2"/>
    <w:rsid w:val="007A32FD"/>
    <w:rsid w:val="007A3B7F"/>
    <w:rsid w:val="007A4FEC"/>
    <w:rsid w:val="007A7632"/>
    <w:rsid w:val="007A7D8A"/>
    <w:rsid w:val="007B1767"/>
    <w:rsid w:val="007B1DEB"/>
    <w:rsid w:val="007B2648"/>
    <w:rsid w:val="007B4829"/>
    <w:rsid w:val="007B5574"/>
    <w:rsid w:val="007B7991"/>
    <w:rsid w:val="007C017E"/>
    <w:rsid w:val="007C0EB0"/>
    <w:rsid w:val="007C21A5"/>
    <w:rsid w:val="007C2318"/>
    <w:rsid w:val="007C2E0A"/>
    <w:rsid w:val="007C2E4A"/>
    <w:rsid w:val="007C377F"/>
    <w:rsid w:val="007C7DA6"/>
    <w:rsid w:val="007D09CA"/>
    <w:rsid w:val="007D2EA5"/>
    <w:rsid w:val="007D2F1C"/>
    <w:rsid w:val="007D368D"/>
    <w:rsid w:val="007D4019"/>
    <w:rsid w:val="007D57B9"/>
    <w:rsid w:val="007D6AFB"/>
    <w:rsid w:val="007D7A30"/>
    <w:rsid w:val="007E0104"/>
    <w:rsid w:val="007E0BAA"/>
    <w:rsid w:val="007E18EE"/>
    <w:rsid w:val="007E2554"/>
    <w:rsid w:val="007E29F7"/>
    <w:rsid w:val="007E3024"/>
    <w:rsid w:val="007E38FF"/>
    <w:rsid w:val="007E4473"/>
    <w:rsid w:val="007E56C5"/>
    <w:rsid w:val="007F4B87"/>
    <w:rsid w:val="007F4F34"/>
    <w:rsid w:val="007F530A"/>
    <w:rsid w:val="007F5705"/>
    <w:rsid w:val="007F7205"/>
    <w:rsid w:val="008006AD"/>
    <w:rsid w:val="008015A8"/>
    <w:rsid w:val="00801FEF"/>
    <w:rsid w:val="00802B68"/>
    <w:rsid w:val="0080325A"/>
    <w:rsid w:val="00804DD2"/>
    <w:rsid w:val="00804DEE"/>
    <w:rsid w:val="0080544A"/>
    <w:rsid w:val="00807D58"/>
    <w:rsid w:val="00815E62"/>
    <w:rsid w:val="0082256D"/>
    <w:rsid w:val="00822681"/>
    <w:rsid w:val="00822FE9"/>
    <w:rsid w:val="00825944"/>
    <w:rsid w:val="00826810"/>
    <w:rsid w:val="00827F42"/>
    <w:rsid w:val="0083050C"/>
    <w:rsid w:val="00830628"/>
    <w:rsid w:val="008315E7"/>
    <w:rsid w:val="00832014"/>
    <w:rsid w:val="00832042"/>
    <w:rsid w:val="00832E90"/>
    <w:rsid w:val="00834222"/>
    <w:rsid w:val="00834569"/>
    <w:rsid w:val="00842B93"/>
    <w:rsid w:val="008459EE"/>
    <w:rsid w:val="00846BA1"/>
    <w:rsid w:val="00846F03"/>
    <w:rsid w:val="008515DC"/>
    <w:rsid w:val="00851D49"/>
    <w:rsid w:val="00852D44"/>
    <w:rsid w:val="00853663"/>
    <w:rsid w:val="00854CC0"/>
    <w:rsid w:val="0085615E"/>
    <w:rsid w:val="0085644D"/>
    <w:rsid w:val="00856D64"/>
    <w:rsid w:val="00856F3E"/>
    <w:rsid w:val="008572E6"/>
    <w:rsid w:val="0085777D"/>
    <w:rsid w:val="0086330B"/>
    <w:rsid w:val="00864100"/>
    <w:rsid w:val="008705CC"/>
    <w:rsid w:val="00870E8D"/>
    <w:rsid w:val="008778E5"/>
    <w:rsid w:val="00881DB9"/>
    <w:rsid w:val="00881EF7"/>
    <w:rsid w:val="00882C4C"/>
    <w:rsid w:val="00884CAD"/>
    <w:rsid w:val="00884DD6"/>
    <w:rsid w:val="008855F0"/>
    <w:rsid w:val="008869A9"/>
    <w:rsid w:val="00890103"/>
    <w:rsid w:val="008901E5"/>
    <w:rsid w:val="008918CC"/>
    <w:rsid w:val="008930B2"/>
    <w:rsid w:val="00895DD5"/>
    <w:rsid w:val="00896B26"/>
    <w:rsid w:val="00896CB8"/>
    <w:rsid w:val="008A065A"/>
    <w:rsid w:val="008A0A44"/>
    <w:rsid w:val="008A182F"/>
    <w:rsid w:val="008A1D1C"/>
    <w:rsid w:val="008A2598"/>
    <w:rsid w:val="008A492B"/>
    <w:rsid w:val="008A5898"/>
    <w:rsid w:val="008A7D86"/>
    <w:rsid w:val="008B0A72"/>
    <w:rsid w:val="008B42F8"/>
    <w:rsid w:val="008B4349"/>
    <w:rsid w:val="008B4352"/>
    <w:rsid w:val="008B55E9"/>
    <w:rsid w:val="008B60BF"/>
    <w:rsid w:val="008B7CEE"/>
    <w:rsid w:val="008C11CB"/>
    <w:rsid w:val="008C1D87"/>
    <w:rsid w:val="008C25D0"/>
    <w:rsid w:val="008C2C27"/>
    <w:rsid w:val="008C31B4"/>
    <w:rsid w:val="008C412E"/>
    <w:rsid w:val="008C50B4"/>
    <w:rsid w:val="008C753C"/>
    <w:rsid w:val="008D01C5"/>
    <w:rsid w:val="008D3E93"/>
    <w:rsid w:val="008D4236"/>
    <w:rsid w:val="008D6323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270"/>
    <w:rsid w:val="008F7B5E"/>
    <w:rsid w:val="008F7BEA"/>
    <w:rsid w:val="00901C3E"/>
    <w:rsid w:val="00901E2D"/>
    <w:rsid w:val="00902668"/>
    <w:rsid w:val="00902867"/>
    <w:rsid w:val="00905C1D"/>
    <w:rsid w:val="0091030B"/>
    <w:rsid w:val="00910D2D"/>
    <w:rsid w:val="00916014"/>
    <w:rsid w:val="009164C6"/>
    <w:rsid w:val="009172CF"/>
    <w:rsid w:val="00917BC0"/>
    <w:rsid w:val="00920B7B"/>
    <w:rsid w:val="00923437"/>
    <w:rsid w:val="00924D3E"/>
    <w:rsid w:val="00926282"/>
    <w:rsid w:val="00930322"/>
    <w:rsid w:val="00931246"/>
    <w:rsid w:val="00932376"/>
    <w:rsid w:val="009338DB"/>
    <w:rsid w:val="00935F4F"/>
    <w:rsid w:val="009412F2"/>
    <w:rsid w:val="009415E1"/>
    <w:rsid w:val="00941794"/>
    <w:rsid w:val="00942098"/>
    <w:rsid w:val="0094220E"/>
    <w:rsid w:val="00942809"/>
    <w:rsid w:val="009450DE"/>
    <w:rsid w:val="00953147"/>
    <w:rsid w:val="009533C0"/>
    <w:rsid w:val="009550D7"/>
    <w:rsid w:val="00956534"/>
    <w:rsid w:val="00956E25"/>
    <w:rsid w:val="009607F6"/>
    <w:rsid w:val="00961EFC"/>
    <w:rsid w:val="009659C9"/>
    <w:rsid w:val="00965EB1"/>
    <w:rsid w:val="00970D94"/>
    <w:rsid w:val="009723C5"/>
    <w:rsid w:val="00972F84"/>
    <w:rsid w:val="009732F4"/>
    <w:rsid w:val="009743A2"/>
    <w:rsid w:val="00975B9B"/>
    <w:rsid w:val="00975DB4"/>
    <w:rsid w:val="00976AAD"/>
    <w:rsid w:val="009806AC"/>
    <w:rsid w:val="009818C2"/>
    <w:rsid w:val="009829BE"/>
    <w:rsid w:val="00982BF2"/>
    <w:rsid w:val="00986B50"/>
    <w:rsid w:val="00992969"/>
    <w:rsid w:val="0099339C"/>
    <w:rsid w:val="00993A0F"/>
    <w:rsid w:val="00994548"/>
    <w:rsid w:val="009948F6"/>
    <w:rsid w:val="00997F0F"/>
    <w:rsid w:val="009A095D"/>
    <w:rsid w:val="009A1430"/>
    <w:rsid w:val="009A1B95"/>
    <w:rsid w:val="009A1CA7"/>
    <w:rsid w:val="009A1E41"/>
    <w:rsid w:val="009A2B25"/>
    <w:rsid w:val="009A3C32"/>
    <w:rsid w:val="009A5C72"/>
    <w:rsid w:val="009A656E"/>
    <w:rsid w:val="009A7F72"/>
    <w:rsid w:val="009B019E"/>
    <w:rsid w:val="009B38CF"/>
    <w:rsid w:val="009B3C2A"/>
    <w:rsid w:val="009B4BDA"/>
    <w:rsid w:val="009B6280"/>
    <w:rsid w:val="009B6920"/>
    <w:rsid w:val="009B6D22"/>
    <w:rsid w:val="009B6EA0"/>
    <w:rsid w:val="009B7A8A"/>
    <w:rsid w:val="009C16BD"/>
    <w:rsid w:val="009C1CC8"/>
    <w:rsid w:val="009C48BC"/>
    <w:rsid w:val="009C4F37"/>
    <w:rsid w:val="009C5AB0"/>
    <w:rsid w:val="009D113D"/>
    <w:rsid w:val="009D15FB"/>
    <w:rsid w:val="009D1F98"/>
    <w:rsid w:val="009D2400"/>
    <w:rsid w:val="009D2543"/>
    <w:rsid w:val="009D5237"/>
    <w:rsid w:val="009D730B"/>
    <w:rsid w:val="009D757B"/>
    <w:rsid w:val="009E0F7F"/>
    <w:rsid w:val="009E2546"/>
    <w:rsid w:val="009E2D60"/>
    <w:rsid w:val="009E6006"/>
    <w:rsid w:val="009E62A7"/>
    <w:rsid w:val="009E7412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1AE"/>
    <w:rsid w:val="00A04228"/>
    <w:rsid w:val="00A0458F"/>
    <w:rsid w:val="00A07211"/>
    <w:rsid w:val="00A128EA"/>
    <w:rsid w:val="00A147D6"/>
    <w:rsid w:val="00A16070"/>
    <w:rsid w:val="00A16A9F"/>
    <w:rsid w:val="00A175C0"/>
    <w:rsid w:val="00A21471"/>
    <w:rsid w:val="00A22075"/>
    <w:rsid w:val="00A2207D"/>
    <w:rsid w:val="00A266DE"/>
    <w:rsid w:val="00A26B40"/>
    <w:rsid w:val="00A279B0"/>
    <w:rsid w:val="00A31FDF"/>
    <w:rsid w:val="00A33480"/>
    <w:rsid w:val="00A34539"/>
    <w:rsid w:val="00A34DCD"/>
    <w:rsid w:val="00A35DB3"/>
    <w:rsid w:val="00A3605D"/>
    <w:rsid w:val="00A3630B"/>
    <w:rsid w:val="00A41537"/>
    <w:rsid w:val="00A41EEC"/>
    <w:rsid w:val="00A4292A"/>
    <w:rsid w:val="00A436A3"/>
    <w:rsid w:val="00A44734"/>
    <w:rsid w:val="00A47477"/>
    <w:rsid w:val="00A51404"/>
    <w:rsid w:val="00A51F28"/>
    <w:rsid w:val="00A52080"/>
    <w:rsid w:val="00A5350F"/>
    <w:rsid w:val="00A53978"/>
    <w:rsid w:val="00A549B4"/>
    <w:rsid w:val="00A5638B"/>
    <w:rsid w:val="00A57161"/>
    <w:rsid w:val="00A57984"/>
    <w:rsid w:val="00A61403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8511A"/>
    <w:rsid w:val="00A860A0"/>
    <w:rsid w:val="00A90F58"/>
    <w:rsid w:val="00A93232"/>
    <w:rsid w:val="00A9385F"/>
    <w:rsid w:val="00A943A8"/>
    <w:rsid w:val="00A94AEC"/>
    <w:rsid w:val="00A97DCA"/>
    <w:rsid w:val="00AA0BBA"/>
    <w:rsid w:val="00AA1546"/>
    <w:rsid w:val="00AA2EF8"/>
    <w:rsid w:val="00AA36EE"/>
    <w:rsid w:val="00AA51B0"/>
    <w:rsid w:val="00AA54CE"/>
    <w:rsid w:val="00AA5C25"/>
    <w:rsid w:val="00AA7988"/>
    <w:rsid w:val="00AB2B74"/>
    <w:rsid w:val="00AB409F"/>
    <w:rsid w:val="00AB4F79"/>
    <w:rsid w:val="00AB68FB"/>
    <w:rsid w:val="00AB71AF"/>
    <w:rsid w:val="00AC06FA"/>
    <w:rsid w:val="00AC136D"/>
    <w:rsid w:val="00AC22D8"/>
    <w:rsid w:val="00AC366B"/>
    <w:rsid w:val="00AC426B"/>
    <w:rsid w:val="00AC5CDC"/>
    <w:rsid w:val="00AC6D66"/>
    <w:rsid w:val="00AC78F7"/>
    <w:rsid w:val="00AD332C"/>
    <w:rsid w:val="00AD38D3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E6B84"/>
    <w:rsid w:val="00AE755B"/>
    <w:rsid w:val="00AF044D"/>
    <w:rsid w:val="00AF1C72"/>
    <w:rsid w:val="00AF4F58"/>
    <w:rsid w:val="00AF52DF"/>
    <w:rsid w:val="00AF6CFB"/>
    <w:rsid w:val="00AF72E2"/>
    <w:rsid w:val="00B0223B"/>
    <w:rsid w:val="00B058F3"/>
    <w:rsid w:val="00B05BF3"/>
    <w:rsid w:val="00B16DD8"/>
    <w:rsid w:val="00B17A25"/>
    <w:rsid w:val="00B20869"/>
    <w:rsid w:val="00B2503D"/>
    <w:rsid w:val="00B256C5"/>
    <w:rsid w:val="00B26A11"/>
    <w:rsid w:val="00B314FC"/>
    <w:rsid w:val="00B3162F"/>
    <w:rsid w:val="00B334F4"/>
    <w:rsid w:val="00B3364B"/>
    <w:rsid w:val="00B357CE"/>
    <w:rsid w:val="00B35FF2"/>
    <w:rsid w:val="00B3631A"/>
    <w:rsid w:val="00B37331"/>
    <w:rsid w:val="00B40C5C"/>
    <w:rsid w:val="00B42504"/>
    <w:rsid w:val="00B435C0"/>
    <w:rsid w:val="00B44088"/>
    <w:rsid w:val="00B440E6"/>
    <w:rsid w:val="00B44BDD"/>
    <w:rsid w:val="00B45525"/>
    <w:rsid w:val="00B47955"/>
    <w:rsid w:val="00B50A27"/>
    <w:rsid w:val="00B53E37"/>
    <w:rsid w:val="00B5525D"/>
    <w:rsid w:val="00B5756B"/>
    <w:rsid w:val="00B62325"/>
    <w:rsid w:val="00B62BD4"/>
    <w:rsid w:val="00B64CFD"/>
    <w:rsid w:val="00B66150"/>
    <w:rsid w:val="00B67407"/>
    <w:rsid w:val="00B70501"/>
    <w:rsid w:val="00B70977"/>
    <w:rsid w:val="00B71590"/>
    <w:rsid w:val="00B71E71"/>
    <w:rsid w:val="00B726F7"/>
    <w:rsid w:val="00B741C0"/>
    <w:rsid w:val="00B76254"/>
    <w:rsid w:val="00B76F37"/>
    <w:rsid w:val="00B77226"/>
    <w:rsid w:val="00B81117"/>
    <w:rsid w:val="00B8170E"/>
    <w:rsid w:val="00B82B8D"/>
    <w:rsid w:val="00B830A0"/>
    <w:rsid w:val="00B84370"/>
    <w:rsid w:val="00B84BD7"/>
    <w:rsid w:val="00B855E7"/>
    <w:rsid w:val="00B85EDB"/>
    <w:rsid w:val="00B8616E"/>
    <w:rsid w:val="00B87681"/>
    <w:rsid w:val="00B8770C"/>
    <w:rsid w:val="00B907E8"/>
    <w:rsid w:val="00B90F2C"/>
    <w:rsid w:val="00B94EF2"/>
    <w:rsid w:val="00B95C8B"/>
    <w:rsid w:val="00B95C9B"/>
    <w:rsid w:val="00BA19E5"/>
    <w:rsid w:val="00BA3D2E"/>
    <w:rsid w:val="00BA4B74"/>
    <w:rsid w:val="00BA5425"/>
    <w:rsid w:val="00BA637B"/>
    <w:rsid w:val="00BA6A3F"/>
    <w:rsid w:val="00BA7350"/>
    <w:rsid w:val="00BB12B6"/>
    <w:rsid w:val="00BB17CB"/>
    <w:rsid w:val="00BB23A9"/>
    <w:rsid w:val="00BB3EDB"/>
    <w:rsid w:val="00BB4339"/>
    <w:rsid w:val="00BB5416"/>
    <w:rsid w:val="00BC0626"/>
    <w:rsid w:val="00BC18F8"/>
    <w:rsid w:val="00BC22A6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5C0"/>
    <w:rsid w:val="00BD5F9E"/>
    <w:rsid w:val="00BD6620"/>
    <w:rsid w:val="00BD6A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BEF"/>
    <w:rsid w:val="00BE7C6B"/>
    <w:rsid w:val="00BF0EDE"/>
    <w:rsid w:val="00BF10B0"/>
    <w:rsid w:val="00BF182C"/>
    <w:rsid w:val="00BF2A5A"/>
    <w:rsid w:val="00BF2E1D"/>
    <w:rsid w:val="00BF2FDD"/>
    <w:rsid w:val="00BF45D8"/>
    <w:rsid w:val="00BF513C"/>
    <w:rsid w:val="00BF5C86"/>
    <w:rsid w:val="00BF5F48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27F6F"/>
    <w:rsid w:val="00C335E7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11DE"/>
    <w:rsid w:val="00C63209"/>
    <w:rsid w:val="00C63491"/>
    <w:rsid w:val="00C64385"/>
    <w:rsid w:val="00C656C3"/>
    <w:rsid w:val="00C657DA"/>
    <w:rsid w:val="00C71727"/>
    <w:rsid w:val="00C73107"/>
    <w:rsid w:val="00C735F3"/>
    <w:rsid w:val="00C752E4"/>
    <w:rsid w:val="00C7679A"/>
    <w:rsid w:val="00C77FA0"/>
    <w:rsid w:val="00C803E7"/>
    <w:rsid w:val="00C81270"/>
    <w:rsid w:val="00C8314D"/>
    <w:rsid w:val="00C84391"/>
    <w:rsid w:val="00C84ACF"/>
    <w:rsid w:val="00C84B20"/>
    <w:rsid w:val="00C85E3B"/>
    <w:rsid w:val="00C872C2"/>
    <w:rsid w:val="00C91239"/>
    <w:rsid w:val="00C925E7"/>
    <w:rsid w:val="00C9548A"/>
    <w:rsid w:val="00C9582F"/>
    <w:rsid w:val="00C961BC"/>
    <w:rsid w:val="00C97753"/>
    <w:rsid w:val="00CA0C29"/>
    <w:rsid w:val="00CA231E"/>
    <w:rsid w:val="00CA2B23"/>
    <w:rsid w:val="00CA3945"/>
    <w:rsid w:val="00CA3982"/>
    <w:rsid w:val="00CA4FF3"/>
    <w:rsid w:val="00CA6285"/>
    <w:rsid w:val="00CA6619"/>
    <w:rsid w:val="00CA67B2"/>
    <w:rsid w:val="00CA6C36"/>
    <w:rsid w:val="00CB00DB"/>
    <w:rsid w:val="00CB044C"/>
    <w:rsid w:val="00CB194F"/>
    <w:rsid w:val="00CB1B2B"/>
    <w:rsid w:val="00CB1D5F"/>
    <w:rsid w:val="00CB2E57"/>
    <w:rsid w:val="00CB41FB"/>
    <w:rsid w:val="00CB558E"/>
    <w:rsid w:val="00CB66B3"/>
    <w:rsid w:val="00CC017B"/>
    <w:rsid w:val="00CC0E6F"/>
    <w:rsid w:val="00CC25B8"/>
    <w:rsid w:val="00CC2B6B"/>
    <w:rsid w:val="00CC52F8"/>
    <w:rsid w:val="00CC559E"/>
    <w:rsid w:val="00CC7597"/>
    <w:rsid w:val="00CD2631"/>
    <w:rsid w:val="00CD331B"/>
    <w:rsid w:val="00CD41D6"/>
    <w:rsid w:val="00CD6462"/>
    <w:rsid w:val="00CD6ECD"/>
    <w:rsid w:val="00CE0BD3"/>
    <w:rsid w:val="00CE15BB"/>
    <w:rsid w:val="00CE2913"/>
    <w:rsid w:val="00CF29E8"/>
    <w:rsid w:val="00CF2D90"/>
    <w:rsid w:val="00CF38C0"/>
    <w:rsid w:val="00CF5C90"/>
    <w:rsid w:val="00CF6A1A"/>
    <w:rsid w:val="00D02C1F"/>
    <w:rsid w:val="00D02F1F"/>
    <w:rsid w:val="00D02F5D"/>
    <w:rsid w:val="00D0417B"/>
    <w:rsid w:val="00D12E26"/>
    <w:rsid w:val="00D1317F"/>
    <w:rsid w:val="00D13D93"/>
    <w:rsid w:val="00D146B9"/>
    <w:rsid w:val="00D14CF8"/>
    <w:rsid w:val="00D173FE"/>
    <w:rsid w:val="00D1781B"/>
    <w:rsid w:val="00D213F0"/>
    <w:rsid w:val="00D214B0"/>
    <w:rsid w:val="00D219C7"/>
    <w:rsid w:val="00D21D49"/>
    <w:rsid w:val="00D2268D"/>
    <w:rsid w:val="00D233E4"/>
    <w:rsid w:val="00D24BD7"/>
    <w:rsid w:val="00D2525F"/>
    <w:rsid w:val="00D25FD8"/>
    <w:rsid w:val="00D261B5"/>
    <w:rsid w:val="00D26344"/>
    <w:rsid w:val="00D27CC4"/>
    <w:rsid w:val="00D302EC"/>
    <w:rsid w:val="00D31ABB"/>
    <w:rsid w:val="00D340F8"/>
    <w:rsid w:val="00D3721C"/>
    <w:rsid w:val="00D372D1"/>
    <w:rsid w:val="00D37995"/>
    <w:rsid w:val="00D4096E"/>
    <w:rsid w:val="00D42586"/>
    <w:rsid w:val="00D451FC"/>
    <w:rsid w:val="00D53F48"/>
    <w:rsid w:val="00D54D90"/>
    <w:rsid w:val="00D57149"/>
    <w:rsid w:val="00D61539"/>
    <w:rsid w:val="00D63B93"/>
    <w:rsid w:val="00D63CFD"/>
    <w:rsid w:val="00D700FA"/>
    <w:rsid w:val="00D7079C"/>
    <w:rsid w:val="00D72614"/>
    <w:rsid w:val="00D72975"/>
    <w:rsid w:val="00D72D6B"/>
    <w:rsid w:val="00D73CAF"/>
    <w:rsid w:val="00D7597F"/>
    <w:rsid w:val="00D75CAC"/>
    <w:rsid w:val="00D76516"/>
    <w:rsid w:val="00D76860"/>
    <w:rsid w:val="00D77E8D"/>
    <w:rsid w:val="00D80703"/>
    <w:rsid w:val="00D8107E"/>
    <w:rsid w:val="00D81864"/>
    <w:rsid w:val="00D833B7"/>
    <w:rsid w:val="00D83BA2"/>
    <w:rsid w:val="00D84EC0"/>
    <w:rsid w:val="00D85235"/>
    <w:rsid w:val="00D85776"/>
    <w:rsid w:val="00D85B79"/>
    <w:rsid w:val="00D85C31"/>
    <w:rsid w:val="00D87DC1"/>
    <w:rsid w:val="00D91ED3"/>
    <w:rsid w:val="00D92009"/>
    <w:rsid w:val="00D92383"/>
    <w:rsid w:val="00D94ABF"/>
    <w:rsid w:val="00D95617"/>
    <w:rsid w:val="00D95A1A"/>
    <w:rsid w:val="00D9772D"/>
    <w:rsid w:val="00DA2721"/>
    <w:rsid w:val="00DA3011"/>
    <w:rsid w:val="00DA50B7"/>
    <w:rsid w:val="00DA5820"/>
    <w:rsid w:val="00DB061C"/>
    <w:rsid w:val="00DB0B68"/>
    <w:rsid w:val="00DB28EA"/>
    <w:rsid w:val="00DB3BCF"/>
    <w:rsid w:val="00DB4215"/>
    <w:rsid w:val="00DB4B88"/>
    <w:rsid w:val="00DB5096"/>
    <w:rsid w:val="00DB53CE"/>
    <w:rsid w:val="00DB6496"/>
    <w:rsid w:val="00DB64D6"/>
    <w:rsid w:val="00DB7252"/>
    <w:rsid w:val="00DB73BD"/>
    <w:rsid w:val="00DC3D1B"/>
    <w:rsid w:val="00DD0FD9"/>
    <w:rsid w:val="00DD1996"/>
    <w:rsid w:val="00DD21B3"/>
    <w:rsid w:val="00DD2482"/>
    <w:rsid w:val="00DD27BE"/>
    <w:rsid w:val="00DD507F"/>
    <w:rsid w:val="00DD5333"/>
    <w:rsid w:val="00DD57F6"/>
    <w:rsid w:val="00DD5923"/>
    <w:rsid w:val="00DD7ADF"/>
    <w:rsid w:val="00DD7F5E"/>
    <w:rsid w:val="00DE0714"/>
    <w:rsid w:val="00DE545D"/>
    <w:rsid w:val="00DE6DE5"/>
    <w:rsid w:val="00DF058B"/>
    <w:rsid w:val="00DF18EA"/>
    <w:rsid w:val="00DF1D28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5CB5"/>
    <w:rsid w:val="00E16B95"/>
    <w:rsid w:val="00E16E05"/>
    <w:rsid w:val="00E20502"/>
    <w:rsid w:val="00E25FAD"/>
    <w:rsid w:val="00E3024C"/>
    <w:rsid w:val="00E31C27"/>
    <w:rsid w:val="00E35EBF"/>
    <w:rsid w:val="00E36D95"/>
    <w:rsid w:val="00E37C62"/>
    <w:rsid w:val="00E403A3"/>
    <w:rsid w:val="00E4090A"/>
    <w:rsid w:val="00E44207"/>
    <w:rsid w:val="00E45513"/>
    <w:rsid w:val="00E47202"/>
    <w:rsid w:val="00E474AB"/>
    <w:rsid w:val="00E47793"/>
    <w:rsid w:val="00E51023"/>
    <w:rsid w:val="00E52E4B"/>
    <w:rsid w:val="00E53653"/>
    <w:rsid w:val="00E53E39"/>
    <w:rsid w:val="00E54C04"/>
    <w:rsid w:val="00E55F96"/>
    <w:rsid w:val="00E616AE"/>
    <w:rsid w:val="00E6191A"/>
    <w:rsid w:val="00E61FB7"/>
    <w:rsid w:val="00E62567"/>
    <w:rsid w:val="00E62C87"/>
    <w:rsid w:val="00E64B16"/>
    <w:rsid w:val="00E65120"/>
    <w:rsid w:val="00E66007"/>
    <w:rsid w:val="00E70911"/>
    <w:rsid w:val="00E71394"/>
    <w:rsid w:val="00E74E26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1AAF"/>
    <w:rsid w:val="00E93C63"/>
    <w:rsid w:val="00E96DE5"/>
    <w:rsid w:val="00E976E3"/>
    <w:rsid w:val="00EA0BAC"/>
    <w:rsid w:val="00EA3630"/>
    <w:rsid w:val="00EA4E0D"/>
    <w:rsid w:val="00EA5BFB"/>
    <w:rsid w:val="00EA5CFD"/>
    <w:rsid w:val="00EA7894"/>
    <w:rsid w:val="00EA79B2"/>
    <w:rsid w:val="00EB2021"/>
    <w:rsid w:val="00EB2C82"/>
    <w:rsid w:val="00EB3F25"/>
    <w:rsid w:val="00EB44E5"/>
    <w:rsid w:val="00EB62C2"/>
    <w:rsid w:val="00EB6B70"/>
    <w:rsid w:val="00EC034D"/>
    <w:rsid w:val="00EC1B42"/>
    <w:rsid w:val="00EC2EE4"/>
    <w:rsid w:val="00EC3344"/>
    <w:rsid w:val="00EC3994"/>
    <w:rsid w:val="00EC44BF"/>
    <w:rsid w:val="00EC6657"/>
    <w:rsid w:val="00EC7226"/>
    <w:rsid w:val="00EC74F9"/>
    <w:rsid w:val="00ED153D"/>
    <w:rsid w:val="00ED1AA1"/>
    <w:rsid w:val="00ED28BA"/>
    <w:rsid w:val="00ED3227"/>
    <w:rsid w:val="00ED3B20"/>
    <w:rsid w:val="00ED3B7F"/>
    <w:rsid w:val="00ED6D62"/>
    <w:rsid w:val="00ED7248"/>
    <w:rsid w:val="00EE0431"/>
    <w:rsid w:val="00EE0853"/>
    <w:rsid w:val="00EE2315"/>
    <w:rsid w:val="00EE33B1"/>
    <w:rsid w:val="00EE3854"/>
    <w:rsid w:val="00EE453E"/>
    <w:rsid w:val="00EE4624"/>
    <w:rsid w:val="00EE6E6B"/>
    <w:rsid w:val="00EE7552"/>
    <w:rsid w:val="00EF040B"/>
    <w:rsid w:val="00EF0616"/>
    <w:rsid w:val="00EF073D"/>
    <w:rsid w:val="00EF2076"/>
    <w:rsid w:val="00EF3FCC"/>
    <w:rsid w:val="00EF410B"/>
    <w:rsid w:val="00EF488B"/>
    <w:rsid w:val="00EF5051"/>
    <w:rsid w:val="00EF53F6"/>
    <w:rsid w:val="00F02399"/>
    <w:rsid w:val="00F02678"/>
    <w:rsid w:val="00F0276F"/>
    <w:rsid w:val="00F0301D"/>
    <w:rsid w:val="00F0327D"/>
    <w:rsid w:val="00F040DC"/>
    <w:rsid w:val="00F072E9"/>
    <w:rsid w:val="00F113EE"/>
    <w:rsid w:val="00F1355B"/>
    <w:rsid w:val="00F142F9"/>
    <w:rsid w:val="00F23E0D"/>
    <w:rsid w:val="00F24661"/>
    <w:rsid w:val="00F25A4B"/>
    <w:rsid w:val="00F27354"/>
    <w:rsid w:val="00F27EA0"/>
    <w:rsid w:val="00F31E90"/>
    <w:rsid w:val="00F32B8D"/>
    <w:rsid w:val="00F35525"/>
    <w:rsid w:val="00F357D6"/>
    <w:rsid w:val="00F41883"/>
    <w:rsid w:val="00F41A72"/>
    <w:rsid w:val="00F43330"/>
    <w:rsid w:val="00F43F2B"/>
    <w:rsid w:val="00F44585"/>
    <w:rsid w:val="00F44ED4"/>
    <w:rsid w:val="00F47204"/>
    <w:rsid w:val="00F50DC6"/>
    <w:rsid w:val="00F5190F"/>
    <w:rsid w:val="00F51E2F"/>
    <w:rsid w:val="00F528CC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568A"/>
    <w:rsid w:val="00F76404"/>
    <w:rsid w:val="00F76B4B"/>
    <w:rsid w:val="00F801C8"/>
    <w:rsid w:val="00F81138"/>
    <w:rsid w:val="00F82884"/>
    <w:rsid w:val="00F82F27"/>
    <w:rsid w:val="00F8397F"/>
    <w:rsid w:val="00F83DC8"/>
    <w:rsid w:val="00F85199"/>
    <w:rsid w:val="00F8795B"/>
    <w:rsid w:val="00F91F52"/>
    <w:rsid w:val="00F92226"/>
    <w:rsid w:val="00F92452"/>
    <w:rsid w:val="00F92DFC"/>
    <w:rsid w:val="00F940EB"/>
    <w:rsid w:val="00F94EC2"/>
    <w:rsid w:val="00F96916"/>
    <w:rsid w:val="00F9738B"/>
    <w:rsid w:val="00FA1BB2"/>
    <w:rsid w:val="00FA255C"/>
    <w:rsid w:val="00FA270F"/>
    <w:rsid w:val="00FA348D"/>
    <w:rsid w:val="00FA6893"/>
    <w:rsid w:val="00FB032D"/>
    <w:rsid w:val="00FB1D08"/>
    <w:rsid w:val="00FB23D4"/>
    <w:rsid w:val="00FB2CE3"/>
    <w:rsid w:val="00FB3590"/>
    <w:rsid w:val="00FB36DE"/>
    <w:rsid w:val="00FB4A95"/>
    <w:rsid w:val="00FB4C31"/>
    <w:rsid w:val="00FB4D5A"/>
    <w:rsid w:val="00FB5B76"/>
    <w:rsid w:val="00FB697B"/>
    <w:rsid w:val="00FB6A87"/>
    <w:rsid w:val="00FB7A9E"/>
    <w:rsid w:val="00FB7FE2"/>
    <w:rsid w:val="00FC311A"/>
    <w:rsid w:val="00FC572C"/>
    <w:rsid w:val="00FC6D59"/>
    <w:rsid w:val="00FD07F8"/>
    <w:rsid w:val="00FD1EA7"/>
    <w:rsid w:val="00FD2F02"/>
    <w:rsid w:val="00FD45F7"/>
    <w:rsid w:val="00FD4DC2"/>
    <w:rsid w:val="00FD5F30"/>
    <w:rsid w:val="00FD6790"/>
    <w:rsid w:val="00FD7522"/>
    <w:rsid w:val="00FE034E"/>
    <w:rsid w:val="00FE4176"/>
    <w:rsid w:val="00FE565A"/>
    <w:rsid w:val="00FE6BD9"/>
    <w:rsid w:val="00FF1116"/>
    <w:rsid w:val="00FF1634"/>
    <w:rsid w:val="00FF3586"/>
    <w:rsid w:val="00FF4461"/>
    <w:rsid w:val="00FF467E"/>
    <w:rsid w:val="00FF4929"/>
    <w:rsid w:val="00FF71CD"/>
    <w:rsid w:val="00FF728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FC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noteText">
    <w:name w:val="footnote text"/>
    <w:basedOn w:val="Normal"/>
    <w:link w:val="FootnoteTextChar"/>
    <w:uiPriority w:val="99"/>
    <w:unhideWhenUsed/>
    <w:rsid w:val="00482F53"/>
  </w:style>
  <w:style w:type="character" w:customStyle="1" w:styleId="FootnoteTextChar">
    <w:name w:val="Footnote Text Char"/>
    <w:basedOn w:val="DefaultParagraphFont"/>
    <w:link w:val="FootnoteText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482F5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722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EndnoteReference">
    <w:name w:val="endnote reference"/>
    <w:basedOn w:val="DefaultParagraphFont"/>
    <w:uiPriority w:val="99"/>
    <w:semiHidden/>
    <w:unhideWhenUsed/>
    <w:rsid w:val="00EC7226"/>
    <w:rPr>
      <w:vertAlign w:val="superscript"/>
    </w:rPr>
  </w:style>
  <w:style w:type="table" w:styleId="TableGrid">
    <w:name w:val="Table Grid"/>
    <w:basedOn w:val="TableNormal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9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Heading4Char">
    <w:name w:val="Heading 4 Char"/>
    <w:basedOn w:val="DefaultParagraphFont"/>
    <w:link w:val="Heading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Title">
    <w:name w:val="Title"/>
    <w:basedOn w:val="Normal"/>
    <w:next w:val="Normal"/>
    <w:link w:val="TitleChar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DB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4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638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4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jpeg" />
  <Relationship Id="rId13" Type="http://schemas.openxmlformats.org/officeDocument/2006/relationships/image" Target="media/image6.png" />
  <Relationship Id="rId18" Type="http://schemas.openxmlformats.org/officeDocument/2006/relationships/theme" Target="theme/theme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image" Target="media/image5.png" />
  <Relationship Id="rId17" Type="http://schemas.openxmlformats.org/officeDocument/2006/relationships/fontTable" Target="fontTable.xml" />
  <Relationship Id="rId2" Type="http://schemas.openxmlformats.org/officeDocument/2006/relationships/numbering" Target="numbering.xml" />
  <Relationship Id="rId16" Type="http://schemas.openxmlformats.org/officeDocument/2006/relationships/image" Target="media/image8.png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image" Target="media/image4.png" />
  <Relationship Id="rId5" Type="http://schemas.openxmlformats.org/officeDocument/2006/relationships/webSettings" Target="webSettings.xml" />
  <Relationship Id="rId15" Type="http://schemas.openxmlformats.org/officeDocument/2006/relationships/footer" Target="footer1.xml" />
  <Relationship Id="rId10" Type="http://schemas.openxmlformats.org/officeDocument/2006/relationships/image" Target="media/image3.png" />
  <Relationship Id="rId4" Type="http://schemas.openxmlformats.org/officeDocument/2006/relationships/settings" Target="settings.xml" />
  <Relationship Id="rId9" Type="http://schemas.openxmlformats.org/officeDocument/2006/relationships/image" Target="media/image2.png" />
  <Relationship Id="rId14" Type="http://schemas.openxmlformats.org/officeDocument/2006/relationships/image" Target="media/image7.png" />
</Relationships>
</file>

<file path=word/_rels/footnotes.xml.rels>&#65279;<?xml version="1.0" encoding="utf-8" standalone="yes"?>
<Relationships xmlns="http://schemas.openxmlformats.org/package/2006/relationships">
  <Relationship Id="rId1" Type="http://schemas.openxmlformats.org/officeDocument/2006/relationships/hyperlink" Target="https://www.boi.org.il/he/NewsAndPublications/RegularPublications/Documents/MabatStat2018/shekel.pdf" TargetMode="External" 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382F-A5E2-4363-A65F-01D03517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2024-05-12T11:03:00Z</dcterms:created>
  <dcterms:modified xsi:type="dcterms:W3CDTF">2024-05-12T11:03:00Z</dcterms:modified>
</cp:coreProperties>
</file>