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031A9D" w:rsidRPr="0028112B" w14:paraId="39DA1E04" w14:textId="77777777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F4BE3" w14:textId="77777777" w:rsidR="00031A9D" w:rsidRPr="0028112B" w:rsidRDefault="00031A9D" w:rsidP="00F2528F">
            <w:p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8112B">
              <w:rPr>
                <w:rFonts w:asciiTheme="minorBidi" w:hAnsiTheme="minorBidi" w:cstheme="minorBidi"/>
                <w:b/>
                <w:bCs/>
                <w:rtl/>
              </w:rPr>
              <w:t>בנק ישראל</w:t>
            </w:r>
          </w:p>
          <w:p w14:paraId="3E5F02A1" w14:textId="77777777" w:rsidR="00031A9D" w:rsidRPr="0028112B" w:rsidRDefault="00031A9D" w:rsidP="00F2528F">
            <w:pPr>
              <w:bidi/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8112B">
              <w:rPr>
                <w:rFonts w:asciiTheme="minorBidi" w:hAnsiTheme="minorBidi" w:cstheme="minorBid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F4B90C" w14:textId="77777777" w:rsidR="00031A9D" w:rsidRPr="0028112B" w:rsidRDefault="00CC57F4" w:rsidP="00F2528F">
            <w:pPr>
              <w:bidi/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28112B">
              <w:rPr>
                <w:rFonts w:asciiTheme="minorBidi" w:hAnsiTheme="minorBidi" w:cstheme="minorBidi"/>
                <w:noProof/>
              </w:rPr>
              <w:drawing>
                <wp:inline distT="0" distB="0" distL="0" distR="0" wp14:anchorId="39EFD0FA" wp14:editId="4030D01A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E40B" w14:textId="189BC35B" w:rsidR="00031A9D" w:rsidRPr="0028112B" w:rsidRDefault="00031A9D" w:rsidP="00F2528F">
            <w:pPr>
              <w:bidi/>
              <w:spacing w:line="360" w:lineRule="auto"/>
              <w:jc w:val="center"/>
              <w:rPr>
                <w:rFonts w:asciiTheme="minorBidi" w:hAnsiTheme="minorBidi" w:cstheme="minorBidi"/>
                <w:rtl/>
              </w:rPr>
            </w:pPr>
            <w:r w:rsidRPr="0028112B">
              <w:rPr>
                <w:rFonts w:asciiTheme="minorBidi" w:hAnsiTheme="minorBidi" w:cstheme="minorBidi"/>
                <w:highlight w:val="green"/>
                <w:rtl/>
              </w:rPr>
              <w:t>‏</w:t>
            </w:r>
            <w:r w:rsidRPr="0028112B">
              <w:rPr>
                <w:rFonts w:asciiTheme="minorBidi" w:hAnsiTheme="minorBidi" w:cstheme="minorBidi"/>
                <w:rtl/>
              </w:rPr>
              <w:t xml:space="preserve">ירושלים, </w:t>
            </w:r>
            <w:r w:rsidRPr="0028112B">
              <w:rPr>
                <w:rFonts w:asciiTheme="minorBidi" w:hAnsiTheme="minorBidi" w:cstheme="minorBidi"/>
                <w:rtl/>
              </w:rPr>
              <w:fldChar w:fldCharType="begin"/>
            </w:r>
            <w:r w:rsidRPr="0028112B">
              <w:rPr>
                <w:rFonts w:asciiTheme="minorBidi" w:hAnsiTheme="minorBidi" w:cstheme="minorBidi"/>
                <w:rtl/>
              </w:rPr>
              <w:instrText xml:space="preserve"> </w:instrText>
            </w:r>
            <w:r w:rsidRPr="0028112B">
              <w:rPr>
                <w:rFonts w:asciiTheme="minorBidi" w:hAnsiTheme="minorBidi" w:cstheme="minorBidi"/>
              </w:rPr>
              <w:instrText>DATE</w:instrText>
            </w:r>
            <w:r w:rsidRPr="0028112B">
              <w:rPr>
                <w:rFonts w:asciiTheme="minorBidi" w:hAnsiTheme="minorBidi" w:cstheme="minorBidi"/>
                <w:rtl/>
              </w:rPr>
              <w:instrText xml:space="preserve"> \@ "</w:instrText>
            </w:r>
            <w:r w:rsidRPr="0028112B">
              <w:rPr>
                <w:rFonts w:asciiTheme="minorBidi" w:hAnsiTheme="minorBidi" w:cstheme="minorBidi"/>
              </w:rPr>
              <w:instrText>d MMMM, yyyy" \h</w:instrText>
            </w:r>
            <w:r w:rsidRPr="0028112B">
              <w:rPr>
                <w:rFonts w:asciiTheme="minorBidi" w:hAnsiTheme="minorBidi" w:cstheme="minorBidi"/>
                <w:rtl/>
              </w:rPr>
              <w:instrText xml:space="preserve"> </w:instrText>
            </w:r>
            <w:r w:rsidRPr="0028112B">
              <w:rPr>
                <w:rFonts w:asciiTheme="minorBidi" w:hAnsiTheme="minorBidi" w:cstheme="minorBidi"/>
                <w:rtl/>
              </w:rPr>
              <w:fldChar w:fldCharType="separate"/>
            </w:r>
            <w:r w:rsidR="00950246">
              <w:rPr>
                <w:rFonts w:asciiTheme="minorBidi" w:hAnsiTheme="minorBidi" w:cstheme="minorBidi"/>
                <w:noProof/>
                <w:rtl/>
              </w:rPr>
              <w:t>‏כ"ג חשון, תשפ"ז</w:t>
            </w:r>
            <w:r w:rsidRPr="0028112B">
              <w:rPr>
                <w:rFonts w:asciiTheme="minorBidi" w:hAnsiTheme="minorBidi" w:cstheme="minorBidi"/>
                <w:rtl/>
              </w:rPr>
              <w:fldChar w:fldCharType="end"/>
            </w:r>
          </w:p>
          <w:p w14:paraId="161835F1" w14:textId="52DF9507" w:rsidR="00031A9D" w:rsidRPr="0028112B" w:rsidRDefault="00031A9D" w:rsidP="00F2528F">
            <w:pPr>
              <w:bidi/>
              <w:spacing w:line="360" w:lineRule="auto"/>
              <w:jc w:val="center"/>
              <w:rPr>
                <w:rFonts w:asciiTheme="minorBidi" w:hAnsiTheme="minorBidi" w:cstheme="minorBidi"/>
                <w:highlight w:val="green"/>
              </w:rPr>
            </w:pPr>
            <w:r w:rsidRPr="0028112B">
              <w:rPr>
                <w:rFonts w:asciiTheme="minorBidi" w:hAnsiTheme="minorBidi" w:cstheme="minorBidi"/>
                <w:rtl/>
              </w:rPr>
              <w:fldChar w:fldCharType="begin"/>
            </w:r>
            <w:r w:rsidRPr="0028112B">
              <w:rPr>
                <w:rFonts w:asciiTheme="minorBidi" w:hAnsiTheme="minorBidi" w:cstheme="minorBidi"/>
                <w:rtl/>
              </w:rPr>
              <w:instrText xml:space="preserve"> </w:instrText>
            </w:r>
            <w:r w:rsidRPr="0028112B">
              <w:rPr>
                <w:rFonts w:asciiTheme="minorBidi" w:hAnsiTheme="minorBidi" w:cstheme="minorBidi"/>
              </w:rPr>
              <w:instrText>DATE</w:instrText>
            </w:r>
            <w:r w:rsidRPr="0028112B">
              <w:rPr>
                <w:rFonts w:asciiTheme="minorBidi" w:hAnsiTheme="minorBidi" w:cstheme="minorBidi"/>
                <w:rtl/>
              </w:rPr>
              <w:instrText xml:space="preserve"> \@ "</w:instrText>
            </w:r>
            <w:r w:rsidRPr="0028112B">
              <w:rPr>
                <w:rFonts w:asciiTheme="minorBidi" w:hAnsiTheme="minorBidi" w:cstheme="minorBidi"/>
              </w:rPr>
              <w:instrText>d MMMM, yyyy</w:instrText>
            </w:r>
            <w:r w:rsidRPr="0028112B">
              <w:rPr>
                <w:rFonts w:asciiTheme="minorBidi" w:hAnsiTheme="minorBidi" w:cstheme="minorBidi"/>
                <w:rtl/>
              </w:rPr>
              <w:instrText xml:space="preserve">" </w:instrText>
            </w:r>
            <w:r w:rsidRPr="0028112B">
              <w:rPr>
                <w:rFonts w:asciiTheme="minorBidi" w:hAnsiTheme="minorBidi" w:cstheme="minorBidi"/>
                <w:rtl/>
              </w:rPr>
              <w:fldChar w:fldCharType="separate"/>
            </w:r>
            <w:r w:rsidR="00950246">
              <w:rPr>
                <w:rFonts w:asciiTheme="minorBidi" w:hAnsiTheme="minorBidi" w:cstheme="minorBidi"/>
                <w:noProof/>
                <w:rtl/>
              </w:rPr>
              <w:t>‏3 נובמבר, 2026</w:t>
            </w:r>
            <w:r w:rsidRPr="0028112B">
              <w:rPr>
                <w:rFonts w:asciiTheme="minorBidi" w:hAnsiTheme="minorBidi" w:cstheme="minorBidi"/>
                <w:rtl/>
              </w:rPr>
              <w:fldChar w:fldCharType="end"/>
            </w:r>
          </w:p>
        </w:tc>
      </w:tr>
    </w:tbl>
    <w:p w14:paraId="7FBE5385" w14:textId="77777777" w:rsidR="003E7478" w:rsidRPr="0028112B" w:rsidRDefault="003E7478" w:rsidP="00DD6497">
      <w:pPr>
        <w:bidi/>
        <w:spacing w:line="360" w:lineRule="auto"/>
        <w:jc w:val="center"/>
        <w:rPr>
          <w:rFonts w:asciiTheme="minorBidi" w:hAnsiTheme="minorBidi" w:cstheme="minorBidi"/>
          <w:sz w:val="22"/>
          <w:szCs w:val="22"/>
          <w:rtl/>
        </w:rPr>
      </w:pPr>
    </w:p>
    <w:p w14:paraId="43970DE0" w14:textId="56747C56" w:rsidR="000B589E" w:rsidRPr="0028112B" w:rsidRDefault="0080460D" w:rsidP="000B589E">
      <w:pPr>
        <w:bidi/>
        <w:spacing w:line="360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  <w:lang w:bidi="ar-SA"/>
        </w:rPr>
        <w:t>بيان صحفي:</w:t>
      </w:r>
    </w:p>
    <w:p w14:paraId="29875253" w14:textId="77777777" w:rsidR="0028112B" w:rsidRPr="00084671" w:rsidRDefault="0028112B" w:rsidP="0028112B">
      <w:pPr>
        <w:bidi/>
        <w:jc w:val="center"/>
        <w:rPr>
          <w:rtl/>
        </w:rPr>
      </w:pP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المؤشر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الشهري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للنشاط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الاقتصادي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  <w:lang w:val="en-GB" w:bidi="ar-SA"/>
        </w:rPr>
        <w:t>في</w:t>
      </w:r>
      <w:r>
        <w:rPr>
          <w:b/>
          <w:bCs/>
          <w:sz w:val="28"/>
          <w:szCs w:val="28"/>
          <w:rtl/>
          <w:lang w:val="en-GB" w:bidi="ar-SA"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  <w:lang w:val="en-GB" w:bidi="ar-SA"/>
        </w:rPr>
        <w:t>شهر</w:t>
      </w:r>
      <w:r>
        <w:rPr>
          <w:b/>
          <w:bCs/>
          <w:sz w:val="28"/>
          <w:szCs w:val="28"/>
          <w:rtl/>
          <w:lang w:val="en-GB" w:bidi="ar-SA"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  <w:lang w:val="en-GB" w:bidi="ar-SA"/>
        </w:rPr>
        <w:t>أيلول</w:t>
      </w:r>
      <w:r>
        <w:rPr>
          <w:b/>
          <w:bCs/>
          <w:sz w:val="28"/>
          <w:szCs w:val="28"/>
          <w:rtl/>
          <w:lang w:val="en-GB" w:bidi="ar-SA"/>
        </w:rPr>
        <w:t xml:space="preserve"> </w:t>
      </w:r>
      <w:r>
        <w:rPr>
          <w:rFonts w:ascii="Arial" w:hAnsi="Arial" w:cs="Arial" w:hint="cs"/>
          <w:b/>
          <w:bCs/>
          <w:sz w:val="28"/>
          <w:szCs w:val="28"/>
          <w:rtl/>
          <w:lang w:val="en-GB" w:bidi="ar-SA"/>
        </w:rPr>
        <w:t>يرتفع</w:t>
      </w:r>
      <w:r>
        <w:rPr>
          <w:b/>
          <w:bCs/>
          <w:sz w:val="28"/>
          <w:szCs w:val="28"/>
          <w:rtl/>
          <w:lang w:val="en-GB" w:bidi="ar-SA"/>
        </w:rPr>
        <w:t xml:space="preserve"> </w:t>
      </w: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بنسبة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>
        <w:rPr>
          <w:b/>
          <w:bCs/>
          <w:sz w:val="28"/>
          <w:szCs w:val="28"/>
          <w:rtl/>
          <w:lang w:bidi="ar-SA"/>
        </w:rPr>
        <w:t>0.</w:t>
      </w:r>
      <w:r>
        <w:rPr>
          <w:rFonts w:hint="cs"/>
          <w:b/>
          <w:bCs/>
          <w:sz w:val="28"/>
          <w:szCs w:val="28"/>
          <w:rtl/>
          <w:lang w:bidi="ar-SA"/>
        </w:rPr>
        <w:t>3</w:t>
      </w:r>
      <w:r w:rsidRPr="00130108">
        <w:rPr>
          <w:b/>
          <w:bCs/>
          <w:sz w:val="28"/>
          <w:szCs w:val="28"/>
          <w:rtl/>
          <w:lang w:bidi="ar-SA"/>
        </w:rPr>
        <w:t xml:space="preserve"> </w:t>
      </w:r>
      <w:r w:rsidRPr="00130108">
        <w:rPr>
          <w:rFonts w:ascii="Arial" w:hAnsi="Arial" w:cs="Arial" w:hint="cs"/>
          <w:b/>
          <w:bCs/>
          <w:sz w:val="28"/>
          <w:szCs w:val="28"/>
          <w:rtl/>
          <w:lang w:bidi="ar-SA"/>
        </w:rPr>
        <w:t>بالمائة</w:t>
      </w:r>
    </w:p>
    <w:p w14:paraId="476E0468" w14:textId="77777777" w:rsidR="0028112B" w:rsidRPr="0028112B" w:rsidRDefault="0028112B" w:rsidP="0028112B">
      <w:pPr>
        <w:bidi/>
        <w:rPr>
          <w:rtl/>
          <w:lang w:eastAsia="he-IL"/>
        </w:rPr>
      </w:pPr>
    </w:p>
    <w:p w14:paraId="76083C4F" w14:textId="4D359F51" w:rsidR="00C30956" w:rsidRPr="00C30956" w:rsidRDefault="00C30956" w:rsidP="00C30956">
      <w:pPr>
        <w:bidi/>
        <w:spacing w:after="120" w:line="360" w:lineRule="auto"/>
        <w:ind w:right="-57"/>
        <w:jc w:val="both"/>
        <w:rPr>
          <w:rFonts w:asciiTheme="minorBidi" w:hAnsiTheme="minorBidi" w:cstheme="minorBidi"/>
        </w:rPr>
      </w:pPr>
      <w:r w:rsidRPr="00C30956">
        <w:rPr>
          <w:rFonts w:ascii="Arial" w:hAnsi="Arial" w:cs="Arial" w:hint="cs"/>
          <w:rtl/>
          <w:lang w:bidi="ar-SA"/>
        </w:rPr>
        <w:t>ارتفع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المؤشر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الشهري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للنشاط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الاقتصادي</w:t>
      </w:r>
      <w:r w:rsidRPr="00C30956">
        <w:rPr>
          <w:rStyle w:val="af2"/>
          <w:rFonts w:ascii="Calibri" w:hAnsi="Calibri" w:cs="Calibri"/>
          <w:rtl/>
        </w:rPr>
        <w:footnoteReference w:id="1"/>
      </w:r>
      <w:r w:rsidRPr="00C30956">
        <w:rPr>
          <w:rFonts w:ascii="Calibri" w:hAnsi="Calibri"/>
          <w:rtl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في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شهر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أيلول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بنسبة</w:t>
      </w:r>
      <w:r w:rsidRPr="00C30956">
        <w:rPr>
          <w:rFonts w:ascii="Calibri" w:hAnsi="Calibri"/>
          <w:rtl/>
          <w:lang w:bidi="ar-SA"/>
        </w:rPr>
        <w:t xml:space="preserve"> 0.</w:t>
      </w:r>
      <w:r w:rsidRPr="00C30956">
        <w:rPr>
          <w:rFonts w:ascii="Calibri" w:hAnsi="Calibri" w:hint="cs"/>
          <w:rtl/>
          <w:lang w:bidi="ar-SA"/>
        </w:rPr>
        <w:t>3</w:t>
      </w:r>
      <w:r w:rsidRPr="00C30956">
        <w:rPr>
          <w:rFonts w:ascii="Calibri" w:hAnsi="Calibri"/>
          <w:rtl/>
          <w:lang w:bidi="ar-SA"/>
        </w:rPr>
        <w:t xml:space="preserve">%. </w:t>
      </w:r>
      <w:r w:rsidRPr="00C30956">
        <w:rPr>
          <w:rFonts w:ascii="Arial" w:hAnsi="Arial" w:cs="Arial" w:hint="cs"/>
          <w:rtl/>
          <w:lang w:bidi="ar-SA"/>
        </w:rPr>
        <w:t>يعكس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المؤشر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هذا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الشهر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متوسط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​​النمو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الشهري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المتوقع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خلال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الأشهر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الثلاثة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من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تموز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وحتى</w:t>
      </w:r>
      <w:r w:rsidRPr="00C30956">
        <w:rPr>
          <w:rFonts w:ascii="Calibri" w:hAnsi="Calibri"/>
          <w:rtl/>
          <w:lang w:bidi="ar-SA"/>
        </w:rPr>
        <w:t xml:space="preserve"> </w:t>
      </w:r>
      <w:r w:rsidRPr="00C30956">
        <w:rPr>
          <w:rFonts w:ascii="Arial" w:hAnsi="Arial" w:cs="Arial" w:hint="cs"/>
          <w:rtl/>
          <w:lang w:bidi="ar-SA"/>
        </w:rPr>
        <w:t>أيلول</w:t>
      </w:r>
      <w:r w:rsidRPr="00C30956">
        <w:rPr>
          <w:rFonts w:ascii="Calibri" w:hAnsi="Calibri"/>
          <w:rtl/>
          <w:lang w:bidi="ar-SA"/>
        </w:rPr>
        <w:t xml:space="preserve">. </w:t>
      </w:r>
      <w:r w:rsidRPr="00C30956">
        <w:rPr>
          <w:rFonts w:asciiTheme="minorBidi" w:hAnsiTheme="minorBidi" w:cs="Arial" w:hint="cs"/>
          <w:rtl/>
          <w:lang w:bidi="ar-SA"/>
        </w:rPr>
        <w:t>تأثر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المؤشر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إيجاب</w:t>
      </w:r>
      <w:r>
        <w:rPr>
          <w:rFonts w:asciiTheme="minorBidi" w:hAnsiTheme="minorBidi" w:cs="Arial" w:hint="cs"/>
          <w:rtl/>
          <w:lang w:bidi="ar-SA"/>
        </w:rPr>
        <w:t>اً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ببيانات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المشتريات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ببطاقات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الائتمان</w:t>
      </w:r>
      <w:r w:rsidRPr="00C30956">
        <w:rPr>
          <w:rFonts w:asciiTheme="minorBidi" w:hAnsiTheme="minorBidi" w:cs="Arial"/>
          <w:rtl/>
          <w:lang w:bidi="ar-SA"/>
        </w:rPr>
        <w:t xml:space="preserve"> (</w:t>
      </w:r>
      <w:r w:rsidRPr="00C30956">
        <w:rPr>
          <w:rFonts w:asciiTheme="minorBidi" w:hAnsiTheme="minorBidi" w:cs="Arial" w:hint="cs"/>
          <w:rtl/>
          <w:lang w:bidi="ar-SA"/>
        </w:rPr>
        <w:t>خاصةً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أيلول</w:t>
      </w:r>
      <w:r w:rsidRPr="00C30956">
        <w:rPr>
          <w:rFonts w:asciiTheme="minorBidi" w:hAnsiTheme="minorBidi" w:cs="Arial"/>
          <w:rtl/>
          <w:lang w:bidi="ar-SA"/>
        </w:rPr>
        <w:t xml:space="preserve">)، </w:t>
      </w:r>
      <w:r w:rsidRPr="00C30956">
        <w:rPr>
          <w:rFonts w:asciiTheme="minorBidi" w:hAnsiTheme="minorBidi" w:cs="Arial" w:hint="cs"/>
          <w:rtl/>
          <w:lang w:bidi="ar-SA"/>
        </w:rPr>
        <w:t>وصادرات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السلع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وخاصة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الصادرات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الصناعية</w:t>
      </w:r>
      <w:r>
        <w:rPr>
          <w:rFonts w:asciiTheme="minorBidi" w:hAnsiTheme="minorBidi" w:cs="Arial" w:hint="cs"/>
          <w:rtl/>
          <w:lang w:bidi="ar-SA"/>
        </w:rPr>
        <w:t>،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ومؤشرات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ناسداك</w:t>
      </w:r>
      <w:r w:rsidRPr="00C30956">
        <w:rPr>
          <w:rFonts w:asciiTheme="minorBidi" w:hAnsiTheme="minorBidi" w:cs="Arial"/>
          <w:rtl/>
          <w:lang w:bidi="ar-SA"/>
        </w:rPr>
        <w:t xml:space="preserve"> 100 </w:t>
      </w:r>
      <w:r w:rsidRPr="00C30956">
        <w:rPr>
          <w:rFonts w:asciiTheme="minorBidi" w:hAnsiTheme="minorBidi" w:cs="Arial" w:hint="cs"/>
          <w:rtl/>
          <w:lang w:bidi="ar-SA"/>
        </w:rPr>
        <w:t>والمؤشر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العام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لبورصة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تل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أبيب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شهري آب وأيلول</w:t>
      </w:r>
      <w:r w:rsidRPr="00C30956">
        <w:rPr>
          <w:rFonts w:asciiTheme="minorBidi" w:hAnsiTheme="minorBidi" w:cs="Arial"/>
          <w:rtl/>
          <w:lang w:bidi="ar-SA"/>
        </w:rPr>
        <w:t xml:space="preserve">، </w:t>
      </w:r>
      <w:r w:rsidRPr="00C30956">
        <w:rPr>
          <w:rFonts w:asciiTheme="minorBidi" w:hAnsiTheme="minorBidi" w:cs="Arial" w:hint="cs"/>
          <w:rtl/>
          <w:lang w:bidi="ar-SA"/>
        </w:rPr>
        <w:t>ومؤشر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تجارة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التجزئة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وإيرادات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تصدير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الخدمات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الأخرى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شهر آب</w:t>
      </w:r>
      <w:r w:rsidRPr="00C30956">
        <w:rPr>
          <w:rFonts w:asciiTheme="minorBidi" w:hAnsiTheme="minorBidi" w:cs="Arial"/>
          <w:rtl/>
          <w:lang w:bidi="ar-SA"/>
        </w:rPr>
        <w:t xml:space="preserve">.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المقابل</w:t>
      </w:r>
      <w:r w:rsidRPr="00C30956">
        <w:rPr>
          <w:rFonts w:asciiTheme="minorBidi" w:hAnsiTheme="minorBidi" w:cs="Arial"/>
          <w:rtl/>
          <w:lang w:bidi="ar-SA"/>
        </w:rPr>
        <w:t xml:space="preserve">، </w:t>
      </w:r>
      <w:r w:rsidRPr="00C30956">
        <w:rPr>
          <w:rFonts w:asciiTheme="minorBidi" w:hAnsiTheme="minorBidi" w:cs="Arial" w:hint="cs"/>
          <w:rtl/>
          <w:lang w:bidi="ar-SA"/>
        </w:rPr>
        <w:t>ساهمت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بيانات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العاملين الفعلية والوظائف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الشاغرة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شهر آب</w:t>
      </w:r>
      <w:r w:rsidRPr="00C30956">
        <w:rPr>
          <w:rFonts w:asciiTheme="minorBidi" w:hAnsiTheme="minorBidi" w:cs="Arial"/>
          <w:rtl/>
          <w:lang w:bidi="ar-SA"/>
        </w:rPr>
        <w:t xml:space="preserve">، </w:t>
      </w:r>
      <w:r w:rsidRPr="00C30956">
        <w:rPr>
          <w:rFonts w:asciiTheme="minorBidi" w:hAnsiTheme="minorBidi" w:cs="Arial" w:hint="cs"/>
          <w:rtl/>
          <w:lang w:bidi="ar-SA"/>
        </w:rPr>
        <w:t>وإيرادات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الضرائب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غير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المباشرة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أيلول</w:t>
      </w:r>
      <w:r w:rsidRPr="00C30956">
        <w:rPr>
          <w:rFonts w:asciiTheme="minorBidi" w:hAnsiTheme="minorBidi" w:cs="Arial"/>
          <w:rtl/>
          <w:lang w:bidi="ar-SA"/>
        </w:rPr>
        <w:t xml:space="preserve">،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الحد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من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ارتفاع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المؤشر</w:t>
      </w:r>
      <w:r w:rsidRPr="00C30956">
        <w:rPr>
          <w:rFonts w:asciiTheme="minorBidi" w:hAnsiTheme="minorBidi" w:cs="Arial"/>
          <w:rtl/>
          <w:lang w:bidi="ar-SA"/>
        </w:rPr>
        <w:t xml:space="preserve"> (</w:t>
      </w:r>
      <w:r w:rsidRPr="00C30956">
        <w:rPr>
          <w:rFonts w:asciiTheme="minorBidi" w:hAnsiTheme="minorBidi" w:cs="Arial" w:hint="cs"/>
          <w:rtl/>
          <w:lang w:bidi="ar-SA"/>
        </w:rPr>
        <w:t>الجداول</w:t>
      </w:r>
      <w:r w:rsidRPr="00C30956">
        <w:rPr>
          <w:rFonts w:asciiTheme="minorBidi" w:hAnsiTheme="minorBidi" w:cs="Arial"/>
          <w:rtl/>
          <w:lang w:bidi="ar-SA"/>
        </w:rPr>
        <w:t xml:space="preserve"> 1 </w:t>
      </w:r>
      <w:r w:rsidRPr="00C30956">
        <w:rPr>
          <w:rFonts w:asciiTheme="minorBidi" w:hAnsiTheme="minorBidi" w:cs="Arial" w:hint="cs"/>
          <w:rtl/>
          <w:lang w:bidi="ar-SA"/>
        </w:rPr>
        <w:t>و</w:t>
      </w:r>
      <w:r w:rsidRPr="00C30956">
        <w:rPr>
          <w:rFonts w:asciiTheme="minorBidi" w:hAnsiTheme="minorBidi" w:cs="Arial"/>
          <w:rtl/>
          <w:lang w:bidi="ar-SA"/>
        </w:rPr>
        <w:t>2).</w:t>
      </w:r>
    </w:p>
    <w:p w14:paraId="2843416C" w14:textId="4B42FC8B" w:rsidR="0028112B" w:rsidRPr="00C30956" w:rsidRDefault="0028112B" w:rsidP="0028112B">
      <w:pPr>
        <w:bidi/>
        <w:spacing w:after="120" w:line="360" w:lineRule="auto"/>
        <w:ind w:right="-57"/>
        <w:jc w:val="both"/>
        <w:rPr>
          <w:rFonts w:asciiTheme="minorBidi" w:hAnsiTheme="minorBidi" w:cstheme="minorBidi"/>
        </w:rPr>
      </w:pPr>
      <w:r w:rsidRPr="00C30956">
        <w:rPr>
          <w:rFonts w:asciiTheme="minorBidi" w:hAnsiTheme="minorBidi" w:cs="Arial"/>
          <w:rtl/>
          <w:lang w:bidi="ar-SA"/>
        </w:rPr>
        <w:t xml:space="preserve">معدل نمو المؤشر </w:t>
      </w:r>
      <w:r w:rsidR="00C30956" w:rsidRPr="00C30956">
        <w:rPr>
          <w:rFonts w:asciiTheme="minorBidi" w:hAnsiTheme="minorBidi" w:cs="Arial" w:hint="cs"/>
          <w:rtl/>
          <w:lang w:bidi="ar-SA"/>
        </w:rPr>
        <w:t>مشابه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="00C30956" w:rsidRPr="00C30956">
        <w:rPr>
          <w:rFonts w:asciiTheme="minorBidi" w:hAnsiTheme="minorBidi" w:cs="Arial" w:hint="cs"/>
          <w:rtl/>
          <w:lang w:bidi="ar-SA"/>
        </w:rPr>
        <w:t>ل</w:t>
      </w:r>
      <w:r w:rsidRPr="00C30956">
        <w:rPr>
          <w:rFonts w:asciiTheme="minorBidi" w:hAnsiTheme="minorBidi" w:cs="Arial"/>
          <w:rtl/>
          <w:lang w:bidi="ar-SA"/>
        </w:rPr>
        <w:t>لاتجاه طويل الأجل للنمو (حوالي 0.3).</w:t>
      </w:r>
    </w:p>
    <w:p w14:paraId="6916E518" w14:textId="77777777" w:rsidR="00C30956" w:rsidRPr="00C30956" w:rsidRDefault="00C30956" w:rsidP="00C30956">
      <w:pPr>
        <w:bidi/>
        <w:spacing w:after="120" w:line="360" w:lineRule="auto"/>
        <w:ind w:right="-57"/>
        <w:jc w:val="both"/>
        <w:rPr>
          <w:rFonts w:asciiTheme="minorBidi" w:hAnsiTheme="minorBidi" w:cs="Arial"/>
          <w:rtl/>
          <w:lang w:bidi="ar-SA"/>
        </w:rPr>
      </w:pPr>
      <w:r w:rsidRPr="00C30956">
        <w:rPr>
          <w:rFonts w:asciiTheme="minorBidi" w:hAnsiTheme="minorBidi" w:cs="Arial" w:hint="cs"/>
          <w:rtl/>
          <w:lang w:bidi="ar-SA"/>
        </w:rPr>
        <w:t>تم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تعديل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المؤشر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في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الأشهر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الأخيرة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نحو الأسفل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بعد نشر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بيانات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إضافية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للأشهر</w:t>
      </w:r>
      <w:r w:rsidRPr="00C30956">
        <w:rPr>
          <w:rFonts w:asciiTheme="minorBidi" w:hAnsiTheme="minorBidi" w:cs="Arial"/>
          <w:rtl/>
          <w:lang w:bidi="ar-SA"/>
        </w:rPr>
        <w:t xml:space="preserve"> </w:t>
      </w:r>
      <w:r w:rsidRPr="00C30956">
        <w:rPr>
          <w:rFonts w:asciiTheme="minorBidi" w:hAnsiTheme="minorBidi" w:cs="Arial" w:hint="cs"/>
          <w:rtl/>
          <w:lang w:bidi="ar-SA"/>
        </w:rPr>
        <w:t>السابقة</w:t>
      </w:r>
      <w:r w:rsidRPr="00C30956">
        <w:rPr>
          <w:rFonts w:asciiTheme="minorBidi" w:hAnsiTheme="minorBidi" w:cs="Arial"/>
          <w:rtl/>
          <w:lang w:bidi="ar-SA"/>
        </w:rPr>
        <w:t xml:space="preserve">. </w:t>
      </w:r>
    </w:p>
    <w:p w14:paraId="054189A6" w14:textId="77777777" w:rsidR="0028112B" w:rsidRPr="00C30956" w:rsidRDefault="0028112B" w:rsidP="0028112B">
      <w:pPr>
        <w:bidi/>
        <w:spacing w:after="120" w:line="360" w:lineRule="auto"/>
        <w:ind w:right="-57"/>
        <w:jc w:val="both"/>
        <w:rPr>
          <w:rFonts w:asciiTheme="minorBidi" w:hAnsiTheme="minorBidi" w:cstheme="minorBidi"/>
          <w:rtl/>
        </w:rPr>
      </w:pPr>
      <w:r w:rsidRPr="00C30956">
        <w:rPr>
          <w:rFonts w:asciiTheme="minorBidi" w:hAnsiTheme="minorBidi" w:cs="Arial"/>
          <w:rtl/>
          <w:lang w:bidi="ar-SA"/>
        </w:rPr>
        <w:t>يعرض الشكل 1 بيانات المؤشر للعامين الماضيين، ويعرض الجدول 1 مساهمة مكونات المؤشر في التقدير الإجمالي والتحديثات السابقة للمؤشر، ويعرض الجدول 2 النسبة المئوية للتغير الشهري في مكونات المؤشر</w:t>
      </w:r>
      <w:r w:rsidRPr="00C30956">
        <w:rPr>
          <w:rFonts w:asciiTheme="minorBidi" w:hAnsiTheme="minorBidi" w:cstheme="minorBidi"/>
          <w:rtl/>
        </w:rPr>
        <w:t xml:space="preserve">. </w:t>
      </w:r>
    </w:p>
    <w:p w14:paraId="13AD801E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0218C110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0AB34534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1A728CD3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37913636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58D98FB8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2D6B5CC3" w14:textId="77777777" w:rsidR="002E6CD5" w:rsidRPr="0028112B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0AD2734B" w14:textId="77777777" w:rsidR="002E6CD5" w:rsidRPr="0028112B" w:rsidRDefault="002E6CD5" w:rsidP="002E6CD5">
      <w:pPr>
        <w:tabs>
          <w:tab w:val="left" w:pos="2812"/>
        </w:tabs>
        <w:bidi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469DBE8A" w14:textId="77777777" w:rsidR="002E6CD5" w:rsidRDefault="002E6CD5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SA"/>
        </w:rPr>
      </w:pPr>
    </w:p>
    <w:p w14:paraId="6F06FB90" w14:textId="77777777" w:rsidR="00C30956" w:rsidRDefault="00C30956" w:rsidP="00C30956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SA"/>
        </w:rPr>
      </w:pPr>
    </w:p>
    <w:p w14:paraId="2F926639" w14:textId="77777777" w:rsidR="00C30956" w:rsidRPr="0028112B" w:rsidRDefault="00C30956" w:rsidP="00C30956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SA"/>
        </w:rPr>
      </w:pPr>
    </w:p>
    <w:p w14:paraId="2CA39A1D" w14:textId="77777777" w:rsidR="002E6CD5" w:rsidRPr="0028112B" w:rsidRDefault="0028112B" w:rsidP="002E6CD5">
      <w:pPr>
        <w:tabs>
          <w:tab w:val="left" w:pos="2812"/>
        </w:tabs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الشكل 1: المؤشر الشهري للنشاط الاقتصادي</w:t>
      </w:r>
    </w:p>
    <w:p w14:paraId="1B5C062E" w14:textId="77777777" w:rsidR="002E6CD5" w:rsidRPr="0028112B" w:rsidRDefault="002E6CD5" w:rsidP="002E6CD5">
      <w:pPr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3465DCAB" w14:textId="77777777" w:rsidR="002E6CD5" w:rsidRPr="0028112B" w:rsidRDefault="002E6CD5" w:rsidP="002E6CD5">
      <w:pPr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</w:rPr>
      </w:pPr>
      <w:r w:rsidRPr="0028112B">
        <w:rPr>
          <w:rFonts w:asciiTheme="minorBidi" w:hAnsiTheme="minorBidi" w:cstheme="minorBidi"/>
          <w:b/>
          <w:bCs/>
          <w:sz w:val="28"/>
          <w:szCs w:val="28"/>
        </w:rPr>
        <w:t xml:space="preserve"> </w:t>
      </w:r>
      <w:r w:rsidRPr="0028112B">
        <w:rPr>
          <w:rFonts w:asciiTheme="minorBidi" w:hAnsiTheme="minorBidi" w:cstheme="minorBidi"/>
          <w:b/>
          <w:bCs/>
          <w:noProof/>
          <w:sz w:val="28"/>
          <w:szCs w:val="28"/>
        </w:rPr>
        <w:drawing>
          <wp:inline distT="0" distB="0" distL="0" distR="0" wp14:anchorId="2BAC41A6" wp14:editId="0A5F4CBB">
            <wp:extent cx="5340096" cy="3394253"/>
            <wp:effectExtent l="0" t="0" r="13335" b="15875"/>
            <wp:docPr id="3" name="תרשים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2CF4A50" w14:textId="77777777" w:rsidR="002E6CD5" w:rsidRDefault="002E6CD5" w:rsidP="002E6CD5">
      <w:pPr>
        <w:bidi/>
        <w:jc w:val="center"/>
        <w:rPr>
          <w:rFonts w:asciiTheme="minorBidi" w:hAnsiTheme="minorBidi" w:cstheme="minorBidi"/>
          <w:b/>
          <w:bCs/>
          <w:sz w:val="28"/>
          <w:szCs w:val="28"/>
          <w:rtl/>
          <w:lang w:bidi="ar-SA"/>
        </w:rPr>
      </w:pPr>
    </w:p>
    <w:p w14:paraId="7CA4CE95" w14:textId="77777777" w:rsidR="0028112B" w:rsidRDefault="0028112B" w:rsidP="0028112B">
      <w:pPr>
        <w:bidi/>
        <w:jc w:val="center"/>
        <w:rPr>
          <w:rFonts w:asciiTheme="minorBidi" w:hAnsiTheme="minorBidi" w:cs="Arial"/>
          <w:b/>
          <w:bCs/>
          <w:rtl/>
          <w:lang w:bidi="ar-SA"/>
        </w:rPr>
      </w:pPr>
      <w:r w:rsidRPr="004A75E7">
        <w:rPr>
          <w:rFonts w:asciiTheme="minorBidi" w:hAnsiTheme="minorBidi" w:cs="Arial"/>
          <w:b/>
          <w:bCs/>
          <w:rtl/>
          <w:lang w:bidi="ar-SA"/>
        </w:rPr>
        <w:t xml:space="preserve">الجدول </w:t>
      </w:r>
      <w:r>
        <w:rPr>
          <w:rFonts w:asciiTheme="minorBidi" w:hAnsiTheme="minorBidi" w:cs="Arial"/>
          <w:b/>
          <w:bCs/>
          <w:rtl/>
          <w:lang w:bidi="ar-SA"/>
        </w:rPr>
        <w:t>1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: مساهمة* مكونات المؤشر في التقدير الإجمالي في الأشهر الأخيرة، 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 xml:space="preserve">حسب المجموعات </w:t>
      </w:r>
    </w:p>
    <w:p w14:paraId="59961760" w14:textId="0A5D910A" w:rsidR="002E6CD5" w:rsidRPr="0028112B" w:rsidRDefault="0028112B" w:rsidP="0028112B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/>
          <w:b/>
          <w:bCs/>
          <w:i/>
          <w:rtl/>
        </w:rPr>
      </w:pPr>
      <w:r>
        <w:rPr>
          <w:rFonts w:asciiTheme="minorBidi" w:hAnsiTheme="minorBidi" w:cs="Arial"/>
          <w:b/>
          <w:bCs/>
          <w:rtl/>
          <w:lang w:bidi="ar-SA"/>
        </w:rPr>
        <w:tab/>
      </w:r>
      <w:r w:rsidRPr="004A75E7">
        <w:rPr>
          <w:rFonts w:asciiTheme="minorBidi" w:hAnsiTheme="minorBidi" w:cs="Arial"/>
          <w:b/>
          <w:bCs/>
          <w:rtl/>
          <w:lang w:bidi="ar-SA"/>
        </w:rPr>
        <w:t>(</w:t>
      </w:r>
      <w:r>
        <w:rPr>
          <w:rFonts w:asciiTheme="minorBidi" w:hAnsiTheme="minorBidi" w:cs="Arial"/>
          <w:b/>
          <w:bCs/>
          <w:rtl/>
          <w:lang w:bidi="ar-SA"/>
        </w:rPr>
        <w:t>ب</w:t>
      </w:r>
      <w:r w:rsidRPr="004A75E7">
        <w:rPr>
          <w:rFonts w:asciiTheme="minorBidi" w:hAnsiTheme="minorBidi" w:cs="Arial"/>
          <w:b/>
          <w:bCs/>
          <w:rtl/>
          <w:lang w:bidi="ar-SA"/>
        </w:rPr>
        <w:t>النقاط المئوية</w:t>
      </w:r>
      <w:r w:rsidRPr="00084671">
        <w:rPr>
          <w:rFonts w:asciiTheme="minorBidi" w:hAnsiTheme="minorBidi" w:cstheme="minorBidi"/>
          <w:b/>
          <w:bCs/>
          <w:rtl/>
        </w:rPr>
        <w:t>)</w:t>
      </w:r>
      <w:r w:rsidR="002E6CD5" w:rsidRPr="0028112B">
        <w:rPr>
          <w:rFonts w:asciiTheme="minorBidi" w:hAnsiTheme="minorBidi" w:cstheme="minorBidi"/>
          <w:b/>
          <w:bCs/>
          <w:i/>
          <w:rtl/>
        </w:rPr>
        <w:t xml:space="preserve"> </w:t>
      </w:r>
    </w:p>
    <w:p w14:paraId="6E0B916B" w14:textId="4291DDB7" w:rsidR="002E6CD5" w:rsidRPr="0028112B" w:rsidRDefault="00C30956" w:rsidP="002E6CD5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/>
          <w:b/>
          <w:bCs/>
          <w:i/>
          <w:rtl/>
        </w:rPr>
      </w:pPr>
      <w:r w:rsidRPr="00950246">
        <w:rPr>
          <w:rFonts w:asciiTheme="minorHAnsi" w:hAnsiTheme="minorHAnsi" w:cstheme="minorHAnsi"/>
          <w:noProof/>
          <w:rtl/>
        </w:rPr>
        <w:drawing>
          <wp:inline distT="0" distB="0" distL="0" distR="0" wp14:anchorId="70F37EF9" wp14:editId="25A0CA6C">
            <wp:extent cx="4670177" cy="2809240"/>
            <wp:effectExtent l="0" t="0" r="0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54" cy="281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6A404" w14:textId="77777777" w:rsidR="002E6CD5" w:rsidRDefault="002E6CD5" w:rsidP="0028112B">
      <w:pPr>
        <w:bidi/>
        <w:jc w:val="both"/>
        <w:rPr>
          <w:rFonts w:asciiTheme="minorBidi" w:hAnsiTheme="minorBidi" w:cs="Arial"/>
          <w:sz w:val="20"/>
          <w:szCs w:val="20"/>
          <w:rtl/>
          <w:lang w:bidi="ar-SA"/>
        </w:rPr>
      </w:pPr>
      <w:r w:rsidRPr="0028112B">
        <w:rPr>
          <w:rFonts w:asciiTheme="minorBidi" w:hAnsiTheme="minorBidi" w:cstheme="minorBidi"/>
          <w:i/>
          <w:sz w:val="20"/>
          <w:szCs w:val="20"/>
          <w:rtl/>
        </w:rPr>
        <w:t xml:space="preserve">* </w:t>
      </w:r>
      <w:r w:rsidR="0028112B">
        <w:rPr>
          <w:rFonts w:asciiTheme="minorBidi" w:hAnsiTheme="minorBidi" w:cs="Arial"/>
          <w:sz w:val="20"/>
          <w:szCs w:val="20"/>
          <w:rtl/>
          <w:lang w:bidi="ar-SA"/>
        </w:rPr>
        <w:t>يعرض</w:t>
      </w:r>
      <w:r w:rsidR="0028112B"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الجدول مساهمة كل مجموعة من المكونات في المؤشر الشهري، لذا فإن التقدير الشهري هو مجموع مساهمة كل مكون من المكونات المدرجة في الجدول. </w:t>
      </w:r>
      <w:r w:rsidR="0028112B">
        <w:rPr>
          <w:rFonts w:asciiTheme="minorBidi" w:hAnsiTheme="minorBidi" w:cs="Arial"/>
          <w:sz w:val="20"/>
          <w:szCs w:val="20"/>
          <w:rtl/>
          <w:lang w:bidi="ar-SA"/>
        </w:rPr>
        <w:t xml:space="preserve">تؤثر </w:t>
      </w:r>
      <w:r w:rsidR="0028112B" w:rsidRPr="004A75E7">
        <w:rPr>
          <w:rFonts w:asciiTheme="minorBidi" w:hAnsiTheme="minorBidi" w:cs="Arial"/>
          <w:sz w:val="20"/>
          <w:szCs w:val="20"/>
          <w:rtl/>
          <w:lang w:bidi="ar-SA"/>
        </w:rPr>
        <w:t>بعض البيانات الأولية على التقدير الشهري ب</w:t>
      </w:r>
      <w:r w:rsidR="0028112B">
        <w:rPr>
          <w:rFonts w:asciiTheme="minorBidi" w:hAnsiTheme="minorBidi" w:cs="Arial"/>
          <w:sz w:val="20"/>
          <w:szCs w:val="20"/>
          <w:rtl/>
          <w:lang w:bidi="ar-SA"/>
        </w:rPr>
        <w:t>شكل م</w:t>
      </w:r>
      <w:r w:rsidR="0028112B"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تأخر أو </w:t>
      </w:r>
      <w:r w:rsidR="0028112B">
        <w:rPr>
          <w:rFonts w:asciiTheme="minorBidi" w:hAnsiTheme="minorBidi" w:cs="Arial"/>
          <w:sz w:val="20"/>
          <w:szCs w:val="20"/>
          <w:rtl/>
          <w:lang w:bidi="ar-SA"/>
        </w:rPr>
        <w:t xml:space="preserve">على تقدير </w:t>
      </w:r>
      <w:r w:rsidR="0028112B" w:rsidRPr="004A75E7">
        <w:rPr>
          <w:rFonts w:asciiTheme="minorBidi" w:hAnsiTheme="minorBidi" w:cs="Arial"/>
          <w:sz w:val="20"/>
          <w:szCs w:val="20"/>
          <w:rtl/>
          <w:lang w:bidi="ar-SA"/>
        </w:rPr>
        <w:t>عدة أشهر.</w:t>
      </w:r>
    </w:p>
    <w:p w14:paraId="02BCDA45" w14:textId="77777777" w:rsidR="00C30956" w:rsidRPr="0028112B" w:rsidRDefault="00C30956" w:rsidP="00C30956">
      <w:pPr>
        <w:bidi/>
        <w:jc w:val="both"/>
        <w:rPr>
          <w:rFonts w:asciiTheme="minorBidi" w:hAnsiTheme="minorBidi" w:cstheme="minorBidi"/>
          <w:sz w:val="20"/>
          <w:szCs w:val="20"/>
          <w:rtl/>
        </w:rPr>
      </w:pPr>
    </w:p>
    <w:p w14:paraId="615F07E4" w14:textId="77777777" w:rsidR="0028112B" w:rsidRDefault="0028112B" w:rsidP="0028112B">
      <w:pPr>
        <w:bidi/>
        <w:jc w:val="center"/>
        <w:rPr>
          <w:rFonts w:asciiTheme="minorBidi" w:hAnsiTheme="minorBidi" w:cs="Arial"/>
          <w:b/>
          <w:bCs/>
          <w:sz w:val="28"/>
          <w:szCs w:val="28"/>
          <w:rtl/>
          <w:lang w:bidi="ar-SA"/>
        </w:rPr>
      </w:pP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الجدول </w:t>
      </w:r>
      <w:r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>2</w:t>
      </w:r>
      <w:r w:rsidRPr="004A75E7">
        <w:rPr>
          <w:rFonts w:asciiTheme="minorBidi" w:hAnsiTheme="minorBidi" w:cs="Arial"/>
          <w:b/>
          <w:bCs/>
          <w:sz w:val="28"/>
          <w:szCs w:val="28"/>
          <w:rtl/>
          <w:lang w:bidi="ar-SA"/>
        </w:rPr>
        <w:t xml:space="preserve">: التغيرات في مكونات المؤشر خلال الأشهر الأخيرة </w:t>
      </w:r>
    </w:p>
    <w:p w14:paraId="15BE98E3" w14:textId="77777777" w:rsidR="0028112B" w:rsidRPr="00BE307D" w:rsidRDefault="0028112B" w:rsidP="0028112B">
      <w:pPr>
        <w:autoSpaceDE w:val="0"/>
        <w:autoSpaceDN w:val="0"/>
        <w:bidi/>
        <w:adjustRightInd w:val="0"/>
        <w:jc w:val="center"/>
        <w:rPr>
          <w:rFonts w:asciiTheme="minorBidi" w:hAnsiTheme="minorBidi" w:cstheme="minorBidi"/>
          <w:rtl/>
        </w:rPr>
      </w:pPr>
      <w:bookmarkStart w:id="0" w:name="_GoBack"/>
      <w:r w:rsidRPr="00886474">
        <w:rPr>
          <w:rFonts w:asciiTheme="minorBidi" w:hAnsiTheme="minorBidi" w:cs="Arial"/>
          <w:rtl/>
          <w:lang w:bidi="ar-SA"/>
        </w:rPr>
        <w:t>(معدلات التغير الشهرية المئوية، معدلة موسمي</w:t>
      </w:r>
      <w:r>
        <w:rPr>
          <w:rFonts w:asciiTheme="minorBidi" w:hAnsiTheme="minorBidi" w:cs="Arial"/>
          <w:rtl/>
          <w:lang w:bidi="ar-SA"/>
        </w:rPr>
        <w:t>اً</w:t>
      </w:r>
      <w:r w:rsidRPr="00886474">
        <w:rPr>
          <w:rFonts w:asciiTheme="minorBidi" w:hAnsiTheme="minorBidi" w:cs="Arial"/>
          <w:rtl/>
          <w:lang w:bidi="ar-SA"/>
        </w:rPr>
        <w:t>)</w:t>
      </w:r>
    </w:p>
    <w:bookmarkEnd w:id="0"/>
    <w:p w14:paraId="26BF2AE2" w14:textId="77777777" w:rsidR="002E6CD5" w:rsidRPr="0028112B" w:rsidRDefault="002E6CD5" w:rsidP="002E6CD5">
      <w:pPr>
        <w:pStyle w:val="af5"/>
        <w:spacing w:after="240" w:line="276" w:lineRule="auto"/>
        <w:ind w:left="-6"/>
        <w:rPr>
          <w:rFonts w:asciiTheme="minorBidi" w:hAnsiTheme="minorBidi" w:cstheme="minorBidi"/>
          <w:b/>
          <w:bCs/>
          <w:sz w:val="20"/>
          <w:szCs w:val="20"/>
          <w:rtl/>
        </w:rPr>
      </w:pPr>
      <w:r w:rsidRPr="0028112B">
        <w:rPr>
          <w:rFonts w:asciiTheme="minorBidi" w:hAnsiTheme="minorBidi" w:cstheme="minorBidi"/>
          <w:noProof/>
          <w:rtl/>
        </w:rPr>
        <w:drawing>
          <wp:inline distT="0" distB="0" distL="0" distR="0" wp14:anchorId="4B2E4B23" wp14:editId="3478E606">
            <wp:extent cx="6566111" cy="5122189"/>
            <wp:effectExtent l="0" t="0" r="6350" b="254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3055" cy="5127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CE0B1" w14:textId="77777777" w:rsidR="0028112B" w:rsidRPr="004A75E7" w:rsidRDefault="0028112B" w:rsidP="0028112B">
      <w:pPr>
        <w:pStyle w:val="af5"/>
        <w:spacing w:after="240" w:line="276" w:lineRule="auto"/>
        <w:ind w:left="-6"/>
        <w:rPr>
          <w:rFonts w:asciiTheme="minorBidi" w:hAnsiTheme="minorBidi" w:cstheme="minorBidi"/>
          <w:sz w:val="20"/>
          <w:szCs w:val="20"/>
          <w:lang w:bidi="ar-SA"/>
        </w:rPr>
      </w:pPr>
      <w:r w:rsidRPr="00886474">
        <w:rPr>
          <w:rFonts w:asciiTheme="minorBidi" w:hAnsiTheme="minorBidi" w:cs="Arial" w:hint="cs"/>
          <w:b/>
          <w:bCs/>
          <w:sz w:val="20"/>
          <w:szCs w:val="20"/>
          <w:rtl/>
          <w:lang w:bidi="ar-SA"/>
        </w:rPr>
        <w:t>المصدر</w:t>
      </w:r>
      <w:r w:rsidRPr="00886474">
        <w:rPr>
          <w:rFonts w:asciiTheme="minorBidi" w:hAnsiTheme="minorBidi" w:cs="Arial"/>
          <w:b/>
          <w:bCs/>
          <w:sz w:val="20"/>
          <w:szCs w:val="20"/>
          <w:rtl/>
          <w:lang w:bidi="ar-SA"/>
        </w:rPr>
        <w:t>: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دائرة الإحصاء المركزية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الخدمات المصرفية الأوتوماتيكية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وزارة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المالية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بلومبرغ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سلطة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الوقود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بيانات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 xml:space="preserve"> وتحليلات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إسرائيل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.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للاطلاع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تحليل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شامل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لمصدر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كل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سلسلة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، </w:t>
      </w:r>
      <w:r>
        <w:rPr>
          <w:rFonts w:asciiTheme="minorBidi" w:hAnsiTheme="minorBidi" w:cs="Arial" w:hint="cs"/>
          <w:sz w:val="20"/>
          <w:szCs w:val="20"/>
          <w:rtl/>
          <w:lang w:bidi="ar-SA"/>
        </w:rPr>
        <w:t>أنظر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وثيقة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المنهجية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المنشورة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على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موقع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البنك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 xml:space="preserve"> </w:t>
      </w:r>
      <w:r w:rsidRPr="004A75E7">
        <w:rPr>
          <w:rFonts w:asciiTheme="minorBidi" w:hAnsiTheme="minorBidi" w:cs="Arial" w:hint="cs"/>
          <w:sz w:val="20"/>
          <w:szCs w:val="20"/>
          <w:rtl/>
          <w:lang w:bidi="ar-SA"/>
        </w:rPr>
        <w:t>الإلكتروني</w:t>
      </w:r>
      <w:r w:rsidRPr="004A75E7">
        <w:rPr>
          <w:rFonts w:asciiTheme="minorBidi" w:hAnsiTheme="minorBidi" w:cs="Arial"/>
          <w:sz w:val="20"/>
          <w:szCs w:val="20"/>
          <w:rtl/>
          <w:lang w:bidi="ar-SA"/>
        </w:rPr>
        <w:t>.</w:t>
      </w:r>
    </w:p>
    <w:p w14:paraId="4AA4AFCE" w14:textId="77777777" w:rsidR="002E6CD5" w:rsidRPr="0028112B" w:rsidRDefault="002E6CD5" w:rsidP="002E6CD5">
      <w:pPr>
        <w:autoSpaceDE w:val="0"/>
        <w:autoSpaceDN w:val="0"/>
        <w:bidi/>
        <w:adjustRightInd w:val="0"/>
        <w:jc w:val="both"/>
        <w:rPr>
          <w:rStyle w:val="af2"/>
          <w:rFonts w:asciiTheme="minorBidi" w:hAnsiTheme="minorBidi" w:cstheme="minorBidi"/>
          <w:rtl/>
        </w:rPr>
      </w:pPr>
    </w:p>
    <w:p w14:paraId="2AF952F2" w14:textId="77777777" w:rsidR="000B589E" w:rsidRPr="0028112B" w:rsidRDefault="000B589E" w:rsidP="000B589E">
      <w:pPr>
        <w:bidi/>
        <w:spacing w:line="360" w:lineRule="auto"/>
        <w:rPr>
          <w:rFonts w:asciiTheme="minorBidi" w:hAnsiTheme="minorBidi" w:cstheme="minorBidi"/>
        </w:rPr>
      </w:pPr>
    </w:p>
    <w:sectPr w:rsidR="000B589E" w:rsidRPr="0028112B" w:rsidSect="00CC2499">
      <w:footerReference w:type="default" r:id="rId11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61A61" w14:textId="77777777" w:rsidR="00F06828" w:rsidRDefault="00F06828" w:rsidP="00E04682">
      <w:pPr>
        <w:spacing w:after="0" w:line="240" w:lineRule="auto"/>
      </w:pPr>
      <w:r>
        <w:separator/>
      </w:r>
    </w:p>
  </w:endnote>
  <w:endnote w:type="continuationSeparator" w:id="0">
    <w:p w14:paraId="04C6229C" w14:textId="77777777" w:rsidR="00F06828" w:rsidRDefault="00F06828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0808D" w14:textId="77777777" w:rsidR="00E04682" w:rsidRDefault="00F25BB5" w:rsidP="00F20046">
    <w:pPr>
      <w:pStyle w:val="a7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8ADE29" wp14:editId="2979960D">
              <wp:simplePos x="0" y="0"/>
              <wp:positionH relativeFrom="margin">
                <wp:posOffset>1590675</wp:posOffset>
              </wp:positionH>
              <wp:positionV relativeFrom="paragraph">
                <wp:posOffset>111760</wp:posOffset>
              </wp:positionV>
              <wp:extent cx="2009775" cy="361950"/>
              <wp:effectExtent l="0" t="0" r="0" b="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9CA09E" w14:textId="77777777" w:rsidR="00972198" w:rsidRPr="00031A9D" w:rsidRDefault="00031A9D" w:rsidP="00F25BB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" w:history="1">
                            <w:r w:rsidR="00F25BB5" w:rsidRPr="00F25BB5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https://www.boi.org.il/bank-of-israel/boi-podcast/</w:t>
                            </w:r>
                          </w:hyperlink>
                          <w:r w:rsidR="00F25BB5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8ADE29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25.25pt;margin-top:8.8pt;width:158.2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" filled="f" stroked="f" strokeweight=".5pt">
              <v:textbox>
                <w:txbxContent>
                  <w:p w14:paraId="529CA09E" w14:textId="77777777" w:rsidR="00972198" w:rsidRPr="00031A9D" w:rsidRDefault="00031A9D" w:rsidP="00F25BB5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2" w:history="1">
                      <w:r w:rsidR="00F25BB5" w:rsidRPr="00F25BB5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https://www.boi.org.il/bank-of-israel/boi-podcast/</w:t>
                      </w:r>
                    </w:hyperlink>
                    <w:r w:rsidR="00F25BB5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0172"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 wp14:anchorId="387E2B51" wp14:editId="5B509DE9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 wp14:anchorId="3EC6EB88" wp14:editId="70468BDB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 wp14:anchorId="5D704D63" wp14:editId="3855C07B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 wp14:anchorId="4CC60FA4" wp14:editId="6552E210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8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9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7B777B3" wp14:editId="1477D97C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5BCB5D" w14:textId="77777777"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יוטיוב 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-</w:t>
                          </w:r>
                          <w:r w:rsidR="00F20046"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37B777B3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" filled="f" stroked="f" strokeweight=".5pt">
              <v:textbox>
                <w:txbxContent>
                  <w:p w14:paraId="445BCB5D" w14:textId="77777777"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יוטיוב 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-</w:t>
                    </w:r>
                    <w:r w:rsidR="00F20046"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Times New Roman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DF1A26" wp14:editId="0DFB152D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8D2973" w14:textId="77777777"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</w:t>
                          </w: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- </w:t>
                          </w:r>
                          <w:r w:rsidR="00571971" w:rsidRPr="00031A9D">
                            <w:rPr>
                              <w:rFonts w:asciiTheme="minorHAnsi" w:hAnsiTheme="minorHAnsi" w:cs="Times New Roman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4DF1A26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" filled="f" stroked="f" strokeweight=".5pt">
              <v:textbox>
                <w:txbxContent>
                  <w:p w14:paraId="548D2973" w14:textId="77777777"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 xml:space="preserve">פייסבוק </w:t>
                    </w: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- </w:t>
                    </w:r>
                    <w:r w:rsidR="00571971" w:rsidRPr="00031A9D">
                      <w:rPr>
                        <w:rFonts w:asciiTheme="minorHAnsi" w:hAnsiTheme="minorHAnsi" w:cs="Times New Roman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680C01" wp14:editId="56A16617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8EF6F3" w14:textId="77777777"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4680C01"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" filled="f" stroked="f" strokeweight=".5pt">
              <v:textbox>
                <w:txbxContent>
                  <w:p w14:paraId="1F8EF6F3" w14:textId="77777777"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D67792" wp14:editId="26B5CF24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5CBEF5E6" id="מחבר ישר 15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48B782" w14:textId="77777777" w:rsidR="00F06828" w:rsidRDefault="00F06828" w:rsidP="00E04682">
      <w:pPr>
        <w:spacing w:after="0" w:line="240" w:lineRule="auto"/>
      </w:pPr>
      <w:r>
        <w:separator/>
      </w:r>
    </w:p>
  </w:footnote>
  <w:footnote w:type="continuationSeparator" w:id="0">
    <w:p w14:paraId="3F34BE25" w14:textId="77777777" w:rsidR="00F06828" w:rsidRDefault="00F06828" w:rsidP="00E04682">
      <w:pPr>
        <w:spacing w:after="0" w:line="240" w:lineRule="auto"/>
      </w:pPr>
      <w:r>
        <w:continuationSeparator/>
      </w:r>
    </w:p>
  </w:footnote>
  <w:footnote w:id="1">
    <w:p w14:paraId="00E55204" w14:textId="77777777" w:rsidR="00C30956" w:rsidRPr="006E70CF" w:rsidRDefault="00C30956" w:rsidP="00C30956">
      <w:pPr>
        <w:pStyle w:val="af0"/>
        <w:rPr>
          <w:rFonts w:asciiTheme="minorHAnsi" w:hAnsiTheme="minorHAnsi" w:cstheme="minorHAnsi"/>
          <w:i/>
          <w:iCs w:val="0"/>
        </w:rPr>
      </w:pPr>
      <w:r w:rsidRPr="006E70CF">
        <w:rPr>
          <w:rStyle w:val="af2"/>
          <w:rFonts w:asciiTheme="minorHAnsi" w:hAnsiTheme="minorHAnsi" w:cstheme="minorHAnsi"/>
          <w:i/>
          <w:iCs w:val="0"/>
        </w:rPr>
        <w:footnoteRef/>
      </w:r>
      <w:r w:rsidRPr="006E70CF">
        <w:rPr>
          <w:rFonts w:asciiTheme="minorHAnsi" w:hAnsiTheme="minorHAnsi" w:cs="Times New Roman"/>
          <w:i/>
          <w:iCs w:val="0"/>
          <w:rtl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يعكس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مؤشر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النشاط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الاقتصادي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متوسط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​​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معدل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الناتج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المحلي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الإجمالي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الشهري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المُقدّر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لثلاثة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أشهر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.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ويستند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هذا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التقدير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إلى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نموذج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>
        <w:rPr>
          <w:rFonts w:asciiTheme="minorHAnsi" w:hAnsiTheme="minorHAnsi" w:cs="Arial" w:hint="cs"/>
          <w:i/>
          <w:iCs w:val="0"/>
          <w:rtl/>
          <w:lang w:bidi="ar-SA"/>
        </w:rPr>
        <w:t>تم تطويره في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بنك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إسرائيل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(</w:t>
      </w:r>
      <w:proofErr w:type="spellStart"/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جينكر</w:t>
      </w:r>
      <w:proofErr w:type="spellEnd"/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 </w:t>
      </w:r>
      <w:proofErr w:type="spellStart"/>
      <w:r w:rsidRPr="004A75E7">
        <w:rPr>
          <w:rFonts w:asciiTheme="minorHAnsi" w:hAnsiTheme="minorHAnsi" w:cs="Arial" w:hint="cs"/>
          <w:i/>
          <w:iCs w:val="0"/>
          <w:rtl/>
          <w:lang w:bidi="ar-SA"/>
        </w:rPr>
        <w:t>وسوخوي</w:t>
      </w:r>
      <w:proofErr w:type="spellEnd"/>
      <w:r w:rsidRPr="004A75E7">
        <w:rPr>
          <w:rFonts w:asciiTheme="minorHAnsi" w:hAnsiTheme="minorHAnsi" w:cs="Arial"/>
          <w:i/>
          <w:iCs w:val="0"/>
          <w:rtl/>
          <w:lang w:bidi="ar-SA"/>
        </w:rPr>
        <w:t xml:space="preserve">، </w:t>
      </w:r>
      <w:r>
        <w:rPr>
          <w:rFonts w:asciiTheme="minorHAnsi" w:hAnsiTheme="minorHAnsi" w:cs="Arial" w:hint="cs"/>
          <w:i/>
          <w:iCs w:val="0"/>
          <w:rtl/>
          <w:lang w:bidi="ar-SA"/>
        </w:rPr>
        <w:t>2021</w:t>
      </w:r>
      <w:r w:rsidRPr="004A75E7">
        <w:rPr>
          <w:rFonts w:asciiTheme="minorHAnsi" w:hAnsiTheme="minorHAnsi" w:cs="Arial"/>
          <w:i/>
          <w:iCs w:val="0"/>
          <w:rtl/>
          <w:lang w:bidi="ar-SA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6049"/>
    <w:multiLevelType w:val="hybridMultilevel"/>
    <w:tmpl w:val="3A4AADEA"/>
    <w:lvl w:ilvl="0" w:tplc="BCEC41EA">
      <w:numFmt w:val="bullet"/>
      <w:lvlText w:val=""/>
      <w:lvlJc w:val="left"/>
      <w:pPr>
        <w:ind w:left="720" w:hanging="360"/>
      </w:pPr>
      <w:rPr>
        <w:rFonts w:ascii="Symbol" w:eastAsia="David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D01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" w15:restartNumberingAfterBreak="0">
    <w:nsid w:val="3A951D18"/>
    <w:multiLevelType w:val="hybridMultilevel"/>
    <w:tmpl w:val="8D94D286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5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14A7D"/>
    <w:multiLevelType w:val="hybridMultilevel"/>
    <w:tmpl w:val="CC7060DA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F8B7446"/>
    <w:multiLevelType w:val="hybridMultilevel"/>
    <w:tmpl w:val="EC7A8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642CF"/>
    <w:multiLevelType w:val="hybridMultilevel"/>
    <w:tmpl w:val="917A7A3C"/>
    <w:lvl w:ilvl="0" w:tplc="69484BF8">
      <w:numFmt w:val="bullet"/>
      <w:lvlText w:val="•"/>
      <w:lvlJc w:val="left"/>
      <w:pPr>
        <w:ind w:left="720" w:hanging="720"/>
      </w:pPr>
      <w:rPr>
        <w:rFonts w:ascii="Calibri" w:eastAsia="David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941A4"/>
    <w:multiLevelType w:val="hybridMultilevel"/>
    <w:tmpl w:val="D5825F84"/>
    <w:lvl w:ilvl="0" w:tplc="2C867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CE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EF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4FF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8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C9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45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136ED"/>
    <w:rsid w:val="00031A9D"/>
    <w:rsid w:val="00040A7F"/>
    <w:rsid w:val="00045C65"/>
    <w:rsid w:val="00055CC5"/>
    <w:rsid w:val="00065B9B"/>
    <w:rsid w:val="000727FD"/>
    <w:rsid w:val="00084B5A"/>
    <w:rsid w:val="000857B7"/>
    <w:rsid w:val="00087BB3"/>
    <w:rsid w:val="00095555"/>
    <w:rsid w:val="00096238"/>
    <w:rsid w:val="000A5329"/>
    <w:rsid w:val="000B589E"/>
    <w:rsid w:val="000C1E4D"/>
    <w:rsid w:val="000D2157"/>
    <w:rsid w:val="000D5445"/>
    <w:rsid w:val="000E7ED2"/>
    <w:rsid w:val="00100012"/>
    <w:rsid w:val="00113BC9"/>
    <w:rsid w:val="00115277"/>
    <w:rsid w:val="00115FEF"/>
    <w:rsid w:val="00127DAC"/>
    <w:rsid w:val="00151A07"/>
    <w:rsid w:val="00156135"/>
    <w:rsid w:val="00162DCC"/>
    <w:rsid w:val="00166DBC"/>
    <w:rsid w:val="001705B9"/>
    <w:rsid w:val="00170DDB"/>
    <w:rsid w:val="00184E4C"/>
    <w:rsid w:val="00186338"/>
    <w:rsid w:val="0019079B"/>
    <w:rsid w:val="00196785"/>
    <w:rsid w:val="001A2670"/>
    <w:rsid w:val="001A53CE"/>
    <w:rsid w:val="001B05C6"/>
    <w:rsid w:val="001B28C8"/>
    <w:rsid w:val="001B3DB1"/>
    <w:rsid w:val="001B5E43"/>
    <w:rsid w:val="001C194B"/>
    <w:rsid w:val="001C7D79"/>
    <w:rsid w:val="001D5E62"/>
    <w:rsid w:val="001E0275"/>
    <w:rsid w:val="001E2886"/>
    <w:rsid w:val="001E46DB"/>
    <w:rsid w:val="001F2BE7"/>
    <w:rsid w:val="00223D37"/>
    <w:rsid w:val="00225BDF"/>
    <w:rsid w:val="00245BA3"/>
    <w:rsid w:val="00256095"/>
    <w:rsid w:val="00256D97"/>
    <w:rsid w:val="00265657"/>
    <w:rsid w:val="00274912"/>
    <w:rsid w:val="00275FE8"/>
    <w:rsid w:val="0028112B"/>
    <w:rsid w:val="002834B6"/>
    <w:rsid w:val="00290B54"/>
    <w:rsid w:val="00297F94"/>
    <w:rsid w:val="002A2E4C"/>
    <w:rsid w:val="002A3CC4"/>
    <w:rsid w:val="002B564E"/>
    <w:rsid w:val="002B7877"/>
    <w:rsid w:val="002C05A5"/>
    <w:rsid w:val="002C754F"/>
    <w:rsid w:val="002D7AA8"/>
    <w:rsid w:val="002E330F"/>
    <w:rsid w:val="002E5F96"/>
    <w:rsid w:val="002E6CD5"/>
    <w:rsid w:val="002F62A1"/>
    <w:rsid w:val="00301F96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41E2"/>
    <w:rsid w:val="00370E6F"/>
    <w:rsid w:val="0037101B"/>
    <w:rsid w:val="003730B8"/>
    <w:rsid w:val="00375149"/>
    <w:rsid w:val="003A1561"/>
    <w:rsid w:val="003C2931"/>
    <w:rsid w:val="003E7478"/>
    <w:rsid w:val="003F01E4"/>
    <w:rsid w:val="003F57B2"/>
    <w:rsid w:val="00407D90"/>
    <w:rsid w:val="00431BB6"/>
    <w:rsid w:val="00440E7F"/>
    <w:rsid w:val="004537A7"/>
    <w:rsid w:val="004561A3"/>
    <w:rsid w:val="00460DDF"/>
    <w:rsid w:val="00461C90"/>
    <w:rsid w:val="00471092"/>
    <w:rsid w:val="004A120F"/>
    <w:rsid w:val="004A32D7"/>
    <w:rsid w:val="004A6295"/>
    <w:rsid w:val="004C6182"/>
    <w:rsid w:val="004C7925"/>
    <w:rsid w:val="004F26A1"/>
    <w:rsid w:val="004F5E3C"/>
    <w:rsid w:val="00567B1A"/>
    <w:rsid w:val="00571971"/>
    <w:rsid w:val="0057422C"/>
    <w:rsid w:val="00575141"/>
    <w:rsid w:val="0059782C"/>
    <w:rsid w:val="005A52A2"/>
    <w:rsid w:val="005C5BF9"/>
    <w:rsid w:val="005D5F2B"/>
    <w:rsid w:val="005E28F6"/>
    <w:rsid w:val="00614024"/>
    <w:rsid w:val="00632CD2"/>
    <w:rsid w:val="006344CC"/>
    <w:rsid w:val="0063559D"/>
    <w:rsid w:val="0063690B"/>
    <w:rsid w:val="00640309"/>
    <w:rsid w:val="00660075"/>
    <w:rsid w:val="00660F46"/>
    <w:rsid w:val="006811C3"/>
    <w:rsid w:val="006907D5"/>
    <w:rsid w:val="0069557C"/>
    <w:rsid w:val="006C3C36"/>
    <w:rsid w:val="006C5099"/>
    <w:rsid w:val="006F0964"/>
    <w:rsid w:val="00701240"/>
    <w:rsid w:val="00715D7F"/>
    <w:rsid w:val="00716C90"/>
    <w:rsid w:val="007172E4"/>
    <w:rsid w:val="00737090"/>
    <w:rsid w:val="00780795"/>
    <w:rsid w:val="00783F55"/>
    <w:rsid w:val="007916D5"/>
    <w:rsid w:val="0079406F"/>
    <w:rsid w:val="00797111"/>
    <w:rsid w:val="007A0330"/>
    <w:rsid w:val="007A25C0"/>
    <w:rsid w:val="007A2A08"/>
    <w:rsid w:val="007B2299"/>
    <w:rsid w:val="007B2E35"/>
    <w:rsid w:val="007B64D4"/>
    <w:rsid w:val="007C40B7"/>
    <w:rsid w:val="007C41CE"/>
    <w:rsid w:val="007D028E"/>
    <w:rsid w:val="007E3CCC"/>
    <w:rsid w:val="00803D2A"/>
    <w:rsid w:val="0080460D"/>
    <w:rsid w:val="008058DF"/>
    <w:rsid w:val="00810049"/>
    <w:rsid w:val="008137A5"/>
    <w:rsid w:val="00832597"/>
    <w:rsid w:val="008371BA"/>
    <w:rsid w:val="00844664"/>
    <w:rsid w:val="008466F0"/>
    <w:rsid w:val="008473FB"/>
    <w:rsid w:val="00850CC4"/>
    <w:rsid w:val="00886388"/>
    <w:rsid w:val="008B3199"/>
    <w:rsid w:val="008C47FB"/>
    <w:rsid w:val="008C4A46"/>
    <w:rsid w:val="008C706D"/>
    <w:rsid w:val="008D5488"/>
    <w:rsid w:val="008E2484"/>
    <w:rsid w:val="008F0B52"/>
    <w:rsid w:val="008F617A"/>
    <w:rsid w:val="00914AC1"/>
    <w:rsid w:val="00921F03"/>
    <w:rsid w:val="00950246"/>
    <w:rsid w:val="0095375C"/>
    <w:rsid w:val="00965C79"/>
    <w:rsid w:val="00972198"/>
    <w:rsid w:val="00984B1A"/>
    <w:rsid w:val="009851B0"/>
    <w:rsid w:val="00996DA6"/>
    <w:rsid w:val="009A089E"/>
    <w:rsid w:val="009A50FF"/>
    <w:rsid w:val="009B0FA7"/>
    <w:rsid w:val="009B2E19"/>
    <w:rsid w:val="009C6D0D"/>
    <w:rsid w:val="009E2FD2"/>
    <w:rsid w:val="00A076E6"/>
    <w:rsid w:val="00A13844"/>
    <w:rsid w:val="00A27085"/>
    <w:rsid w:val="00A344EF"/>
    <w:rsid w:val="00A41BD0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A447F"/>
    <w:rsid w:val="00AB01E0"/>
    <w:rsid w:val="00AB1761"/>
    <w:rsid w:val="00AB37A4"/>
    <w:rsid w:val="00AC35CD"/>
    <w:rsid w:val="00AE7479"/>
    <w:rsid w:val="00AF1FA7"/>
    <w:rsid w:val="00B02A8E"/>
    <w:rsid w:val="00B071B6"/>
    <w:rsid w:val="00B13490"/>
    <w:rsid w:val="00B161CC"/>
    <w:rsid w:val="00B35876"/>
    <w:rsid w:val="00B569FD"/>
    <w:rsid w:val="00B63A33"/>
    <w:rsid w:val="00B677DC"/>
    <w:rsid w:val="00B70E6F"/>
    <w:rsid w:val="00B91BF0"/>
    <w:rsid w:val="00B955C2"/>
    <w:rsid w:val="00BA0282"/>
    <w:rsid w:val="00BB6985"/>
    <w:rsid w:val="00BD0783"/>
    <w:rsid w:val="00BD17EF"/>
    <w:rsid w:val="00BD7743"/>
    <w:rsid w:val="00BE729B"/>
    <w:rsid w:val="00BF4F97"/>
    <w:rsid w:val="00BF5589"/>
    <w:rsid w:val="00C0095C"/>
    <w:rsid w:val="00C02512"/>
    <w:rsid w:val="00C10172"/>
    <w:rsid w:val="00C25C86"/>
    <w:rsid w:val="00C30956"/>
    <w:rsid w:val="00C36D00"/>
    <w:rsid w:val="00C42A4B"/>
    <w:rsid w:val="00C463C1"/>
    <w:rsid w:val="00C46931"/>
    <w:rsid w:val="00C47A89"/>
    <w:rsid w:val="00C73E6B"/>
    <w:rsid w:val="00C85D4E"/>
    <w:rsid w:val="00C86CFC"/>
    <w:rsid w:val="00C9088B"/>
    <w:rsid w:val="00C91BA8"/>
    <w:rsid w:val="00C94FDB"/>
    <w:rsid w:val="00CA2ACF"/>
    <w:rsid w:val="00CB5C9F"/>
    <w:rsid w:val="00CB5CD9"/>
    <w:rsid w:val="00CB74C6"/>
    <w:rsid w:val="00CC2499"/>
    <w:rsid w:val="00CC57F4"/>
    <w:rsid w:val="00CC73CB"/>
    <w:rsid w:val="00CD11DB"/>
    <w:rsid w:val="00CD2037"/>
    <w:rsid w:val="00CD2A65"/>
    <w:rsid w:val="00CE2F8B"/>
    <w:rsid w:val="00D004D1"/>
    <w:rsid w:val="00D02324"/>
    <w:rsid w:val="00D06884"/>
    <w:rsid w:val="00D15579"/>
    <w:rsid w:val="00D45541"/>
    <w:rsid w:val="00D53BFE"/>
    <w:rsid w:val="00D73D49"/>
    <w:rsid w:val="00D747A1"/>
    <w:rsid w:val="00D85F94"/>
    <w:rsid w:val="00D878DF"/>
    <w:rsid w:val="00DB09F3"/>
    <w:rsid w:val="00DC23E1"/>
    <w:rsid w:val="00DC727C"/>
    <w:rsid w:val="00DD2E1F"/>
    <w:rsid w:val="00DD6497"/>
    <w:rsid w:val="00DE140A"/>
    <w:rsid w:val="00DF4B57"/>
    <w:rsid w:val="00E04682"/>
    <w:rsid w:val="00E20D4C"/>
    <w:rsid w:val="00E22BAA"/>
    <w:rsid w:val="00E44A34"/>
    <w:rsid w:val="00E52D98"/>
    <w:rsid w:val="00E52DAA"/>
    <w:rsid w:val="00E566ED"/>
    <w:rsid w:val="00E728E5"/>
    <w:rsid w:val="00E731F0"/>
    <w:rsid w:val="00E80E0F"/>
    <w:rsid w:val="00E84228"/>
    <w:rsid w:val="00EC51AC"/>
    <w:rsid w:val="00ED67BE"/>
    <w:rsid w:val="00EE07B1"/>
    <w:rsid w:val="00EF41BE"/>
    <w:rsid w:val="00F06828"/>
    <w:rsid w:val="00F11065"/>
    <w:rsid w:val="00F20046"/>
    <w:rsid w:val="00F2528F"/>
    <w:rsid w:val="00F25BB5"/>
    <w:rsid w:val="00F40307"/>
    <w:rsid w:val="00F571F9"/>
    <w:rsid w:val="00F655AC"/>
    <w:rsid w:val="00F8256F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E77A7"/>
    <w:rsid w:val="00FF12A9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ED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14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04682"/>
  </w:style>
  <w:style w:type="paragraph" w:styleId="a7">
    <w:name w:val="footer"/>
    <w:basedOn w:val="a"/>
    <w:link w:val="a8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04682"/>
  </w:style>
  <w:style w:type="paragraph" w:styleId="a9">
    <w:name w:val="List Paragraph"/>
    <w:aliases w:val="פיסקת רשימה12,פיסקת רשימה121,פיסקת רשימה2,פיסקת רשימה11"/>
    <w:basedOn w:val="a"/>
    <w:link w:val="aa"/>
    <w:uiPriority w:val="34"/>
    <w:qFormat/>
    <w:rsid w:val="00CD2A6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F26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F26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26A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aa">
    <w:name w:val="פיסקת רשימה תו"/>
    <w:aliases w:val="פיסקת רשימה12 תו,פיסקת רשימה121 תו,פיסקת רשימה2 תו,פיסקת רשימה11 תו"/>
    <w:basedOn w:val="a0"/>
    <w:link w:val="a9"/>
    <w:uiPriority w:val="34"/>
    <w:rsid w:val="00031A9D"/>
  </w:style>
  <w:style w:type="paragraph" w:styleId="af0">
    <w:name w:val="footnote text"/>
    <w:basedOn w:val="a"/>
    <w:link w:val="af1"/>
    <w:semiHidden/>
    <w:rsid w:val="002E6CD5"/>
    <w:pPr>
      <w:bidi/>
      <w:spacing w:after="120" w:line="320" w:lineRule="exact"/>
      <w:ind w:left="-57" w:firstLine="283"/>
      <w:jc w:val="both"/>
    </w:pPr>
    <w:rPr>
      <w:rFonts w:ascii="Times New Roman" w:eastAsia="Times New Roman" w:hAnsi="Times New Roman"/>
      <w:iCs/>
      <w:sz w:val="20"/>
      <w:szCs w:val="20"/>
      <w:lang w:eastAsia="he-IL"/>
    </w:rPr>
  </w:style>
  <w:style w:type="character" w:customStyle="1" w:styleId="af1">
    <w:name w:val="טקסט הערת שוליים תו"/>
    <w:basedOn w:val="a0"/>
    <w:link w:val="af0"/>
    <w:semiHidden/>
    <w:rsid w:val="002E6CD5"/>
    <w:rPr>
      <w:rFonts w:ascii="Times New Roman" w:eastAsia="Times New Roman" w:hAnsi="Times New Roman" w:cs="David"/>
      <w:iCs/>
      <w:sz w:val="20"/>
      <w:szCs w:val="20"/>
      <w:lang w:eastAsia="he-IL"/>
    </w:rPr>
  </w:style>
  <w:style w:type="character" w:styleId="af2">
    <w:name w:val="footnote reference"/>
    <w:semiHidden/>
    <w:rsid w:val="002E6CD5"/>
    <w:rPr>
      <w:vertAlign w:val="superscript"/>
    </w:rPr>
  </w:style>
  <w:style w:type="paragraph" w:styleId="af3">
    <w:name w:val="Title"/>
    <w:basedOn w:val="a"/>
    <w:next w:val="a"/>
    <w:link w:val="af4"/>
    <w:qFormat/>
    <w:rsid w:val="002E6CD5"/>
    <w:pPr>
      <w:spacing w:after="0" w:line="240" w:lineRule="auto"/>
      <w:contextualSpacing/>
    </w:pPr>
    <w:rPr>
      <w:rFonts w:asciiTheme="majorHAnsi" w:eastAsiaTheme="majorEastAsia" w:hAnsiTheme="majorHAnsi" w:cstheme="majorBidi" w:hint="cs"/>
      <w:spacing w:val="-10"/>
      <w:kern w:val="28"/>
      <w:sz w:val="56"/>
      <w:szCs w:val="56"/>
      <w:lang w:eastAsia="he-IL"/>
    </w:rPr>
  </w:style>
  <w:style w:type="character" w:customStyle="1" w:styleId="af4">
    <w:name w:val="כותרת טקסט תו"/>
    <w:basedOn w:val="a0"/>
    <w:link w:val="af3"/>
    <w:rsid w:val="002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he-IL"/>
    </w:rPr>
  </w:style>
  <w:style w:type="paragraph" w:customStyle="1" w:styleId="af5">
    <w:name w:val="טקסט רץ"/>
    <w:basedOn w:val="a9"/>
    <w:qFormat/>
    <w:rsid w:val="002E6CD5"/>
    <w:pPr>
      <w:bidi/>
      <w:spacing w:after="0" w:line="240" w:lineRule="auto"/>
      <w:ind w:left="-7"/>
      <w:jc w:val="both"/>
    </w:pPr>
    <w:rPr>
      <w:rFonts w:ascii="Assistant" w:eastAsia="Times New Roman" w:hAnsi="Assistant" w:cs="Assistan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hyperlink" Target="https://www.facebook.com/bankisraelvc" TargetMode="External"/><Relationship Id="rId3" Type="http://schemas.openxmlformats.org/officeDocument/2006/relationships/image" Target="media/image4.png"/><Relationship Id="rId7" Type="http://schemas.microsoft.com/office/2007/relationships/hdphoto" Target="media/hdphoto2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hyperlink" Target="https://www.boi.org.il/bank-of-israel/boi-podcast/" TargetMode="External"/><Relationship Id="rId1" Type="http://schemas.openxmlformats.org/officeDocument/2006/relationships/hyperlink" Target="https://www.boi.org.il/bank-of-israel/boi-podcast/" TargetMode="External"/><Relationship Id="rId6" Type="http://schemas.openxmlformats.org/officeDocument/2006/relationships/image" Target="media/image6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1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5.png"/><Relationship Id="rId9" Type="http://schemas.microsoft.com/office/2007/relationships/hdphoto" Target="media/hdphoto3.wdp"/><Relationship Id="rId14" Type="http://schemas.openxmlformats.org/officeDocument/2006/relationships/hyperlink" Target="https://www.boi.org.il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mvsrvmmh\vmmh\ISD\&#1508;&#1512;&#1493;&#1497;&#1511;&#1496;&#1497;&#1501;%20&#1502;&#1513;&#1493;&#1514;&#1508;&#1497;&#1501;%20-%207\&#1505;&#1511;&#1512;%20&#1511;&#1510;&#1497;&#1504;&#1497;%20&#1488;&#1513;&#1512;&#1488;&#1497;\TETA\&#1492;&#1491;&#1493;&#1495;%20&#1492;&#1495;&#1493;&#1491;&#1513;&#1497;\chartbook_TETA.xlsm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e-I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789577069149881E-2"/>
          <c:y val="0.11676550506753407"/>
          <c:w val="0.86707789878755581"/>
          <c:h val="0.6548667015723519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[chartbook_TETA.xlsm]data_119!$B$5</c:f>
              <c:strCache>
                <c:ptCount val="1"/>
                <c:pt idx="0">
                  <c:v>אומדן המדד החודשי</c:v>
                </c:pt>
              </c:strCache>
            </c:strRef>
          </c:tx>
          <c:spPr>
            <a:solidFill>
              <a:srgbClr val="008DA3"/>
            </a:solidFill>
            <a:ln>
              <a:solidFill>
                <a:srgbClr val="357C32"/>
              </a:solidFill>
            </a:ln>
            <a:effectLst/>
          </c:spPr>
          <c:invertIfNegative val="0"/>
          <c:cat>
            <c:numRef>
              <c:f>[chartbook_TETA.xlsm]data_119!$A$6:$A$30</c:f>
              <c:numCache>
                <c:formatCode>m/d/yyyy</c:formatCode>
                <c:ptCount val="25"/>
                <c:pt idx="0">
                  <c:v>45565</c:v>
                </c:pt>
                <c:pt idx="1">
                  <c:v>45596</c:v>
                </c:pt>
                <c:pt idx="2">
                  <c:v>45626</c:v>
                </c:pt>
                <c:pt idx="3">
                  <c:v>45657</c:v>
                </c:pt>
                <c:pt idx="4">
                  <c:v>45688</c:v>
                </c:pt>
                <c:pt idx="5">
                  <c:v>45716</c:v>
                </c:pt>
                <c:pt idx="6">
                  <c:v>45747</c:v>
                </c:pt>
                <c:pt idx="7">
                  <c:v>45777</c:v>
                </c:pt>
                <c:pt idx="8">
                  <c:v>45808</c:v>
                </c:pt>
                <c:pt idx="9">
                  <c:v>45838</c:v>
                </c:pt>
                <c:pt idx="10">
                  <c:v>45869</c:v>
                </c:pt>
                <c:pt idx="11">
                  <c:v>45900</c:v>
                </c:pt>
                <c:pt idx="12">
                  <c:v>45930</c:v>
                </c:pt>
                <c:pt idx="13">
                  <c:v>45961</c:v>
                </c:pt>
                <c:pt idx="14">
                  <c:v>45991</c:v>
                </c:pt>
                <c:pt idx="15">
                  <c:v>46022</c:v>
                </c:pt>
                <c:pt idx="16">
                  <c:v>46053</c:v>
                </c:pt>
                <c:pt idx="17">
                  <c:v>46081</c:v>
                </c:pt>
                <c:pt idx="18">
                  <c:v>46112</c:v>
                </c:pt>
                <c:pt idx="19">
                  <c:v>46142</c:v>
                </c:pt>
                <c:pt idx="20">
                  <c:v>46173</c:v>
                </c:pt>
                <c:pt idx="21">
                  <c:v>46203</c:v>
                </c:pt>
                <c:pt idx="22">
                  <c:v>46234</c:v>
                </c:pt>
                <c:pt idx="23">
                  <c:v>46265</c:v>
                </c:pt>
                <c:pt idx="24">
                  <c:v>46295</c:v>
                </c:pt>
              </c:numCache>
            </c:numRef>
          </c:cat>
          <c:val>
            <c:numRef>
              <c:f>[chartbook_TETA.xlsm]data_119!$B$6:$B$30</c:f>
              <c:numCache>
                <c:formatCode>General</c:formatCode>
                <c:ptCount val="25"/>
                <c:pt idx="0">
                  <c:v>0.47699999999999998</c:v>
                </c:pt>
                <c:pt idx="1">
                  <c:v>-0.25600000000000001</c:v>
                </c:pt>
                <c:pt idx="2">
                  <c:v>-0.11700000000000001</c:v>
                </c:pt>
                <c:pt idx="3">
                  <c:v>0.55900000000000005</c:v>
                </c:pt>
                <c:pt idx="4">
                  <c:v>0.30399999999999999</c:v>
                </c:pt>
                <c:pt idx="5">
                  <c:v>0.89100000000000001</c:v>
                </c:pt>
                <c:pt idx="6">
                  <c:v>0.41799999999999998</c:v>
                </c:pt>
                <c:pt idx="7">
                  <c:v>0.48499999999999999</c:v>
                </c:pt>
                <c:pt idx="8">
                  <c:v>0.17899999999999999</c:v>
                </c:pt>
                <c:pt idx="9">
                  <c:v>-1.724</c:v>
                </c:pt>
                <c:pt idx="10">
                  <c:v>0.97</c:v>
                </c:pt>
                <c:pt idx="11">
                  <c:v>0.218</c:v>
                </c:pt>
                <c:pt idx="12">
                  <c:v>2.1019999999999999</c:v>
                </c:pt>
                <c:pt idx="13">
                  <c:v>-0.25600000000000001</c:v>
                </c:pt>
                <c:pt idx="14">
                  <c:v>0.76100000000000001</c:v>
                </c:pt>
                <c:pt idx="15">
                  <c:v>0.27600000000000002</c:v>
                </c:pt>
                <c:pt idx="16">
                  <c:v>0.72799999999999998</c:v>
                </c:pt>
                <c:pt idx="17">
                  <c:v>0.376</c:v>
                </c:pt>
                <c:pt idx="18">
                  <c:v>-1.478</c:v>
                </c:pt>
                <c:pt idx="19">
                  <c:v>0.219</c:v>
                </c:pt>
                <c:pt idx="20">
                  <c:v>0.57599999999999996</c:v>
                </c:pt>
                <c:pt idx="21">
                  <c:v>2.7810000000000001</c:v>
                </c:pt>
                <c:pt idx="22">
                  <c:v>0.38300000000000001</c:v>
                </c:pt>
                <c:pt idx="23">
                  <c:v>0.35599999999999998</c:v>
                </c:pt>
                <c:pt idx="24">
                  <c:v>0.33900000000000002</c:v>
                </c:pt>
              </c:numCache>
            </c:numRef>
          </c:val>
          <c:extLst xmlns:a14="http://schemas.microsoft.com/office/drawing/2010/main" xmlns:wp="http://schemas.openxmlformats.org/drawingml/2006/wordprocessingDrawing" xmlns:w="http://schemas.openxmlformats.org/wordprocessingml/2006/main" xmlns:m="http://schemas.openxmlformats.org/officeDocument/2006/math" xmlns:c15="http://schemas.microsoft.com/office/drawing/2012/chart">
            <c:ext xmlns:c16="http://schemas.microsoft.com/office/drawing/2014/chart" uri="{C3380CC4-5D6E-409C-BE32-E72D297353CC}">
              <c16:uniqueId val="{00000000-DCFE-4A6C-88E1-D510962A1E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"/>
        <c:axId val="71850240"/>
        <c:axId val="80057472"/>
      </c:barChart>
      <c:lineChart>
        <c:grouping val="standard"/>
        <c:varyColors val="0"/>
        <c:ser>
          <c:idx val="0"/>
          <c:order val="1"/>
          <c:tx>
            <c:strRef>
              <c:f>[chartbook_TETA.xlsm]data_119!$C$5</c:f>
              <c:strCache>
                <c:ptCount val="1"/>
                <c:pt idx="0">
                  <c:v>אומדן קודם</c:v>
                </c:pt>
              </c:strCache>
            </c:strRef>
          </c:tx>
          <c:spPr>
            <a:ln w="31750" cap="rnd">
              <a:noFill/>
              <a:round/>
            </a:ln>
            <a:effectLst/>
          </c:spPr>
          <c:marker>
            <c:symbol val="circle"/>
            <c:size val="6"/>
            <c:spPr>
              <a:solidFill>
                <a:srgbClr val="357C32"/>
              </a:solidFill>
              <a:ln w="22225">
                <a:noFill/>
                <a:round/>
              </a:ln>
              <a:effectLst/>
            </c:spPr>
          </c:marker>
          <c:cat>
            <c:numRef>
              <c:f>[chartbook_TETA.xlsm]data_119!$A$6:$A$30</c:f>
              <c:numCache>
                <c:formatCode>m/d/yyyy</c:formatCode>
                <c:ptCount val="25"/>
                <c:pt idx="0">
                  <c:v>45565</c:v>
                </c:pt>
                <c:pt idx="1">
                  <c:v>45596</c:v>
                </c:pt>
                <c:pt idx="2">
                  <c:v>45626</c:v>
                </c:pt>
                <c:pt idx="3">
                  <c:v>45657</c:v>
                </c:pt>
                <c:pt idx="4">
                  <c:v>45688</c:v>
                </c:pt>
                <c:pt idx="5">
                  <c:v>45716</c:v>
                </c:pt>
                <c:pt idx="6">
                  <c:v>45747</c:v>
                </c:pt>
                <c:pt idx="7">
                  <c:v>45777</c:v>
                </c:pt>
                <c:pt idx="8">
                  <c:v>45808</c:v>
                </c:pt>
                <c:pt idx="9">
                  <c:v>45838</c:v>
                </c:pt>
                <c:pt idx="10">
                  <c:v>45869</c:v>
                </c:pt>
                <c:pt idx="11">
                  <c:v>45900</c:v>
                </c:pt>
                <c:pt idx="12">
                  <c:v>45930</c:v>
                </c:pt>
                <c:pt idx="13">
                  <c:v>45961</c:v>
                </c:pt>
                <c:pt idx="14">
                  <c:v>45991</c:v>
                </c:pt>
                <c:pt idx="15">
                  <c:v>46022</c:v>
                </c:pt>
                <c:pt idx="16">
                  <c:v>46053</c:v>
                </c:pt>
                <c:pt idx="17">
                  <c:v>46081</c:v>
                </c:pt>
                <c:pt idx="18">
                  <c:v>46112</c:v>
                </c:pt>
                <c:pt idx="19">
                  <c:v>46142</c:v>
                </c:pt>
                <c:pt idx="20">
                  <c:v>46173</c:v>
                </c:pt>
                <c:pt idx="21">
                  <c:v>46203</c:v>
                </c:pt>
                <c:pt idx="22">
                  <c:v>46234</c:v>
                </c:pt>
                <c:pt idx="23">
                  <c:v>46265</c:v>
                </c:pt>
                <c:pt idx="24">
                  <c:v>46295</c:v>
                </c:pt>
              </c:numCache>
            </c:numRef>
          </c:cat>
          <c:val>
            <c:numRef>
              <c:f>[chartbook_TETA.xlsm]data_119!$C$6:$C$30</c:f>
              <c:numCache>
                <c:formatCode>General</c:formatCode>
                <c:ptCount val="25"/>
                <c:pt idx="0">
                  <c:v>0.47199999999999998</c:v>
                </c:pt>
                <c:pt idx="1">
                  <c:v>-0.23100000000000001</c:v>
                </c:pt>
                <c:pt idx="2">
                  <c:v>-0.13600000000000001</c:v>
                </c:pt>
                <c:pt idx="3">
                  <c:v>0.56000000000000005</c:v>
                </c:pt>
                <c:pt idx="4">
                  <c:v>0.32500000000000001</c:v>
                </c:pt>
                <c:pt idx="5">
                  <c:v>0.92400000000000004</c:v>
                </c:pt>
                <c:pt idx="6">
                  <c:v>0.43</c:v>
                </c:pt>
                <c:pt idx="7">
                  <c:v>0.47599999999999998</c:v>
                </c:pt>
                <c:pt idx="8">
                  <c:v>0.16300000000000001</c:v>
                </c:pt>
                <c:pt idx="9">
                  <c:v>-1.744</c:v>
                </c:pt>
                <c:pt idx="10">
                  <c:v>0.92300000000000004</c:v>
                </c:pt>
                <c:pt idx="11">
                  <c:v>0.23400000000000001</c:v>
                </c:pt>
                <c:pt idx="12">
                  <c:v>2.125</c:v>
                </c:pt>
                <c:pt idx="13">
                  <c:v>-0.221</c:v>
                </c:pt>
                <c:pt idx="14">
                  <c:v>0.71699999999999997</c:v>
                </c:pt>
                <c:pt idx="15">
                  <c:v>0.21199999999999999</c:v>
                </c:pt>
                <c:pt idx="16">
                  <c:v>0.65400000000000003</c:v>
                </c:pt>
                <c:pt idx="17">
                  <c:v>0.313</c:v>
                </c:pt>
                <c:pt idx="18">
                  <c:v>-1.532</c:v>
                </c:pt>
                <c:pt idx="19">
                  <c:v>0.20699999999999999</c:v>
                </c:pt>
                <c:pt idx="20">
                  <c:v>0.56100000000000005</c:v>
                </c:pt>
                <c:pt idx="21">
                  <c:v>2.8039999999999998</c:v>
                </c:pt>
                <c:pt idx="22">
                  <c:v>0.49199999999999999</c:v>
                </c:pt>
                <c:pt idx="23">
                  <c:v>0.36599999999999999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1-DCFE-4A6C-88E1-D510962A1E45}"/>
            </c:ext>
          </c:extLst>
        </c:ser>
        <c:ser>
          <c:idx val="1"/>
          <c:order val="2"/>
          <c:tx>
            <c:strRef>
              <c:f>[chartbook_TETA.xlsm]data_119!$D$5</c:f>
              <c:strCache>
                <c:ptCount val="1"/>
                <c:pt idx="0">
                  <c:v>ממוצע ארוך טווח</c:v>
                </c:pt>
              </c:strCache>
            </c:strRef>
          </c:tx>
          <c:spPr>
            <a:ln w="22225" cap="rnd">
              <a:solidFill>
                <a:srgbClr val="DA8F32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[chartbook_TETA.xlsm]data_119!$A$6:$A$30</c:f>
              <c:numCache>
                <c:formatCode>m/d/yyyy</c:formatCode>
                <c:ptCount val="25"/>
                <c:pt idx="0">
                  <c:v>45565</c:v>
                </c:pt>
                <c:pt idx="1">
                  <c:v>45596</c:v>
                </c:pt>
                <c:pt idx="2">
                  <c:v>45626</c:v>
                </c:pt>
                <c:pt idx="3">
                  <c:v>45657</c:v>
                </c:pt>
                <c:pt idx="4">
                  <c:v>45688</c:v>
                </c:pt>
                <c:pt idx="5">
                  <c:v>45716</c:v>
                </c:pt>
                <c:pt idx="6">
                  <c:v>45747</c:v>
                </c:pt>
                <c:pt idx="7">
                  <c:v>45777</c:v>
                </c:pt>
                <c:pt idx="8">
                  <c:v>45808</c:v>
                </c:pt>
                <c:pt idx="9">
                  <c:v>45838</c:v>
                </c:pt>
                <c:pt idx="10">
                  <c:v>45869</c:v>
                </c:pt>
                <c:pt idx="11">
                  <c:v>45900</c:v>
                </c:pt>
                <c:pt idx="12">
                  <c:v>45930</c:v>
                </c:pt>
                <c:pt idx="13">
                  <c:v>45961</c:v>
                </c:pt>
                <c:pt idx="14">
                  <c:v>45991</c:v>
                </c:pt>
                <c:pt idx="15">
                  <c:v>46022</c:v>
                </c:pt>
                <c:pt idx="16">
                  <c:v>46053</c:v>
                </c:pt>
                <c:pt idx="17">
                  <c:v>46081</c:v>
                </c:pt>
                <c:pt idx="18">
                  <c:v>46112</c:v>
                </c:pt>
                <c:pt idx="19">
                  <c:v>46142</c:v>
                </c:pt>
                <c:pt idx="20">
                  <c:v>46173</c:v>
                </c:pt>
                <c:pt idx="21">
                  <c:v>46203</c:v>
                </c:pt>
                <c:pt idx="22">
                  <c:v>46234</c:v>
                </c:pt>
                <c:pt idx="23">
                  <c:v>46265</c:v>
                </c:pt>
                <c:pt idx="24">
                  <c:v>46295</c:v>
                </c:pt>
              </c:numCache>
            </c:numRef>
          </c:cat>
          <c:val>
            <c:numRef>
              <c:f>[chartbook_TETA.xlsm]data_119!$D$6:$D$30</c:f>
              <c:numCache>
                <c:formatCode>General</c:formatCode>
                <c:ptCount val="25"/>
                <c:pt idx="0">
                  <c:v>0.318</c:v>
                </c:pt>
                <c:pt idx="1">
                  <c:v>0.318</c:v>
                </c:pt>
                <c:pt idx="2">
                  <c:v>0.318</c:v>
                </c:pt>
                <c:pt idx="3">
                  <c:v>0.318</c:v>
                </c:pt>
                <c:pt idx="4">
                  <c:v>0.318</c:v>
                </c:pt>
                <c:pt idx="5">
                  <c:v>0.318</c:v>
                </c:pt>
                <c:pt idx="6">
                  <c:v>0.318</c:v>
                </c:pt>
                <c:pt idx="7">
                  <c:v>0.318</c:v>
                </c:pt>
                <c:pt idx="8">
                  <c:v>0.318</c:v>
                </c:pt>
                <c:pt idx="9">
                  <c:v>0.318</c:v>
                </c:pt>
                <c:pt idx="10">
                  <c:v>0.318</c:v>
                </c:pt>
                <c:pt idx="11">
                  <c:v>0.318</c:v>
                </c:pt>
                <c:pt idx="12">
                  <c:v>0.318</c:v>
                </c:pt>
                <c:pt idx="13">
                  <c:v>0.318</c:v>
                </c:pt>
                <c:pt idx="14">
                  <c:v>0.318</c:v>
                </c:pt>
                <c:pt idx="15">
                  <c:v>0.318</c:v>
                </c:pt>
                <c:pt idx="16">
                  <c:v>0.318</c:v>
                </c:pt>
                <c:pt idx="17">
                  <c:v>0.318</c:v>
                </c:pt>
                <c:pt idx="18">
                  <c:v>0.318</c:v>
                </c:pt>
                <c:pt idx="19">
                  <c:v>0.318</c:v>
                </c:pt>
                <c:pt idx="20">
                  <c:v>0.318</c:v>
                </c:pt>
                <c:pt idx="21">
                  <c:v>0.318</c:v>
                </c:pt>
                <c:pt idx="22">
                  <c:v>0.318</c:v>
                </c:pt>
                <c:pt idx="23">
                  <c:v>0.318</c:v>
                </c:pt>
                <c:pt idx="24">
                  <c:v>0.318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2-DCFE-4A6C-88E1-D510962A1E45}"/>
            </c:ext>
          </c:extLst>
        </c:ser>
        <c:ser>
          <c:idx val="2"/>
          <c:order val="3"/>
          <c:tx>
            <c:v>אחוזון 25</c:v>
          </c:tx>
          <c:spPr>
            <a:ln w="19050" cap="rnd">
              <a:solidFill>
                <a:schemeClr val="tx1">
                  <a:lumMod val="65000"/>
                  <a:lumOff val="35000"/>
                </a:schemeClr>
              </a:solidFill>
              <a:prstDash val="lgDash"/>
              <a:round/>
            </a:ln>
            <a:effectLst/>
          </c:spPr>
          <c:marker>
            <c:symbol val="none"/>
          </c:marker>
          <c:cat>
            <c:numRef>
              <c:f>[chartbook_TETA.xlsm]data_119!$A$6:$A$30</c:f>
              <c:numCache>
                <c:formatCode>m/d/yyyy</c:formatCode>
                <c:ptCount val="25"/>
                <c:pt idx="0">
                  <c:v>45565</c:v>
                </c:pt>
                <c:pt idx="1">
                  <c:v>45596</c:v>
                </c:pt>
                <c:pt idx="2">
                  <c:v>45626</c:v>
                </c:pt>
                <c:pt idx="3">
                  <c:v>45657</c:v>
                </c:pt>
                <c:pt idx="4">
                  <c:v>45688</c:v>
                </c:pt>
                <c:pt idx="5">
                  <c:v>45716</c:v>
                </c:pt>
                <c:pt idx="6">
                  <c:v>45747</c:v>
                </c:pt>
                <c:pt idx="7">
                  <c:v>45777</c:v>
                </c:pt>
                <c:pt idx="8">
                  <c:v>45808</c:v>
                </c:pt>
                <c:pt idx="9">
                  <c:v>45838</c:v>
                </c:pt>
                <c:pt idx="10">
                  <c:v>45869</c:v>
                </c:pt>
                <c:pt idx="11">
                  <c:v>45900</c:v>
                </c:pt>
                <c:pt idx="12">
                  <c:v>45930</c:v>
                </c:pt>
                <c:pt idx="13">
                  <c:v>45961</c:v>
                </c:pt>
                <c:pt idx="14">
                  <c:v>45991</c:v>
                </c:pt>
                <c:pt idx="15">
                  <c:v>46022</c:v>
                </c:pt>
                <c:pt idx="16">
                  <c:v>46053</c:v>
                </c:pt>
                <c:pt idx="17">
                  <c:v>46081</c:v>
                </c:pt>
                <c:pt idx="18">
                  <c:v>46112</c:v>
                </c:pt>
                <c:pt idx="19">
                  <c:v>46142</c:v>
                </c:pt>
                <c:pt idx="20">
                  <c:v>46173</c:v>
                </c:pt>
                <c:pt idx="21">
                  <c:v>46203</c:v>
                </c:pt>
                <c:pt idx="22">
                  <c:v>46234</c:v>
                </c:pt>
                <c:pt idx="23">
                  <c:v>46265</c:v>
                </c:pt>
                <c:pt idx="24">
                  <c:v>46295</c:v>
                </c:pt>
              </c:numCache>
            </c:numRef>
          </c:cat>
          <c:val>
            <c:numRef>
              <c:f>[chartbook_TETA.xlsm]data_119!$E$6:$E$30</c:f>
              <c:numCache>
                <c:formatCode>General</c:formatCode>
                <c:ptCount val="25"/>
                <c:pt idx="0">
                  <c:v>0.111</c:v>
                </c:pt>
                <c:pt idx="1">
                  <c:v>0.111</c:v>
                </c:pt>
                <c:pt idx="2">
                  <c:v>0.111</c:v>
                </c:pt>
                <c:pt idx="3">
                  <c:v>0.111</c:v>
                </c:pt>
                <c:pt idx="4">
                  <c:v>0.111</c:v>
                </c:pt>
                <c:pt idx="5">
                  <c:v>0.111</c:v>
                </c:pt>
                <c:pt idx="6">
                  <c:v>0.111</c:v>
                </c:pt>
                <c:pt idx="7">
                  <c:v>0.111</c:v>
                </c:pt>
                <c:pt idx="8">
                  <c:v>0.111</c:v>
                </c:pt>
                <c:pt idx="9">
                  <c:v>0.111</c:v>
                </c:pt>
                <c:pt idx="10">
                  <c:v>0.111</c:v>
                </c:pt>
                <c:pt idx="11">
                  <c:v>0.111</c:v>
                </c:pt>
                <c:pt idx="12">
                  <c:v>0.111</c:v>
                </c:pt>
                <c:pt idx="13">
                  <c:v>0.111</c:v>
                </c:pt>
                <c:pt idx="14">
                  <c:v>0.111</c:v>
                </c:pt>
                <c:pt idx="15">
                  <c:v>0.111</c:v>
                </c:pt>
                <c:pt idx="16">
                  <c:v>0.111</c:v>
                </c:pt>
                <c:pt idx="17">
                  <c:v>0.111</c:v>
                </c:pt>
                <c:pt idx="18">
                  <c:v>0.111</c:v>
                </c:pt>
                <c:pt idx="19">
                  <c:v>0.111</c:v>
                </c:pt>
                <c:pt idx="20">
                  <c:v>0.111</c:v>
                </c:pt>
                <c:pt idx="21">
                  <c:v>0.111</c:v>
                </c:pt>
                <c:pt idx="22">
                  <c:v>0.111</c:v>
                </c:pt>
                <c:pt idx="23">
                  <c:v>0.111</c:v>
                </c:pt>
                <c:pt idx="24">
                  <c:v>0.111</c:v>
                </c:pt>
              </c:numCache>
            </c:numRef>
          </c:val>
          <c:smooth val="0"/>
          <c:extLst xmlns:c15="http://schemas.microsoft.com/office/drawing/2012/chart">
            <c:ext xmlns:c16="http://schemas.microsoft.com/office/drawing/2014/chart" uri="{C3380CC4-5D6E-409C-BE32-E72D297353CC}">
              <c16:uniqueId val="{00000003-DCFE-4A6C-88E1-D510962A1E45}"/>
            </c:ext>
          </c:extLst>
        </c:ser>
        <c:ser>
          <c:idx val="3"/>
          <c:order val="4"/>
          <c:tx>
            <c:v>אחוזון 75</c:v>
          </c:tx>
          <c:spPr>
            <a:ln w="19050" cap="rnd">
              <a:solidFill>
                <a:schemeClr val="tx1">
                  <a:lumMod val="65000"/>
                  <a:lumOff val="35000"/>
                </a:schemeClr>
              </a:solidFill>
              <a:prstDash val="lgDash"/>
              <a:round/>
            </a:ln>
            <a:effectLst/>
          </c:spPr>
          <c:marker>
            <c:symbol val="none"/>
          </c:marker>
          <c:cat>
            <c:numRef>
              <c:f>[chartbook_TETA.xlsm]data_119!$A$6:$A$30</c:f>
              <c:numCache>
                <c:formatCode>m/d/yyyy</c:formatCode>
                <c:ptCount val="25"/>
                <c:pt idx="0">
                  <c:v>45565</c:v>
                </c:pt>
                <c:pt idx="1">
                  <c:v>45596</c:v>
                </c:pt>
                <c:pt idx="2">
                  <c:v>45626</c:v>
                </c:pt>
                <c:pt idx="3">
                  <c:v>45657</c:v>
                </c:pt>
                <c:pt idx="4">
                  <c:v>45688</c:v>
                </c:pt>
                <c:pt idx="5">
                  <c:v>45716</c:v>
                </c:pt>
                <c:pt idx="6">
                  <c:v>45747</c:v>
                </c:pt>
                <c:pt idx="7">
                  <c:v>45777</c:v>
                </c:pt>
                <c:pt idx="8">
                  <c:v>45808</c:v>
                </c:pt>
                <c:pt idx="9">
                  <c:v>45838</c:v>
                </c:pt>
                <c:pt idx="10">
                  <c:v>45869</c:v>
                </c:pt>
                <c:pt idx="11">
                  <c:v>45900</c:v>
                </c:pt>
                <c:pt idx="12">
                  <c:v>45930</c:v>
                </c:pt>
                <c:pt idx="13">
                  <c:v>45961</c:v>
                </c:pt>
                <c:pt idx="14">
                  <c:v>45991</c:v>
                </c:pt>
                <c:pt idx="15">
                  <c:v>46022</c:v>
                </c:pt>
                <c:pt idx="16">
                  <c:v>46053</c:v>
                </c:pt>
                <c:pt idx="17">
                  <c:v>46081</c:v>
                </c:pt>
                <c:pt idx="18">
                  <c:v>46112</c:v>
                </c:pt>
                <c:pt idx="19">
                  <c:v>46142</c:v>
                </c:pt>
                <c:pt idx="20">
                  <c:v>46173</c:v>
                </c:pt>
                <c:pt idx="21">
                  <c:v>46203</c:v>
                </c:pt>
                <c:pt idx="22">
                  <c:v>46234</c:v>
                </c:pt>
                <c:pt idx="23">
                  <c:v>46265</c:v>
                </c:pt>
                <c:pt idx="24">
                  <c:v>46295</c:v>
                </c:pt>
              </c:numCache>
            </c:numRef>
          </c:cat>
          <c:val>
            <c:numRef>
              <c:f>[chartbook_TETA.xlsm]data_119!$F$6:$F$30</c:f>
              <c:numCache>
                <c:formatCode>General</c:formatCode>
                <c:ptCount val="25"/>
                <c:pt idx="0">
                  <c:v>0.66100000000000003</c:v>
                </c:pt>
                <c:pt idx="1">
                  <c:v>0.66100000000000003</c:v>
                </c:pt>
                <c:pt idx="2">
                  <c:v>0.66100000000000003</c:v>
                </c:pt>
                <c:pt idx="3">
                  <c:v>0.66100000000000003</c:v>
                </c:pt>
                <c:pt idx="4">
                  <c:v>0.66100000000000003</c:v>
                </c:pt>
                <c:pt idx="5">
                  <c:v>0.66100000000000003</c:v>
                </c:pt>
                <c:pt idx="6">
                  <c:v>0.66100000000000003</c:v>
                </c:pt>
                <c:pt idx="7">
                  <c:v>0.66100000000000003</c:v>
                </c:pt>
                <c:pt idx="8">
                  <c:v>0.66100000000000003</c:v>
                </c:pt>
                <c:pt idx="9">
                  <c:v>0.66100000000000003</c:v>
                </c:pt>
                <c:pt idx="10">
                  <c:v>0.66100000000000003</c:v>
                </c:pt>
                <c:pt idx="11">
                  <c:v>0.66100000000000003</c:v>
                </c:pt>
                <c:pt idx="12">
                  <c:v>0.66100000000000003</c:v>
                </c:pt>
                <c:pt idx="13">
                  <c:v>0.66100000000000003</c:v>
                </c:pt>
                <c:pt idx="14">
                  <c:v>0.66100000000000003</c:v>
                </c:pt>
                <c:pt idx="15">
                  <c:v>0.66100000000000003</c:v>
                </c:pt>
                <c:pt idx="16">
                  <c:v>0.66100000000000003</c:v>
                </c:pt>
                <c:pt idx="17">
                  <c:v>0.66100000000000003</c:v>
                </c:pt>
                <c:pt idx="18">
                  <c:v>0.66100000000000003</c:v>
                </c:pt>
                <c:pt idx="19">
                  <c:v>0.66100000000000003</c:v>
                </c:pt>
                <c:pt idx="20">
                  <c:v>0.66100000000000003</c:v>
                </c:pt>
                <c:pt idx="21">
                  <c:v>0.66100000000000003</c:v>
                </c:pt>
                <c:pt idx="22">
                  <c:v>0.66100000000000003</c:v>
                </c:pt>
                <c:pt idx="23">
                  <c:v>0.66100000000000003</c:v>
                </c:pt>
                <c:pt idx="24">
                  <c:v>0.66100000000000003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CFE-4A6C-88E1-D510962A1E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850240"/>
        <c:axId val="80057472"/>
        <c:extLst/>
      </c:lineChart>
      <c:dateAx>
        <c:axId val="71850240"/>
        <c:scaling>
          <c:orientation val="minMax"/>
        </c:scaling>
        <c:delete val="0"/>
        <c:axPos val="b"/>
        <c:numFmt formatCode="mm\-yy" sourceLinked="0"/>
        <c:majorTickMark val="none"/>
        <c:minorTickMark val="none"/>
        <c:tickLblPos val="low"/>
        <c:spPr>
          <a:noFill/>
          <a:ln w="0" cap="flat" cmpd="sng" algn="ctr">
            <a:solidFill>
              <a:schemeClr val="bg2">
                <a:lumMod val="75000"/>
                <a:alpha val="70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1000" b="0" i="0" u="none" strike="noStrike" kern="1200" baseline="0" smtId="4294967295">
                <a:solidFill>
                  <a:schemeClr val="tx2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he-IL"/>
          </a:p>
        </c:txPr>
        <c:crossAx val="80057472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80057472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chemeClr val="bg1">
                  <a:lumMod val="65000"/>
                  <a:alpha val="70000"/>
                </a:schemeClr>
              </a:solidFill>
              <a:prstDash val="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 smtId="4294967295">
                    <a:solidFill>
                      <a:schemeClr val="tx2"/>
                    </a:solidFill>
                    <a:latin typeface="Calibri" panose="020F0502020204030204" pitchFamily="34" charset="0"/>
                    <a:ea typeface="+mn-ea"/>
                    <a:cs typeface="Calibri" panose="020F0502020204030204" pitchFamily="34" charset="0"/>
                  </a:defRPr>
                </a:pPr>
                <a:r>
                  <a:rPr lang="he-IL">
                    <a:latin typeface="Calibri" panose="020F0502020204030204" pitchFamily="34" charset="0"/>
                    <a:cs typeface="Calibri" panose="020F0502020204030204" pitchFamily="34" charset="0"/>
                  </a:rPr>
                  <a:t>%</a:t>
                </a:r>
                <a:endParaRPr lang="en-US">
                  <a:latin typeface="Calibri" panose="020F0502020204030204" pitchFamily="34" charset="0"/>
                  <a:cs typeface="Calibri" panose="020F050202020403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 smtId="4294967295">
                <a:solidFill>
                  <a:schemeClr val="tx2"/>
                </a:solidFill>
                <a:latin typeface="Calibri" panose="020F0502020204030204" pitchFamily="34" charset="0"/>
                <a:ea typeface="+mn-ea"/>
                <a:cs typeface="Calibri" panose="020F0502020204030204" pitchFamily="34" charset="0"/>
              </a:defRPr>
            </a:pPr>
            <a:endParaRPr lang="he-IL"/>
          </a:p>
        </c:txPr>
        <c:crossAx val="718502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804129059322455"/>
          <c:y val="0.88525415613974356"/>
          <c:w val="0.82953977880841956"/>
          <c:h val="9.22949551792461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 smtId="4294967295">
              <a:solidFill>
                <a:schemeClr val="tx2"/>
              </a:solidFill>
              <a:latin typeface="Calibri" panose="020F0502020204030204" pitchFamily="34" charset="0"/>
              <a:ea typeface="+mn-ea"/>
              <a:cs typeface="Calibri" panose="020F0502020204030204" pitchFamily="34" charset="0"/>
            </a:defRPr>
          </a:pPr>
          <a:endParaRPr lang="he-I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65000"/>
          <a:lumOff val="35000"/>
        </a:schemeClr>
      </a:solidFill>
      <a:round/>
    </a:ln>
    <a:effectLst/>
  </c:spPr>
  <c:txPr>
    <a:bodyPr/>
    <a:lstStyle/>
    <a:p>
      <a:pPr>
        <a:defRPr sz="1200" b="0" smtId="4294967295">
          <a:latin typeface="+mn-lt"/>
          <a:cs typeface="Segoe UI" panose="020B0502040204020203" pitchFamily="34" charset="0"/>
        </a:defRPr>
      </a:pPr>
      <a:endParaRPr lang="he-I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1520</Characters>
  <Application>Microsoft Office Word</Application>
  <DocSecurity>4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2026-11-03T13:23:00Z</dcterms:created>
  <dcterms:modified xsi:type="dcterms:W3CDTF">2026-11-03T13:23:00Z</dcterms:modified>
</cp:coreProperties>
</file>