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jc w:val="center"/>
        <w:tblLayout w:type="fixed"/>
        <w:tblLook w:val="0000" w:firstRow="0" w:lastRow="0" w:firstColumn="0" w:lastColumn="0" w:noHBand="0" w:noVBand="0"/>
      </w:tblPr>
      <w:tblGrid>
        <w:gridCol w:w="2840"/>
        <w:gridCol w:w="2596"/>
        <w:gridCol w:w="3084"/>
      </w:tblGrid>
      <w:tr w:rsidR="002E74E8" w:rsidRPr="00DB1CBC" w:rsidTr="00413E9E">
        <w:trPr>
          <w:jc w:val="center"/>
        </w:trPr>
        <w:tc>
          <w:tcPr>
            <w:tcW w:w="2840" w:type="dxa"/>
            <w:tcBorders>
              <w:top w:val="nil"/>
              <w:left w:val="nil"/>
              <w:bottom w:val="nil"/>
              <w:right w:val="nil"/>
            </w:tcBorders>
            <w:vAlign w:val="center"/>
          </w:tcPr>
          <w:p w:rsidR="002E74E8" w:rsidRPr="00520BB4" w:rsidRDefault="002E74E8" w:rsidP="00413E9E">
            <w:pPr>
              <w:spacing w:line="360" w:lineRule="auto"/>
              <w:jc w:val="center"/>
              <w:rPr>
                <w:rFonts w:cs="David"/>
                <w:b/>
                <w:bCs/>
                <w:sz w:val="28"/>
                <w:szCs w:val="28"/>
              </w:rPr>
            </w:pPr>
            <w:r w:rsidRPr="00520BB4">
              <w:rPr>
                <w:rFonts w:cs="David"/>
                <w:b/>
                <w:bCs/>
                <w:sz w:val="28"/>
                <w:szCs w:val="28"/>
                <w:rtl/>
              </w:rPr>
              <w:t>בנ</w:t>
            </w:r>
            <w:r w:rsidRPr="00520BB4">
              <w:rPr>
                <w:rFonts w:cs="David" w:hint="cs"/>
                <w:b/>
                <w:bCs/>
                <w:sz w:val="28"/>
                <w:szCs w:val="28"/>
                <w:rtl/>
              </w:rPr>
              <w:t xml:space="preserve">ק </w:t>
            </w:r>
            <w:r w:rsidRPr="00520BB4">
              <w:rPr>
                <w:rFonts w:cs="David"/>
                <w:b/>
                <w:bCs/>
                <w:sz w:val="28"/>
                <w:szCs w:val="28"/>
                <w:rtl/>
              </w:rPr>
              <w:t>יש</w:t>
            </w:r>
            <w:r w:rsidRPr="00520BB4">
              <w:rPr>
                <w:rFonts w:cs="David" w:hint="cs"/>
                <w:b/>
                <w:bCs/>
                <w:sz w:val="28"/>
                <w:szCs w:val="28"/>
                <w:rtl/>
              </w:rPr>
              <w:t>ראל</w:t>
            </w:r>
          </w:p>
          <w:p w:rsidR="002E74E8" w:rsidRDefault="002E74E8" w:rsidP="00413E9E">
            <w:pPr>
              <w:spacing w:line="360" w:lineRule="auto"/>
              <w:ind w:right="-101"/>
              <w:jc w:val="center"/>
              <w:rPr>
                <w:sz w:val="24"/>
                <w:szCs w:val="24"/>
              </w:rPr>
            </w:pPr>
            <w:r w:rsidRPr="00520BB4">
              <w:rPr>
                <w:rFonts w:cs="David"/>
                <w:sz w:val="24"/>
                <w:szCs w:val="24"/>
                <w:rtl/>
              </w:rPr>
              <w:t>דו</w:t>
            </w:r>
            <w:r w:rsidRPr="00520BB4">
              <w:rPr>
                <w:rFonts w:cs="David" w:hint="cs"/>
                <w:sz w:val="24"/>
                <w:szCs w:val="24"/>
                <w:rtl/>
              </w:rPr>
              <w:t>בר</w:t>
            </w:r>
            <w:r w:rsidRPr="00520BB4">
              <w:rPr>
                <w:rFonts w:cs="David"/>
                <w:sz w:val="24"/>
                <w:szCs w:val="24"/>
                <w:rtl/>
              </w:rPr>
              <w:t>ות</w:t>
            </w:r>
            <w:r w:rsidRPr="00520BB4">
              <w:rPr>
                <w:rFonts w:cs="David" w:hint="cs"/>
                <w:sz w:val="24"/>
                <w:szCs w:val="24"/>
                <w:rtl/>
              </w:rPr>
              <w:t xml:space="preserve"> והסברה כלכלית</w:t>
            </w:r>
          </w:p>
        </w:tc>
        <w:tc>
          <w:tcPr>
            <w:tcW w:w="2596" w:type="dxa"/>
            <w:tcBorders>
              <w:top w:val="nil"/>
              <w:left w:val="nil"/>
              <w:bottom w:val="nil"/>
              <w:right w:val="nil"/>
            </w:tcBorders>
          </w:tcPr>
          <w:p w:rsidR="002E74E8" w:rsidRDefault="002E74E8" w:rsidP="00413E9E">
            <w:pPr>
              <w:jc w:val="center"/>
            </w:pPr>
            <w:r>
              <w:rPr>
                <w:noProof/>
                <w:rtl/>
              </w:rPr>
              <w:drawing>
                <wp:inline distT="0" distB="0" distL="0" distR="0" wp14:anchorId="6745008B" wp14:editId="5D32C7A9">
                  <wp:extent cx="981886" cy="542925"/>
                  <wp:effectExtent l="0" t="0" r="8890" b="0"/>
                  <wp:docPr id="2" name="תמונה 2" descr="C:\Users\u20m\AppData\Local\Microsoft\Windows\Temporary Internet Files\Content.Outlook\QG6DHDKN\60Y+bank_Color_CMYK_300D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20m\AppData\Local\Microsoft\Windows\Temporary Internet Files\Content.Outlook\QG6DHDKN\60Y+bank_Color_CMYK_300DPI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886" cy="542925"/>
                          </a:xfrm>
                          <a:prstGeom prst="rect">
                            <a:avLst/>
                          </a:prstGeom>
                          <a:noFill/>
                          <a:ln>
                            <a:noFill/>
                          </a:ln>
                        </pic:spPr>
                      </pic:pic>
                    </a:graphicData>
                  </a:graphic>
                </wp:inline>
              </w:drawing>
            </w:r>
          </w:p>
        </w:tc>
        <w:tc>
          <w:tcPr>
            <w:tcW w:w="3084" w:type="dxa"/>
            <w:tcBorders>
              <w:top w:val="nil"/>
              <w:left w:val="nil"/>
              <w:bottom w:val="nil"/>
              <w:right w:val="nil"/>
            </w:tcBorders>
            <w:vAlign w:val="center"/>
          </w:tcPr>
          <w:p w:rsidR="002E74E8" w:rsidRDefault="002E74E8" w:rsidP="00413E9E">
            <w:pPr>
              <w:spacing w:line="480" w:lineRule="auto"/>
              <w:jc w:val="right"/>
              <w:rPr>
                <w:rFonts w:cs="David"/>
                <w:sz w:val="24"/>
                <w:szCs w:val="24"/>
              </w:rPr>
            </w:pPr>
            <w:r>
              <w:rPr>
                <w:rFonts w:cs="David" w:hint="eastAsia"/>
                <w:sz w:val="24"/>
                <w:szCs w:val="24"/>
                <w:rtl/>
              </w:rPr>
              <w:t>‏</w:t>
            </w:r>
            <w:r>
              <w:rPr>
                <w:rFonts w:cs="David" w:hint="cs"/>
                <w:sz w:val="24"/>
                <w:szCs w:val="24"/>
                <w:rtl/>
              </w:rPr>
              <w:t>ירושלים, י"א בסיון ה</w:t>
            </w:r>
            <w:r>
              <w:rPr>
                <w:rFonts w:cs="David"/>
                <w:sz w:val="24"/>
                <w:szCs w:val="24"/>
                <w:rtl/>
              </w:rPr>
              <w:t>תשע"</w:t>
            </w:r>
            <w:r>
              <w:rPr>
                <w:rFonts w:cs="David" w:hint="cs"/>
                <w:sz w:val="24"/>
                <w:szCs w:val="24"/>
                <w:rtl/>
              </w:rPr>
              <w:t>ד</w:t>
            </w:r>
          </w:p>
          <w:p w:rsidR="002E74E8" w:rsidRPr="00DF107C" w:rsidRDefault="002E74E8" w:rsidP="00413E9E">
            <w:pPr>
              <w:spacing w:line="480" w:lineRule="auto"/>
              <w:jc w:val="right"/>
              <w:rPr>
                <w:rFonts w:cs="David"/>
                <w:sz w:val="24"/>
                <w:szCs w:val="24"/>
              </w:rPr>
            </w:pPr>
            <w:r>
              <w:rPr>
                <w:rFonts w:cs="David" w:hint="eastAsia"/>
                <w:sz w:val="24"/>
                <w:szCs w:val="24"/>
                <w:rtl/>
              </w:rPr>
              <w:t>‏‏</w:t>
            </w:r>
            <w:r>
              <w:rPr>
                <w:rFonts w:cs="David" w:hint="cs"/>
                <w:sz w:val="24"/>
                <w:szCs w:val="24"/>
                <w:rtl/>
              </w:rPr>
              <w:t>9 ביוני 2014</w:t>
            </w:r>
          </w:p>
        </w:tc>
      </w:tr>
    </w:tbl>
    <w:p w:rsidR="002E74E8" w:rsidRDefault="002E74E8" w:rsidP="002E74E8">
      <w:pPr>
        <w:spacing w:line="360" w:lineRule="auto"/>
        <w:ind w:right="-101"/>
        <w:rPr>
          <w:rFonts w:cs="David"/>
          <w:sz w:val="24"/>
          <w:szCs w:val="24"/>
          <w:rtl/>
        </w:rPr>
      </w:pPr>
      <w:r w:rsidRPr="007E18EE">
        <w:rPr>
          <w:rFonts w:cs="David" w:hint="cs"/>
          <w:sz w:val="24"/>
          <w:szCs w:val="24"/>
          <w:rtl/>
        </w:rPr>
        <w:t>הודעה לעיתונות:</w:t>
      </w:r>
    </w:p>
    <w:p w:rsidR="00B721A8" w:rsidRPr="002E74E8" w:rsidRDefault="0012699D" w:rsidP="00AA675E">
      <w:pPr>
        <w:spacing w:line="360" w:lineRule="auto"/>
        <w:jc w:val="center"/>
        <w:rPr>
          <w:rFonts w:cs="David"/>
          <w:b/>
          <w:bCs/>
          <w:sz w:val="24"/>
          <w:szCs w:val="24"/>
          <w:u w:val="single"/>
          <w:rtl/>
        </w:rPr>
      </w:pPr>
      <w:r w:rsidRPr="002E74E8">
        <w:rPr>
          <w:rFonts w:cs="David" w:hint="cs"/>
          <w:b/>
          <w:bCs/>
          <w:sz w:val="24"/>
          <w:szCs w:val="24"/>
          <w:u w:val="single"/>
          <w:rtl/>
        </w:rPr>
        <w:t>עיקרי דבריו של אנדרו אביר, מנהל חטיבת השווקים, בדיון בוועדת הכספים בנושא מדיניות בנק ישראל בשוק המט"ח</w:t>
      </w:r>
    </w:p>
    <w:p w:rsidR="0012699D" w:rsidRPr="004665BD" w:rsidRDefault="0012699D" w:rsidP="002E74E8">
      <w:pPr>
        <w:jc w:val="both"/>
        <w:rPr>
          <w:rFonts w:cs="David"/>
          <w:i/>
          <w:iCs/>
          <w:sz w:val="24"/>
          <w:szCs w:val="24"/>
          <w:rtl/>
        </w:rPr>
      </w:pPr>
      <w:r w:rsidRPr="004665BD">
        <w:rPr>
          <w:rFonts w:cs="David" w:hint="cs"/>
          <w:i/>
          <w:iCs/>
          <w:sz w:val="24"/>
          <w:szCs w:val="24"/>
          <w:rtl/>
        </w:rPr>
        <w:t xml:space="preserve">מר אנדרו אביר, מנהל חטיבת השווקים בבנק ישראל, השתתף היום בדיון בוועדת הכספים של הכנסת בנושא מדיניות בנק ישראל בשוק המט"ח. להלן עיקרי דבריו. </w:t>
      </w:r>
    </w:p>
    <w:p w:rsidR="00317C08" w:rsidRPr="002E74E8" w:rsidRDefault="0012699D" w:rsidP="00AE64B0">
      <w:pPr>
        <w:spacing w:line="360" w:lineRule="auto"/>
        <w:jc w:val="both"/>
        <w:rPr>
          <w:rFonts w:cs="David"/>
          <w:sz w:val="24"/>
          <w:szCs w:val="24"/>
          <w:rtl/>
        </w:rPr>
      </w:pPr>
      <w:r w:rsidRPr="002E74E8">
        <w:rPr>
          <w:rFonts w:cs="David" w:hint="cs"/>
          <w:sz w:val="24"/>
          <w:szCs w:val="24"/>
          <w:rtl/>
        </w:rPr>
        <w:t>אנו שותפים לדאגה שחברי הכנסת הביעו ל</w:t>
      </w:r>
      <w:r w:rsidR="00E54C3F">
        <w:rPr>
          <w:rFonts w:cs="David" w:hint="cs"/>
          <w:sz w:val="24"/>
          <w:szCs w:val="24"/>
          <w:rtl/>
        </w:rPr>
        <w:t xml:space="preserve">גבי מצב </w:t>
      </w:r>
      <w:r w:rsidRPr="002E74E8">
        <w:rPr>
          <w:rFonts w:cs="David" w:hint="cs"/>
          <w:sz w:val="24"/>
          <w:szCs w:val="24"/>
          <w:rtl/>
        </w:rPr>
        <w:t xml:space="preserve">היצוא, ורבים </w:t>
      </w:r>
      <w:r w:rsidR="00FB405F">
        <w:rPr>
          <w:rFonts w:cs="David" w:hint="cs"/>
          <w:sz w:val="24"/>
          <w:szCs w:val="24"/>
          <w:rtl/>
        </w:rPr>
        <w:t>מ</w:t>
      </w:r>
      <w:r w:rsidRPr="002E74E8">
        <w:rPr>
          <w:rFonts w:cs="David" w:hint="cs"/>
          <w:sz w:val="24"/>
          <w:szCs w:val="24"/>
          <w:rtl/>
        </w:rPr>
        <w:t xml:space="preserve">הצעדים שעשינו בשנים </w:t>
      </w:r>
      <w:r w:rsidR="00E54C3F">
        <w:rPr>
          <w:rFonts w:cs="David" w:hint="cs"/>
          <w:sz w:val="24"/>
          <w:szCs w:val="24"/>
          <w:rtl/>
        </w:rPr>
        <w:t>ה</w:t>
      </w:r>
      <w:r w:rsidRPr="002E74E8">
        <w:rPr>
          <w:rFonts w:cs="David" w:hint="cs"/>
          <w:sz w:val="24"/>
          <w:szCs w:val="24"/>
          <w:rtl/>
        </w:rPr>
        <w:t>אחרונות נובעים מדאגה זו. ההחלטה להתערב ב</w:t>
      </w:r>
      <w:r w:rsidR="00E54C3F">
        <w:rPr>
          <w:rFonts w:cs="David" w:hint="cs"/>
          <w:sz w:val="24"/>
          <w:szCs w:val="24"/>
          <w:rtl/>
        </w:rPr>
        <w:t xml:space="preserve">שוק המט"ח בשנת </w:t>
      </w:r>
      <w:r w:rsidRPr="002E74E8">
        <w:rPr>
          <w:rFonts w:cs="David" w:hint="cs"/>
          <w:sz w:val="24"/>
          <w:szCs w:val="24"/>
          <w:rtl/>
        </w:rPr>
        <w:t xml:space="preserve">2008 </w:t>
      </w:r>
      <w:r w:rsidR="00E54C3F">
        <w:rPr>
          <w:rFonts w:cs="David" w:hint="cs"/>
          <w:sz w:val="24"/>
          <w:szCs w:val="24"/>
          <w:rtl/>
        </w:rPr>
        <w:t>כדי להגדיל את רמת יתרות המט"ח באה על רקע המשבר העולמי ו</w:t>
      </w:r>
      <w:r w:rsidRPr="002E74E8">
        <w:rPr>
          <w:rFonts w:cs="David" w:hint="cs"/>
          <w:sz w:val="24"/>
          <w:szCs w:val="24"/>
          <w:rtl/>
        </w:rPr>
        <w:t xml:space="preserve">הירידה בסחר העולמי, שהוא המשתנה העיקרי המשפיע על </w:t>
      </w:r>
      <w:r w:rsidR="00D6276D">
        <w:rPr>
          <w:rFonts w:cs="David" w:hint="cs"/>
          <w:sz w:val="24"/>
          <w:szCs w:val="24"/>
          <w:rtl/>
        </w:rPr>
        <w:t>היצוא הישראלי</w:t>
      </w:r>
      <w:r w:rsidRPr="002E74E8">
        <w:rPr>
          <w:rFonts w:cs="David" w:hint="cs"/>
          <w:sz w:val="24"/>
          <w:szCs w:val="24"/>
          <w:rtl/>
        </w:rPr>
        <w:t>, מבלי להתעלם כמובן משער החליפין. עד 2008 הסחר העולמי צמח בסדר גודל של 5% לשנה, ומאז 2008 הצמיחה ירדה לכ-2.5%, וזו הבעיה העיקרית</w:t>
      </w:r>
      <w:r w:rsidR="00E54C3F">
        <w:rPr>
          <w:rFonts w:cs="David" w:hint="cs"/>
          <w:sz w:val="24"/>
          <w:szCs w:val="24"/>
          <w:rtl/>
        </w:rPr>
        <w:t xml:space="preserve"> איתה מתמודד היצוא</w:t>
      </w:r>
      <w:r w:rsidRPr="002E74E8">
        <w:rPr>
          <w:rFonts w:cs="David" w:hint="cs"/>
          <w:sz w:val="24"/>
          <w:szCs w:val="24"/>
          <w:rtl/>
        </w:rPr>
        <w:t xml:space="preserve">. </w:t>
      </w:r>
    </w:p>
    <w:p w:rsidR="00317C08" w:rsidRPr="002E74E8" w:rsidRDefault="00317C08" w:rsidP="00AE64B0">
      <w:pPr>
        <w:spacing w:line="360" w:lineRule="auto"/>
        <w:jc w:val="both"/>
        <w:rPr>
          <w:rFonts w:cs="David"/>
          <w:sz w:val="24"/>
          <w:szCs w:val="24"/>
          <w:rtl/>
        </w:rPr>
      </w:pPr>
      <w:r w:rsidRPr="002E74E8">
        <w:rPr>
          <w:rFonts w:cs="David" w:hint="cs"/>
          <w:sz w:val="24"/>
          <w:szCs w:val="24"/>
          <w:rtl/>
        </w:rPr>
        <w:t xml:space="preserve">ניתן לראות (שקף 2) את התנודתיות הרבה בשער החליפין לאורך זמן, ושהיו תקופות, לא בעבר הרחוק, בהן מגמת שער החליפין הייתה שונה מאוד מהמגמה </w:t>
      </w:r>
      <w:r w:rsidR="002E74E8" w:rsidRPr="002E74E8">
        <w:rPr>
          <w:rFonts w:cs="David" w:hint="cs"/>
          <w:sz w:val="24"/>
          <w:szCs w:val="24"/>
          <w:rtl/>
        </w:rPr>
        <w:t>הנוכחית</w:t>
      </w:r>
      <w:r w:rsidRPr="002E74E8">
        <w:rPr>
          <w:rFonts w:cs="David" w:hint="cs"/>
          <w:sz w:val="24"/>
          <w:szCs w:val="24"/>
          <w:rtl/>
        </w:rPr>
        <w:t xml:space="preserve"> </w:t>
      </w:r>
      <w:r w:rsidRPr="002E74E8">
        <w:rPr>
          <w:rFonts w:cs="David"/>
          <w:sz w:val="24"/>
          <w:szCs w:val="24"/>
          <w:rtl/>
        </w:rPr>
        <w:t>–</w:t>
      </w:r>
      <w:r w:rsidRPr="002E74E8">
        <w:rPr>
          <w:rFonts w:cs="David" w:hint="cs"/>
          <w:sz w:val="24"/>
          <w:szCs w:val="24"/>
          <w:rtl/>
        </w:rPr>
        <w:t xml:space="preserve"> למשל, הפיחות החד על רקע קריסת המניות </w:t>
      </w:r>
      <w:r w:rsidR="002E74E8" w:rsidRPr="002E74E8">
        <w:rPr>
          <w:rFonts w:cs="David" w:hint="cs"/>
          <w:sz w:val="24"/>
          <w:szCs w:val="24"/>
          <w:rtl/>
        </w:rPr>
        <w:t>בנ</w:t>
      </w:r>
      <w:r w:rsidR="00E54C3F">
        <w:rPr>
          <w:rFonts w:cs="David" w:hint="cs"/>
          <w:sz w:val="24"/>
          <w:szCs w:val="24"/>
          <w:rtl/>
        </w:rPr>
        <w:t>א</w:t>
      </w:r>
      <w:r w:rsidR="002E74E8" w:rsidRPr="002E74E8">
        <w:rPr>
          <w:rFonts w:cs="David" w:hint="cs"/>
          <w:sz w:val="24"/>
          <w:szCs w:val="24"/>
          <w:rtl/>
        </w:rPr>
        <w:t>סדק</w:t>
      </w:r>
      <w:r w:rsidRPr="002E74E8">
        <w:rPr>
          <w:rFonts w:cs="David" w:hint="cs"/>
          <w:sz w:val="24"/>
          <w:szCs w:val="24"/>
          <w:rtl/>
        </w:rPr>
        <w:t xml:space="preserve"> והאינתיפאדה השנייה, או פיחות נוסף על רקע המשבר הכלכלי העולמי וההתערבות של בנק ישראל בשוק המט"ח. </w:t>
      </w:r>
    </w:p>
    <w:p w:rsidR="00317C08" w:rsidRPr="002E74E8" w:rsidRDefault="00317C08" w:rsidP="002C6FE0">
      <w:pPr>
        <w:spacing w:line="360" w:lineRule="auto"/>
        <w:jc w:val="both"/>
        <w:rPr>
          <w:rFonts w:cs="David"/>
          <w:sz w:val="24"/>
          <w:szCs w:val="24"/>
          <w:rtl/>
        </w:rPr>
      </w:pPr>
      <w:r w:rsidRPr="00E54C3F">
        <w:rPr>
          <w:rFonts w:cs="David" w:hint="cs"/>
          <w:b/>
          <w:bCs/>
          <w:sz w:val="24"/>
          <w:szCs w:val="24"/>
          <w:rtl/>
        </w:rPr>
        <w:t>בתקופה האחרונה איננו עדים לפעילות של ספקולנטים</w:t>
      </w:r>
      <w:r w:rsidR="00E54C3F" w:rsidRPr="00E54C3F">
        <w:rPr>
          <w:rFonts w:cs="David" w:hint="cs"/>
          <w:b/>
          <w:bCs/>
          <w:sz w:val="24"/>
          <w:szCs w:val="24"/>
          <w:rtl/>
        </w:rPr>
        <w:t xml:space="preserve"> בשוק</w:t>
      </w:r>
      <w:r w:rsidRPr="002E74E8">
        <w:rPr>
          <w:rFonts w:cs="David" w:hint="cs"/>
          <w:sz w:val="24"/>
          <w:szCs w:val="24"/>
          <w:rtl/>
        </w:rPr>
        <w:t xml:space="preserve">. </w:t>
      </w:r>
      <w:r w:rsidR="00E54C3F">
        <w:rPr>
          <w:rFonts w:cs="David" w:hint="cs"/>
          <w:sz w:val="24"/>
          <w:szCs w:val="24"/>
          <w:rtl/>
        </w:rPr>
        <w:t xml:space="preserve">היקפי רכישות ומכירות המט"ח של הפעילים הזרים </w:t>
      </w:r>
      <w:r w:rsidR="00D6276D">
        <w:rPr>
          <w:rFonts w:cs="David" w:hint="cs"/>
          <w:sz w:val="24"/>
          <w:szCs w:val="24"/>
          <w:rtl/>
        </w:rPr>
        <w:t xml:space="preserve">דומים כך שבסך הכל פעילות הגופים הזרים </w:t>
      </w:r>
      <w:r w:rsidR="00025596">
        <w:rPr>
          <w:rFonts w:cs="David" w:hint="cs"/>
          <w:sz w:val="24"/>
          <w:szCs w:val="24"/>
          <w:rtl/>
        </w:rPr>
        <w:t xml:space="preserve">לא היתה גורם מרכזי </w:t>
      </w:r>
      <w:r w:rsidR="00D6276D">
        <w:rPr>
          <w:rFonts w:cs="David" w:hint="cs"/>
          <w:sz w:val="24"/>
          <w:szCs w:val="24"/>
          <w:rtl/>
        </w:rPr>
        <w:t xml:space="preserve"> </w:t>
      </w:r>
      <w:r w:rsidR="00025596">
        <w:rPr>
          <w:rFonts w:cs="David" w:hint="cs"/>
          <w:sz w:val="24"/>
          <w:szCs w:val="24"/>
          <w:rtl/>
        </w:rPr>
        <w:t xml:space="preserve">במסחר במט"ח </w:t>
      </w:r>
      <w:r w:rsidR="00D6276D">
        <w:rPr>
          <w:rFonts w:cs="David" w:hint="cs"/>
          <w:sz w:val="24"/>
          <w:szCs w:val="24"/>
          <w:rtl/>
        </w:rPr>
        <w:t>בשנים 2013 ו</w:t>
      </w:r>
      <w:r w:rsidR="00025596">
        <w:rPr>
          <w:rFonts w:cs="David" w:hint="cs"/>
          <w:sz w:val="24"/>
          <w:szCs w:val="24"/>
          <w:rtl/>
        </w:rPr>
        <w:t>-</w:t>
      </w:r>
      <w:r w:rsidR="00AE64B0">
        <w:rPr>
          <w:rFonts w:cs="David" w:hint="cs"/>
          <w:sz w:val="24"/>
          <w:szCs w:val="24"/>
          <w:rtl/>
        </w:rPr>
        <w:t>2014</w:t>
      </w:r>
      <w:r w:rsidR="00D6276D">
        <w:rPr>
          <w:rFonts w:cs="David" w:hint="cs"/>
          <w:sz w:val="24"/>
          <w:szCs w:val="24"/>
          <w:rtl/>
        </w:rPr>
        <w:t>.</w:t>
      </w:r>
      <w:r w:rsidR="00E54C3F">
        <w:rPr>
          <w:rFonts w:cs="David" w:hint="cs"/>
          <w:sz w:val="24"/>
          <w:szCs w:val="24"/>
          <w:rtl/>
        </w:rPr>
        <w:t xml:space="preserve"> </w:t>
      </w:r>
      <w:r w:rsidR="002E74E8" w:rsidRPr="002E74E8">
        <w:rPr>
          <w:rFonts w:cs="David" w:hint="cs"/>
          <w:sz w:val="24"/>
          <w:szCs w:val="24"/>
          <w:rtl/>
        </w:rPr>
        <w:t>שני הגורמים העיקריים ש</w:t>
      </w:r>
      <w:r w:rsidR="00E54C3F">
        <w:rPr>
          <w:rFonts w:cs="David" w:hint="cs"/>
          <w:sz w:val="24"/>
          <w:szCs w:val="24"/>
          <w:rtl/>
        </w:rPr>
        <w:t>פ</w:t>
      </w:r>
      <w:r w:rsidR="002E74E8" w:rsidRPr="002E74E8">
        <w:rPr>
          <w:rFonts w:cs="David" w:hint="cs"/>
          <w:sz w:val="24"/>
          <w:szCs w:val="24"/>
          <w:rtl/>
        </w:rPr>
        <w:t>עלו לתיסוף השקל בתקופה האחרונה מייצגים</w:t>
      </w:r>
      <w:r w:rsidR="002E74E8">
        <w:rPr>
          <w:rFonts w:cs="David" w:hint="cs"/>
          <w:sz w:val="24"/>
          <w:szCs w:val="24"/>
          <w:rtl/>
        </w:rPr>
        <w:t xml:space="preserve"> </w:t>
      </w:r>
      <w:r w:rsidR="002E74E8" w:rsidRPr="002E74E8">
        <w:rPr>
          <w:rFonts w:cs="David" w:hint="cs"/>
          <w:sz w:val="24"/>
          <w:szCs w:val="24"/>
          <w:rtl/>
        </w:rPr>
        <w:t xml:space="preserve">את המצב </w:t>
      </w:r>
      <w:r w:rsidR="002E74E8">
        <w:rPr>
          <w:rFonts w:cs="David" w:hint="cs"/>
          <w:sz w:val="24"/>
          <w:szCs w:val="24"/>
          <w:rtl/>
        </w:rPr>
        <w:t>הטוב</w:t>
      </w:r>
      <w:r w:rsidR="002E74E8" w:rsidRPr="002E74E8">
        <w:rPr>
          <w:rFonts w:cs="David" w:hint="cs"/>
          <w:sz w:val="24"/>
          <w:szCs w:val="24"/>
          <w:rtl/>
        </w:rPr>
        <w:t xml:space="preserve"> יחסית של המשק הישראלי (שקף 3) </w:t>
      </w:r>
      <w:r w:rsidR="002E74E8" w:rsidRPr="002E74E8">
        <w:rPr>
          <w:rFonts w:cs="David"/>
          <w:sz w:val="24"/>
          <w:szCs w:val="24"/>
          <w:rtl/>
        </w:rPr>
        <w:t>–</w:t>
      </w:r>
      <w:r w:rsidR="002E74E8" w:rsidRPr="002E74E8">
        <w:rPr>
          <w:rFonts w:cs="David" w:hint="cs"/>
          <w:sz w:val="24"/>
          <w:szCs w:val="24"/>
          <w:rtl/>
        </w:rPr>
        <w:t xml:space="preserve"> העודף בחשבון השוטף, והזרם הגדול</w:t>
      </w:r>
      <w:bookmarkStart w:id="0" w:name="_GoBack"/>
      <w:bookmarkEnd w:id="0"/>
      <w:r w:rsidR="002E74E8" w:rsidRPr="002E74E8">
        <w:rPr>
          <w:rFonts w:cs="David" w:hint="cs"/>
          <w:sz w:val="24"/>
          <w:szCs w:val="24"/>
          <w:rtl/>
        </w:rPr>
        <w:t xml:space="preserve"> של השקעות ישירות שנכנס למשק. </w:t>
      </w:r>
    </w:p>
    <w:p w:rsidR="00317C08" w:rsidRPr="002E74E8" w:rsidRDefault="00317C08" w:rsidP="00AE64B0">
      <w:pPr>
        <w:spacing w:line="360" w:lineRule="auto"/>
        <w:jc w:val="both"/>
        <w:rPr>
          <w:rFonts w:cs="David"/>
          <w:sz w:val="24"/>
          <w:szCs w:val="24"/>
          <w:rtl/>
        </w:rPr>
      </w:pPr>
      <w:r w:rsidRPr="002E74E8">
        <w:rPr>
          <w:rFonts w:cs="David" w:hint="cs"/>
          <w:sz w:val="24"/>
          <w:szCs w:val="24"/>
          <w:rtl/>
        </w:rPr>
        <w:t xml:space="preserve">התערבות בנק ישראל בשוק המט"ח החלה </w:t>
      </w:r>
      <w:r w:rsidR="002E74E8" w:rsidRPr="002E74E8">
        <w:rPr>
          <w:rFonts w:cs="David" w:hint="cs"/>
          <w:sz w:val="24"/>
          <w:szCs w:val="24"/>
          <w:rtl/>
        </w:rPr>
        <w:t>ב</w:t>
      </w:r>
      <w:r w:rsidR="002E74E8">
        <w:rPr>
          <w:rFonts w:cs="David" w:hint="cs"/>
          <w:sz w:val="24"/>
          <w:szCs w:val="24"/>
          <w:rtl/>
        </w:rPr>
        <w:t>ש</w:t>
      </w:r>
      <w:r w:rsidR="002E74E8" w:rsidRPr="002E74E8">
        <w:rPr>
          <w:rFonts w:cs="David" w:hint="cs"/>
          <w:sz w:val="24"/>
          <w:szCs w:val="24"/>
          <w:rtl/>
        </w:rPr>
        <w:t>נת</w:t>
      </w:r>
      <w:r w:rsidRPr="002E74E8">
        <w:rPr>
          <w:rFonts w:cs="David" w:hint="cs"/>
          <w:sz w:val="24"/>
          <w:szCs w:val="24"/>
          <w:rtl/>
        </w:rPr>
        <w:t xml:space="preserve"> 2008 (שקף 4), לאור העובדה שבנק ישראל ראה לנכון להגדיל את יתרות המט"ח שמהוות את מחסני החירום של המשק הישראלי. ב-2009 החלה ההתערבות על פי המדיניות  החדשה, כאשר בנק ישראל </w:t>
      </w:r>
      <w:r w:rsidR="002E74E8" w:rsidRPr="002E74E8">
        <w:rPr>
          <w:rFonts w:cs="David" w:hint="cs"/>
          <w:sz w:val="24"/>
          <w:szCs w:val="24"/>
          <w:rtl/>
        </w:rPr>
        <w:t xml:space="preserve">מתערב </w:t>
      </w:r>
      <w:r w:rsidR="00FB405F" w:rsidRPr="00FB405F">
        <w:rPr>
          <w:rFonts w:cs="David" w:hint="cs"/>
          <w:sz w:val="24"/>
          <w:szCs w:val="24"/>
          <w:rtl/>
        </w:rPr>
        <w:t>בשוק</w:t>
      </w:r>
      <w:r w:rsidR="00FB405F" w:rsidRPr="00FB405F">
        <w:rPr>
          <w:rFonts w:cs="David"/>
          <w:sz w:val="24"/>
          <w:szCs w:val="24"/>
          <w:rtl/>
        </w:rPr>
        <w:t xml:space="preserve"> </w:t>
      </w:r>
      <w:r w:rsidR="00FB405F" w:rsidRPr="00FB405F">
        <w:rPr>
          <w:rFonts w:cs="David" w:hint="cs"/>
          <w:sz w:val="24"/>
          <w:szCs w:val="24"/>
          <w:rtl/>
        </w:rPr>
        <w:t>המט</w:t>
      </w:r>
      <w:r w:rsidR="00FB405F" w:rsidRPr="00FB405F">
        <w:rPr>
          <w:rFonts w:cs="David"/>
          <w:sz w:val="24"/>
          <w:szCs w:val="24"/>
          <w:rtl/>
        </w:rPr>
        <w:t>"</w:t>
      </w:r>
      <w:r w:rsidR="00FB405F" w:rsidRPr="00FB405F">
        <w:rPr>
          <w:rFonts w:cs="David" w:hint="cs"/>
          <w:sz w:val="24"/>
          <w:szCs w:val="24"/>
          <w:rtl/>
        </w:rPr>
        <w:t>ח</w:t>
      </w:r>
      <w:r w:rsidR="00FB405F" w:rsidRPr="00FB405F">
        <w:rPr>
          <w:rFonts w:cs="David"/>
          <w:sz w:val="24"/>
          <w:szCs w:val="24"/>
          <w:rtl/>
        </w:rPr>
        <w:t xml:space="preserve"> </w:t>
      </w:r>
      <w:r w:rsidR="00FB405F">
        <w:rPr>
          <w:rFonts w:cs="David" w:hint="cs"/>
          <w:sz w:val="24"/>
          <w:szCs w:val="24"/>
          <w:rtl/>
        </w:rPr>
        <w:t>במקרים</w:t>
      </w:r>
      <w:r w:rsidR="00FB405F" w:rsidRPr="00FB405F">
        <w:rPr>
          <w:rFonts w:cs="David"/>
          <w:sz w:val="24"/>
          <w:szCs w:val="24"/>
          <w:rtl/>
        </w:rPr>
        <w:t xml:space="preserve"> </w:t>
      </w:r>
      <w:r w:rsidR="00FB405F" w:rsidRPr="00FB405F">
        <w:rPr>
          <w:rFonts w:cs="David" w:hint="cs"/>
          <w:sz w:val="24"/>
          <w:szCs w:val="24"/>
          <w:rtl/>
        </w:rPr>
        <w:t>של</w:t>
      </w:r>
      <w:r w:rsidR="00FB405F" w:rsidRPr="00FB405F">
        <w:rPr>
          <w:rFonts w:cs="David"/>
          <w:sz w:val="24"/>
          <w:szCs w:val="24"/>
          <w:rtl/>
        </w:rPr>
        <w:t xml:space="preserve"> </w:t>
      </w:r>
      <w:r w:rsidR="00FB405F" w:rsidRPr="00FB405F">
        <w:rPr>
          <w:rFonts w:cs="David" w:hint="cs"/>
          <w:sz w:val="24"/>
          <w:szCs w:val="24"/>
          <w:rtl/>
        </w:rPr>
        <w:t>תנודות</w:t>
      </w:r>
      <w:r w:rsidR="00FB405F" w:rsidRPr="00FB405F">
        <w:rPr>
          <w:rFonts w:cs="David"/>
          <w:sz w:val="24"/>
          <w:szCs w:val="24"/>
          <w:rtl/>
        </w:rPr>
        <w:t xml:space="preserve"> </w:t>
      </w:r>
      <w:r w:rsidR="00FB405F" w:rsidRPr="00FB405F">
        <w:rPr>
          <w:rFonts w:cs="David" w:hint="cs"/>
          <w:sz w:val="24"/>
          <w:szCs w:val="24"/>
          <w:rtl/>
        </w:rPr>
        <w:t>חריגות</w:t>
      </w:r>
      <w:r w:rsidR="00FB405F" w:rsidRPr="00FB405F">
        <w:rPr>
          <w:rFonts w:cs="David"/>
          <w:sz w:val="24"/>
          <w:szCs w:val="24"/>
          <w:rtl/>
        </w:rPr>
        <w:t xml:space="preserve"> </w:t>
      </w:r>
      <w:r w:rsidR="00FB405F" w:rsidRPr="00FB405F">
        <w:rPr>
          <w:rFonts w:cs="David" w:hint="cs"/>
          <w:sz w:val="24"/>
          <w:szCs w:val="24"/>
          <w:rtl/>
        </w:rPr>
        <w:t>בשער</w:t>
      </w:r>
      <w:r w:rsidR="00FB405F" w:rsidRPr="00FB405F">
        <w:rPr>
          <w:rFonts w:cs="David"/>
          <w:sz w:val="24"/>
          <w:szCs w:val="24"/>
          <w:rtl/>
        </w:rPr>
        <w:t xml:space="preserve"> </w:t>
      </w:r>
      <w:r w:rsidR="00FB405F" w:rsidRPr="00FB405F">
        <w:rPr>
          <w:rFonts w:cs="David" w:hint="cs"/>
          <w:sz w:val="24"/>
          <w:szCs w:val="24"/>
          <w:rtl/>
        </w:rPr>
        <w:t>החליפין</w:t>
      </w:r>
      <w:r w:rsidR="00FB405F" w:rsidRPr="00FB405F">
        <w:rPr>
          <w:rFonts w:cs="David"/>
          <w:sz w:val="24"/>
          <w:szCs w:val="24"/>
          <w:rtl/>
        </w:rPr>
        <w:t xml:space="preserve">, </w:t>
      </w:r>
      <w:r w:rsidR="00FB405F" w:rsidRPr="00FB405F">
        <w:rPr>
          <w:rFonts w:cs="David" w:hint="cs"/>
          <w:sz w:val="24"/>
          <w:szCs w:val="24"/>
          <w:rtl/>
        </w:rPr>
        <w:t>אשר</w:t>
      </w:r>
      <w:r w:rsidR="00FB405F" w:rsidRPr="00FB405F">
        <w:rPr>
          <w:rFonts w:cs="David"/>
          <w:sz w:val="24"/>
          <w:szCs w:val="24"/>
          <w:rtl/>
        </w:rPr>
        <w:t xml:space="preserve"> </w:t>
      </w:r>
      <w:r w:rsidR="00FB405F" w:rsidRPr="00FB405F">
        <w:rPr>
          <w:rFonts w:cs="David" w:hint="cs"/>
          <w:sz w:val="24"/>
          <w:szCs w:val="24"/>
          <w:rtl/>
        </w:rPr>
        <w:t>אינן</w:t>
      </w:r>
      <w:r w:rsidR="00FB405F" w:rsidRPr="00FB405F">
        <w:rPr>
          <w:rFonts w:cs="David"/>
          <w:sz w:val="24"/>
          <w:szCs w:val="24"/>
          <w:rtl/>
        </w:rPr>
        <w:t xml:space="preserve"> </w:t>
      </w:r>
      <w:r w:rsidR="00FB405F" w:rsidRPr="00FB405F">
        <w:rPr>
          <w:rFonts w:cs="David" w:hint="cs"/>
          <w:sz w:val="24"/>
          <w:szCs w:val="24"/>
          <w:rtl/>
        </w:rPr>
        <w:t>תואמות</w:t>
      </w:r>
      <w:r w:rsidR="00FB405F" w:rsidRPr="00FB405F">
        <w:rPr>
          <w:rFonts w:cs="David"/>
          <w:sz w:val="24"/>
          <w:szCs w:val="24"/>
          <w:rtl/>
        </w:rPr>
        <w:t xml:space="preserve"> </w:t>
      </w:r>
      <w:r w:rsidR="00FB405F" w:rsidRPr="00FB405F">
        <w:rPr>
          <w:rFonts w:cs="David" w:hint="cs"/>
          <w:sz w:val="24"/>
          <w:szCs w:val="24"/>
          <w:rtl/>
        </w:rPr>
        <w:t>את</w:t>
      </w:r>
      <w:r w:rsidR="00FB405F" w:rsidRPr="00FB405F">
        <w:rPr>
          <w:rFonts w:cs="David"/>
          <w:sz w:val="24"/>
          <w:szCs w:val="24"/>
          <w:rtl/>
        </w:rPr>
        <w:t xml:space="preserve"> </w:t>
      </w:r>
      <w:r w:rsidR="00FB405F" w:rsidRPr="00FB405F">
        <w:rPr>
          <w:rFonts w:cs="David" w:hint="cs"/>
          <w:sz w:val="24"/>
          <w:szCs w:val="24"/>
          <w:rtl/>
        </w:rPr>
        <w:t>התנאים</w:t>
      </w:r>
      <w:r w:rsidR="00FB405F" w:rsidRPr="00FB405F">
        <w:rPr>
          <w:rFonts w:cs="David"/>
          <w:sz w:val="24"/>
          <w:szCs w:val="24"/>
          <w:rtl/>
        </w:rPr>
        <w:t xml:space="preserve"> </w:t>
      </w:r>
      <w:r w:rsidR="00FB405F" w:rsidRPr="00FB405F">
        <w:rPr>
          <w:rFonts w:cs="David" w:hint="cs"/>
          <w:sz w:val="24"/>
          <w:szCs w:val="24"/>
          <w:rtl/>
        </w:rPr>
        <w:t>הכלכליים</w:t>
      </w:r>
      <w:r w:rsidR="00FB405F" w:rsidRPr="00FB405F">
        <w:rPr>
          <w:rFonts w:cs="David"/>
          <w:sz w:val="24"/>
          <w:szCs w:val="24"/>
          <w:rtl/>
        </w:rPr>
        <w:t xml:space="preserve"> </w:t>
      </w:r>
      <w:r w:rsidR="00FB405F" w:rsidRPr="00FB405F">
        <w:rPr>
          <w:rFonts w:cs="David" w:hint="cs"/>
          <w:sz w:val="24"/>
          <w:szCs w:val="24"/>
          <w:rtl/>
        </w:rPr>
        <w:t>הבסיסיים</w:t>
      </w:r>
      <w:r w:rsidR="00FB405F" w:rsidRPr="00FB405F">
        <w:rPr>
          <w:rFonts w:cs="David"/>
          <w:sz w:val="24"/>
          <w:szCs w:val="24"/>
          <w:rtl/>
        </w:rPr>
        <w:t xml:space="preserve">, </w:t>
      </w:r>
      <w:r w:rsidR="00FB405F" w:rsidRPr="00FB405F">
        <w:rPr>
          <w:rFonts w:cs="David" w:hint="cs"/>
          <w:sz w:val="24"/>
          <w:szCs w:val="24"/>
          <w:rtl/>
        </w:rPr>
        <w:t>או</w:t>
      </w:r>
      <w:r w:rsidR="00FB405F" w:rsidRPr="00FB405F">
        <w:rPr>
          <w:rFonts w:cs="David"/>
          <w:sz w:val="24"/>
          <w:szCs w:val="24"/>
          <w:rtl/>
        </w:rPr>
        <w:t xml:space="preserve"> </w:t>
      </w:r>
      <w:r w:rsidR="00FB405F" w:rsidRPr="00FB405F">
        <w:rPr>
          <w:rFonts w:cs="David" w:hint="cs"/>
          <w:sz w:val="24"/>
          <w:szCs w:val="24"/>
          <w:rtl/>
        </w:rPr>
        <w:t>כאשר</w:t>
      </w:r>
      <w:r w:rsidR="00FB405F" w:rsidRPr="00FB405F">
        <w:rPr>
          <w:rFonts w:cs="David"/>
          <w:sz w:val="24"/>
          <w:szCs w:val="24"/>
          <w:rtl/>
        </w:rPr>
        <w:t xml:space="preserve"> </w:t>
      </w:r>
      <w:r w:rsidR="00FB405F" w:rsidRPr="00FB405F">
        <w:rPr>
          <w:rFonts w:cs="David" w:hint="cs"/>
          <w:sz w:val="24"/>
          <w:szCs w:val="24"/>
          <w:rtl/>
        </w:rPr>
        <w:t>שוק</w:t>
      </w:r>
      <w:r w:rsidR="00FB405F" w:rsidRPr="00FB405F">
        <w:rPr>
          <w:rFonts w:cs="David"/>
          <w:sz w:val="24"/>
          <w:szCs w:val="24"/>
          <w:rtl/>
        </w:rPr>
        <w:t xml:space="preserve"> </w:t>
      </w:r>
      <w:r w:rsidR="00FB405F" w:rsidRPr="00FB405F">
        <w:rPr>
          <w:rFonts w:cs="David" w:hint="cs"/>
          <w:sz w:val="24"/>
          <w:szCs w:val="24"/>
          <w:rtl/>
        </w:rPr>
        <w:t>המט</w:t>
      </w:r>
      <w:r w:rsidR="00FB405F" w:rsidRPr="00FB405F">
        <w:rPr>
          <w:rFonts w:cs="David"/>
          <w:sz w:val="24"/>
          <w:szCs w:val="24"/>
          <w:rtl/>
        </w:rPr>
        <w:t>"</w:t>
      </w:r>
      <w:r w:rsidR="00FB405F" w:rsidRPr="00FB405F">
        <w:rPr>
          <w:rFonts w:cs="David" w:hint="cs"/>
          <w:sz w:val="24"/>
          <w:szCs w:val="24"/>
          <w:rtl/>
        </w:rPr>
        <w:t>ח</w:t>
      </w:r>
      <w:r w:rsidR="00FB405F" w:rsidRPr="00FB405F">
        <w:rPr>
          <w:rFonts w:cs="David"/>
          <w:sz w:val="24"/>
          <w:szCs w:val="24"/>
          <w:rtl/>
        </w:rPr>
        <w:t xml:space="preserve"> </w:t>
      </w:r>
      <w:r w:rsidR="00FB405F" w:rsidRPr="00FB405F">
        <w:rPr>
          <w:rFonts w:cs="David" w:hint="cs"/>
          <w:sz w:val="24"/>
          <w:szCs w:val="24"/>
          <w:rtl/>
        </w:rPr>
        <w:t>אינו</w:t>
      </w:r>
      <w:r w:rsidR="00FB405F" w:rsidRPr="00FB405F">
        <w:rPr>
          <w:rFonts w:cs="David"/>
          <w:sz w:val="24"/>
          <w:szCs w:val="24"/>
          <w:rtl/>
        </w:rPr>
        <w:t xml:space="preserve"> </w:t>
      </w:r>
      <w:r w:rsidR="00FB405F" w:rsidRPr="00FB405F">
        <w:rPr>
          <w:rFonts w:cs="David" w:hint="cs"/>
          <w:sz w:val="24"/>
          <w:szCs w:val="24"/>
          <w:rtl/>
        </w:rPr>
        <w:t>מתפקד</w:t>
      </w:r>
      <w:r w:rsidR="00FB405F" w:rsidRPr="00FB405F">
        <w:rPr>
          <w:rFonts w:cs="David"/>
          <w:sz w:val="24"/>
          <w:szCs w:val="24"/>
          <w:rtl/>
        </w:rPr>
        <w:t xml:space="preserve"> </w:t>
      </w:r>
      <w:r w:rsidR="00FB405F" w:rsidRPr="00FB405F">
        <w:rPr>
          <w:rFonts w:cs="David" w:hint="cs"/>
          <w:sz w:val="24"/>
          <w:szCs w:val="24"/>
          <w:rtl/>
        </w:rPr>
        <w:t>כיאות</w:t>
      </w:r>
      <w:r w:rsidRPr="002E74E8">
        <w:rPr>
          <w:rFonts w:cs="David" w:hint="cs"/>
          <w:sz w:val="24"/>
          <w:szCs w:val="24"/>
          <w:rtl/>
        </w:rPr>
        <w:t xml:space="preserve">. במאי 2013 הודענו על רובד נוסף של ההתערבות, בתגובה לייסוף החד שהתרחש מסוף 2012. החלק הראשון </w:t>
      </w:r>
      <w:r w:rsidR="00E54C3F">
        <w:rPr>
          <w:rFonts w:cs="David" w:hint="cs"/>
          <w:sz w:val="24"/>
          <w:szCs w:val="24"/>
          <w:rtl/>
        </w:rPr>
        <w:t>של הייסוף התרחש על רקע ירידה במתי</w:t>
      </w:r>
      <w:r w:rsidRPr="002E74E8">
        <w:rPr>
          <w:rFonts w:cs="David" w:hint="cs"/>
          <w:sz w:val="24"/>
          <w:szCs w:val="24"/>
          <w:rtl/>
        </w:rPr>
        <w:t>ח</w:t>
      </w:r>
      <w:r w:rsidR="00E54C3F">
        <w:rPr>
          <w:rFonts w:cs="David" w:hint="cs"/>
          <w:sz w:val="24"/>
          <w:szCs w:val="24"/>
          <w:rtl/>
        </w:rPr>
        <w:t>ות</w:t>
      </w:r>
      <w:r w:rsidRPr="002E74E8">
        <w:rPr>
          <w:rFonts w:cs="David" w:hint="cs"/>
          <w:sz w:val="24"/>
          <w:szCs w:val="24"/>
          <w:rtl/>
        </w:rPr>
        <w:t xml:space="preserve"> הגיאופוליטי</w:t>
      </w:r>
      <w:r w:rsidR="00E54C3F">
        <w:rPr>
          <w:rFonts w:cs="David" w:hint="cs"/>
          <w:sz w:val="24"/>
          <w:szCs w:val="24"/>
          <w:rtl/>
        </w:rPr>
        <w:t>ת באותו זמן</w:t>
      </w:r>
      <w:r w:rsidRPr="002E74E8">
        <w:rPr>
          <w:rFonts w:cs="David" w:hint="cs"/>
          <w:sz w:val="24"/>
          <w:szCs w:val="24"/>
          <w:rtl/>
        </w:rPr>
        <w:t xml:space="preserve">. החלק השני היה בעקבות התחלת הפקת הגז ממאגר תמר, כאשר </w:t>
      </w:r>
      <w:r w:rsidR="00FB405F" w:rsidRPr="002E74E8">
        <w:rPr>
          <w:rFonts w:cs="David" w:hint="cs"/>
          <w:sz w:val="24"/>
          <w:szCs w:val="24"/>
          <w:rtl/>
        </w:rPr>
        <w:t xml:space="preserve">להערכתנו </w:t>
      </w:r>
      <w:r w:rsidRPr="002E74E8">
        <w:rPr>
          <w:rFonts w:cs="David" w:hint="cs"/>
          <w:sz w:val="24"/>
          <w:szCs w:val="24"/>
          <w:rtl/>
        </w:rPr>
        <w:t xml:space="preserve">השוק </w:t>
      </w:r>
      <w:r w:rsidR="00524813" w:rsidRPr="002E74E8">
        <w:rPr>
          <w:rFonts w:cs="David" w:hint="cs"/>
          <w:sz w:val="24"/>
          <w:szCs w:val="24"/>
          <w:rtl/>
        </w:rPr>
        <w:t>תימ</w:t>
      </w:r>
      <w:r w:rsidR="00E54C3F">
        <w:rPr>
          <w:rFonts w:cs="David" w:hint="cs"/>
          <w:sz w:val="24"/>
          <w:szCs w:val="24"/>
          <w:rtl/>
        </w:rPr>
        <w:t>ח</w:t>
      </w:r>
      <w:r w:rsidR="00524813" w:rsidRPr="002E74E8">
        <w:rPr>
          <w:rFonts w:cs="David" w:hint="cs"/>
          <w:sz w:val="24"/>
          <w:szCs w:val="24"/>
          <w:rtl/>
        </w:rPr>
        <w:t>ר</w:t>
      </w:r>
      <w:r w:rsidRPr="002E74E8">
        <w:rPr>
          <w:rFonts w:cs="David" w:hint="cs"/>
          <w:sz w:val="24"/>
          <w:szCs w:val="24"/>
          <w:rtl/>
        </w:rPr>
        <w:t xml:space="preserve"> את ההשפעה על שוק המט"ח של</w:t>
      </w:r>
      <w:r w:rsidR="00D6276D">
        <w:rPr>
          <w:rFonts w:cs="David" w:hint="cs"/>
          <w:sz w:val="24"/>
          <w:szCs w:val="24"/>
          <w:rtl/>
        </w:rPr>
        <w:t xml:space="preserve"> התזרים מ-</w:t>
      </w:r>
      <w:r w:rsidRPr="002E74E8">
        <w:rPr>
          <w:rFonts w:cs="David" w:hint="cs"/>
          <w:sz w:val="24"/>
          <w:szCs w:val="24"/>
          <w:rtl/>
        </w:rPr>
        <w:t xml:space="preserve"> 20-30  שנה של ייצור גז</w:t>
      </w:r>
      <w:r w:rsidR="00AE64B0">
        <w:rPr>
          <w:rFonts w:cs="David" w:hint="cs"/>
          <w:sz w:val="24"/>
          <w:szCs w:val="24"/>
          <w:rtl/>
        </w:rPr>
        <w:t xml:space="preserve"> </w:t>
      </w:r>
      <w:r w:rsidR="00AF03C3">
        <w:rPr>
          <w:rFonts w:cs="David" w:hint="cs"/>
          <w:sz w:val="24"/>
          <w:szCs w:val="24"/>
          <w:rtl/>
        </w:rPr>
        <w:t>מראש</w:t>
      </w:r>
      <w:r w:rsidRPr="002E74E8">
        <w:rPr>
          <w:rFonts w:cs="David" w:hint="cs"/>
          <w:sz w:val="24"/>
          <w:szCs w:val="24"/>
          <w:rtl/>
        </w:rPr>
        <w:t xml:space="preserve">. הודענו על תכנית </w:t>
      </w:r>
      <w:r w:rsidR="00025596">
        <w:rPr>
          <w:rFonts w:cs="David" w:hint="cs"/>
          <w:sz w:val="24"/>
          <w:szCs w:val="24"/>
          <w:rtl/>
        </w:rPr>
        <w:t xml:space="preserve">רכישת מט"ח </w:t>
      </w:r>
      <w:r w:rsidRPr="002E74E8">
        <w:rPr>
          <w:rFonts w:cs="David" w:hint="cs"/>
          <w:sz w:val="24"/>
          <w:szCs w:val="24"/>
          <w:rtl/>
        </w:rPr>
        <w:t xml:space="preserve">למניעת "המחלה </w:t>
      </w:r>
      <w:r w:rsidR="002E74E8" w:rsidRPr="002E74E8">
        <w:rPr>
          <w:rFonts w:cs="David" w:hint="cs"/>
          <w:sz w:val="24"/>
          <w:szCs w:val="24"/>
          <w:rtl/>
        </w:rPr>
        <w:t>ההולנדית</w:t>
      </w:r>
      <w:r w:rsidRPr="002E74E8">
        <w:rPr>
          <w:rFonts w:cs="David" w:hint="cs"/>
          <w:sz w:val="24"/>
          <w:szCs w:val="24"/>
          <w:rtl/>
        </w:rPr>
        <w:t>", על פיה אנו מקזזים את כל ההשפעה של הגז על החשבון השוטף, ודרכו על שער החליפין</w:t>
      </w:r>
      <w:r w:rsidR="006A520A" w:rsidRPr="002E74E8">
        <w:rPr>
          <w:rFonts w:cs="David" w:hint="cs"/>
          <w:sz w:val="24"/>
          <w:szCs w:val="24"/>
          <w:rtl/>
        </w:rPr>
        <w:t xml:space="preserve"> (שקף 8)</w:t>
      </w:r>
      <w:r w:rsidRPr="002E74E8">
        <w:rPr>
          <w:rFonts w:cs="David" w:hint="cs"/>
          <w:sz w:val="24"/>
          <w:szCs w:val="24"/>
          <w:rtl/>
        </w:rPr>
        <w:t xml:space="preserve">. </w:t>
      </w:r>
      <w:r w:rsidR="00EC49C4" w:rsidRPr="002E74E8">
        <w:rPr>
          <w:rFonts w:cs="David" w:hint="cs"/>
          <w:sz w:val="24"/>
          <w:szCs w:val="24"/>
          <w:rtl/>
        </w:rPr>
        <w:t xml:space="preserve">הכוונה </w:t>
      </w:r>
      <w:r w:rsidR="002E74E8">
        <w:rPr>
          <w:rFonts w:cs="David" w:hint="cs"/>
          <w:sz w:val="24"/>
          <w:szCs w:val="24"/>
          <w:rtl/>
        </w:rPr>
        <w:t>ה</w:t>
      </w:r>
      <w:r w:rsidR="002E74E8" w:rsidRPr="002E74E8">
        <w:rPr>
          <w:rFonts w:cs="David" w:hint="cs"/>
          <w:sz w:val="24"/>
          <w:szCs w:val="24"/>
          <w:rtl/>
        </w:rPr>
        <w:t>ייתה</w:t>
      </w:r>
      <w:r w:rsidR="00EC49C4" w:rsidRPr="002E74E8">
        <w:rPr>
          <w:rFonts w:cs="David" w:hint="cs"/>
          <w:sz w:val="24"/>
          <w:szCs w:val="24"/>
          <w:rtl/>
        </w:rPr>
        <w:t xml:space="preserve"> לוודא שמציאת הגז תהיה ברכה למשק הישראלי, ולא קללה. יצרנו ודאות לשוק בכך שנרכוש, עד להקמת קרן העושר בשנת 2018, את כל </w:t>
      </w:r>
      <w:r w:rsidR="006A520A" w:rsidRPr="002E74E8">
        <w:rPr>
          <w:rFonts w:cs="David" w:hint="cs"/>
          <w:sz w:val="24"/>
          <w:szCs w:val="24"/>
          <w:rtl/>
        </w:rPr>
        <w:t xml:space="preserve">המט"ח שיזרום למשק כתוצאה מהפקת הגז </w:t>
      </w:r>
      <w:r w:rsidR="006A520A" w:rsidRPr="002E74E8">
        <w:rPr>
          <w:rFonts w:cs="David"/>
          <w:sz w:val="24"/>
          <w:szCs w:val="24"/>
          <w:rtl/>
        </w:rPr>
        <w:t>–</w:t>
      </w:r>
      <w:r w:rsidR="006A520A" w:rsidRPr="002E74E8">
        <w:rPr>
          <w:rFonts w:cs="David" w:hint="cs"/>
          <w:sz w:val="24"/>
          <w:szCs w:val="24"/>
          <w:rtl/>
        </w:rPr>
        <w:t xml:space="preserve"> ואני </w:t>
      </w:r>
      <w:r w:rsidR="006A520A" w:rsidRPr="002E74E8">
        <w:rPr>
          <w:rFonts w:cs="David" w:hint="cs"/>
          <w:sz w:val="24"/>
          <w:szCs w:val="24"/>
          <w:rtl/>
        </w:rPr>
        <w:lastRenderedPageBreak/>
        <w:t>מדגיש שמדובר על התחייבות לטווח ארוך, לא לחודש או חודשיים</w:t>
      </w:r>
      <w:r w:rsidR="00025596">
        <w:rPr>
          <w:rFonts w:cs="David" w:hint="cs"/>
          <w:sz w:val="24"/>
          <w:szCs w:val="24"/>
          <w:rtl/>
        </w:rPr>
        <w:t xml:space="preserve"> וללא קשר לרמת שער החליפין</w:t>
      </w:r>
      <w:r w:rsidR="006A520A" w:rsidRPr="002E74E8">
        <w:rPr>
          <w:rFonts w:cs="David" w:hint="cs"/>
          <w:sz w:val="24"/>
          <w:szCs w:val="24"/>
          <w:rtl/>
        </w:rPr>
        <w:t xml:space="preserve">. </w:t>
      </w:r>
    </w:p>
    <w:p w:rsidR="00FF5518" w:rsidRPr="002E74E8" w:rsidRDefault="006A520A" w:rsidP="00AA675E">
      <w:pPr>
        <w:spacing w:line="360" w:lineRule="auto"/>
        <w:jc w:val="both"/>
        <w:rPr>
          <w:rFonts w:cs="David"/>
          <w:sz w:val="24"/>
          <w:szCs w:val="24"/>
          <w:rtl/>
        </w:rPr>
      </w:pPr>
      <w:r w:rsidRPr="002E74E8">
        <w:rPr>
          <w:rFonts w:cs="David" w:hint="cs"/>
          <w:sz w:val="24"/>
          <w:szCs w:val="24"/>
          <w:rtl/>
        </w:rPr>
        <w:t>לשאלת האפקטיביות של רכישות</w:t>
      </w:r>
      <w:r w:rsidR="00025596">
        <w:rPr>
          <w:rFonts w:cs="David" w:hint="cs"/>
          <w:sz w:val="24"/>
          <w:szCs w:val="24"/>
          <w:rtl/>
        </w:rPr>
        <w:t xml:space="preserve"> המט"ח</w:t>
      </w:r>
      <w:r w:rsidRPr="002E74E8">
        <w:rPr>
          <w:rFonts w:cs="David" w:hint="cs"/>
          <w:sz w:val="24"/>
          <w:szCs w:val="24"/>
          <w:rtl/>
        </w:rPr>
        <w:t>, שער החליפין הממוצע מאז התחלת הרכישות בשנת 2013 הוא 3.7 ₪, לעומת שער של כ-3</w:t>
      </w:r>
      <w:r w:rsidR="00025596">
        <w:rPr>
          <w:rFonts w:cs="David" w:hint="cs"/>
          <w:sz w:val="24"/>
          <w:szCs w:val="24"/>
          <w:rtl/>
        </w:rPr>
        <w:t>.2</w:t>
      </w:r>
      <w:r w:rsidRPr="002E74E8">
        <w:rPr>
          <w:rFonts w:cs="David" w:hint="cs"/>
          <w:sz w:val="24"/>
          <w:szCs w:val="24"/>
          <w:rtl/>
        </w:rPr>
        <w:t xml:space="preserve"> ₪ לדולר בתחילת ההתערבות</w:t>
      </w:r>
      <w:r w:rsidR="00217771">
        <w:rPr>
          <w:rFonts w:cs="David" w:hint="cs"/>
          <w:sz w:val="24"/>
          <w:szCs w:val="24"/>
          <w:rtl/>
        </w:rPr>
        <w:t xml:space="preserve"> (שקף 9)</w:t>
      </w:r>
      <w:r w:rsidRPr="002E74E8">
        <w:rPr>
          <w:rFonts w:cs="David" w:hint="cs"/>
          <w:sz w:val="24"/>
          <w:szCs w:val="24"/>
          <w:rtl/>
        </w:rPr>
        <w:t xml:space="preserve">. כמו כן ניתן </w:t>
      </w:r>
      <w:r w:rsidR="00217771">
        <w:rPr>
          <w:rFonts w:cs="David" w:hint="cs"/>
          <w:sz w:val="24"/>
          <w:szCs w:val="24"/>
          <w:rtl/>
        </w:rPr>
        <w:t>ל</w:t>
      </w:r>
      <w:r w:rsidRPr="002E74E8">
        <w:rPr>
          <w:rFonts w:cs="David" w:hint="cs"/>
          <w:sz w:val="24"/>
          <w:szCs w:val="24"/>
          <w:rtl/>
        </w:rPr>
        <w:t xml:space="preserve">ראות שמתחילת השנה (שקף </w:t>
      </w:r>
      <w:r w:rsidR="00217771" w:rsidRPr="002E74E8">
        <w:rPr>
          <w:rFonts w:cs="David" w:hint="cs"/>
          <w:sz w:val="24"/>
          <w:szCs w:val="24"/>
          <w:rtl/>
        </w:rPr>
        <w:t>1</w:t>
      </w:r>
      <w:r w:rsidR="00217771">
        <w:rPr>
          <w:rFonts w:cs="David" w:hint="cs"/>
          <w:sz w:val="24"/>
          <w:szCs w:val="24"/>
          <w:rtl/>
        </w:rPr>
        <w:t>0</w:t>
      </w:r>
      <w:r w:rsidRPr="002E74E8">
        <w:rPr>
          <w:rFonts w:cs="David" w:hint="cs"/>
          <w:sz w:val="24"/>
          <w:szCs w:val="24"/>
          <w:rtl/>
        </w:rPr>
        <w:t>), למרות שיש מספר מטבעות שמאוד נחלשו מול הדולר וכא</w:t>
      </w:r>
      <w:r w:rsidR="00217771">
        <w:rPr>
          <w:rFonts w:cs="David" w:hint="cs"/>
          <w:sz w:val="24"/>
          <w:szCs w:val="24"/>
          <w:rtl/>
        </w:rPr>
        <w:t>ל</w:t>
      </w:r>
      <w:r w:rsidRPr="002E74E8">
        <w:rPr>
          <w:rFonts w:cs="David" w:hint="cs"/>
          <w:sz w:val="24"/>
          <w:szCs w:val="24"/>
          <w:rtl/>
        </w:rPr>
        <w:t xml:space="preserve">ו שמאוד התחזקו, שער השקל כמעט שלא השתנה מול הדולר. </w:t>
      </w:r>
    </w:p>
    <w:p w:rsidR="00FF5518" w:rsidRPr="002E74E8" w:rsidRDefault="00FF5518" w:rsidP="00AE64B0">
      <w:pPr>
        <w:spacing w:line="360" w:lineRule="auto"/>
        <w:jc w:val="both"/>
        <w:rPr>
          <w:rFonts w:cs="David"/>
          <w:sz w:val="24"/>
          <w:szCs w:val="24"/>
          <w:rtl/>
        </w:rPr>
      </w:pPr>
      <w:r w:rsidRPr="002E74E8">
        <w:rPr>
          <w:rFonts w:cs="David" w:hint="cs"/>
          <w:sz w:val="24"/>
          <w:szCs w:val="24"/>
          <w:rtl/>
        </w:rPr>
        <w:t>מדיניות רכישו</w:t>
      </w:r>
      <w:r w:rsidR="00E54C3F">
        <w:rPr>
          <w:rFonts w:cs="David" w:hint="cs"/>
          <w:sz w:val="24"/>
          <w:szCs w:val="24"/>
          <w:rtl/>
        </w:rPr>
        <w:t xml:space="preserve">ת המט"ח של בנק ישראל משפיעה על </w:t>
      </w:r>
      <w:r w:rsidRPr="002E74E8">
        <w:rPr>
          <w:rFonts w:cs="David" w:hint="cs"/>
          <w:sz w:val="24"/>
          <w:szCs w:val="24"/>
          <w:rtl/>
        </w:rPr>
        <w:t>מאזן</w:t>
      </w:r>
      <w:r w:rsidR="00E54C3F">
        <w:rPr>
          <w:rFonts w:cs="David" w:hint="cs"/>
          <w:sz w:val="24"/>
          <w:szCs w:val="24"/>
          <w:rtl/>
        </w:rPr>
        <w:t xml:space="preserve"> הבנק</w:t>
      </w:r>
      <w:r w:rsidRPr="002E74E8">
        <w:rPr>
          <w:rFonts w:cs="David" w:hint="cs"/>
          <w:sz w:val="24"/>
          <w:szCs w:val="24"/>
          <w:rtl/>
        </w:rPr>
        <w:t xml:space="preserve"> בשני אופנים </w:t>
      </w:r>
      <w:r w:rsidRPr="002E74E8">
        <w:rPr>
          <w:rFonts w:cs="David"/>
          <w:sz w:val="24"/>
          <w:szCs w:val="24"/>
          <w:rtl/>
        </w:rPr>
        <w:t>–</w:t>
      </w:r>
      <w:r w:rsidRPr="002E74E8">
        <w:rPr>
          <w:rFonts w:cs="David" w:hint="cs"/>
          <w:sz w:val="24"/>
          <w:szCs w:val="24"/>
          <w:rtl/>
        </w:rPr>
        <w:t xml:space="preserve"> מצד אחד, ישנו הפרש </w:t>
      </w:r>
      <w:r w:rsidR="006E73E6" w:rsidRPr="002E74E8">
        <w:rPr>
          <w:rFonts w:cs="David" w:hint="cs"/>
          <w:sz w:val="24"/>
          <w:szCs w:val="24"/>
          <w:rtl/>
        </w:rPr>
        <w:t>בין התשואה על יתרות המט"ח לעלות ההתחייבויות השקליות של בנק ישראל. כמו כן, העובדה שהבנק מחזיק את יתרות מטבע החוץ עבור המדינה חושפת אותו לשינויים בשער החליפין. ייסוף השקל פגע במאזן בנק ישראל בשנים האחרונות,  אולם יש לזכור שבמידה ונצטרך לממש את יתרות המט"ח, סביר להניח שנממש אותן בשער גבוה בהרבה, והתועלת מהחזקת היתרות להערכתנו עבור המשק גבוהה בהרבה מהעלויות "על הנייר" במאזן של בנק ישראל</w:t>
      </w:r>
      <w:r w:rsidR="00E17364">
        <w:rPr>
          <w:rFonts w:cs="David" w:hint="cs"/>
          <w:sz w:val="24"/>
          <w:szCs w:val="24"/>
          <w:rtl/>
        </w:rPr>
        <w:t>.</w:t>
      </w:r>
    </w:p>
    <w:p w:rsidR="00005BFE" w:rsidRPr="002E74E8" w:rsidRDefault="00005BFE" w:rsidP="00AA675E">
      <w:pPr>
        <w:spacing w:line="360" w:lineRule="auto"/>
        <w:jc w:val="both"/>
        <w:rPr>
          <w:rFonts w:cs="David"/>
          <w:sz w:val="24"/>
          <w:szCs w:val="24"/>
          <w:rtl/>
        </w:rPr>
      </w:pPr>
      <w:r w:rsidRPr="002E74E8">
        <w:rPr>
          <w:rFonts w:cs="David" w:hint="cs"/>
          <w:sz w:val="24"/>
          <w:szCs w:val="24"/>
          <w:rtl/>
        </w:rPr>
        <w:t xml:space="preserve">מדיניות של רצפה של שער החליפין הפכה לפופולרית בשנים האחרונות, </w:t>
      </w:r>
      <w:r w:rsidR="002E74E8">
        <w:rPr>
          <w:rFonts w:cs="David" w:hint="cs"/>
          <w:sz w:val="24"/>
          <w:szCs w:val="24"/>
          <w:rtl/>
        </w:rPr>
        <w:t>אחר</w:t>
      </w:r>
      <w:r w:rsidR="002E74E8" w:rsidRPr="002E74E8">
        <w:rPr>
          <w:rFonts w:cs="David" w:hint="cs"/>
          <w:sz w:val="24"/>
          <w:szCs w:val="24"/>
          <w:rtl/>
        </w:rPr>
        <w:t>י</w:t>
      </w:r>
      <w:r w:rsidRPr="002E74E8">
        <w:rPr>
          <w:rFonts w:cs="David" w:hint="cs"/>
          <w:sz w:val="24"/>
          <w:szCs w:val="24"/>
          <w:rtl/>
        </w:rPr>
        <w:t xml:space="preserve"> שננקטה בשוויץ </w:t>
      </w:r>
      <w:r w:rsidR="002E74E8" w:rsidRPr="002E74E8">
        <w:rPr>
          <w:rFonts w:cs="David" w:hint="cs"/>
          <w:sz w:val="24"/>
          <w:szCs w:val="24"/>
          <w:rtl/>
        </w:rPr>
        <w:t>ובצ'כיה</w:t>
      </w:r>
      <w:r w:rsidRPr="002E74E8">
        <w:rPr>
          <w:rFonts w:cs="David" w:hint="cs"/>
          <w:sz w:val="24"/>
          <w:szCs w:val="24"/>
          <w:rtl/>
        </w:rPr>
        <w:t>. אבל צריך להבין ש</w:t>
      </w:r>
      <w:r w:rsidR="000310CE" w:rsidRPr="002E74E8">
        <w:rPr>
          <w:rFonts w:cs="David" w:hint="cs"/>
          <w:sz w:val="24"/>
          <w:szCs w:val="24"/>
          <w:rtl/>
        </w:rPr>
        <w:t xml:space="preserve">המצב שם היה שונה מאוד </w:t>
      </w:r>
      <w:r w:rsidR="002E74E8" w:rsidRPr="002E74E8">
        <w:rPr>
          <w:rFonts w:cs="David" w:hint="cs"/>
          <w:sz w:val="24"/>
          <w:szCs w:val="24"/>
          <w:rtl/>
        </w:rPr>
        <w:t>משאצלנו</w:t>
      </w:r>
      <w:r w:rsidR="000310CE" w:rsidRPr="002E74E8">
        <w:rPr>
          <w:rFonts w:cs="David" w:hint="cs"/>
          <w:sz w:val="24"/>
          <w:szCs w:val="24"/>
          <w:rtl/>
        </w:rPr>
        <w:t>. אם נצטרך להכריז ע</w:t>
      </w:r>
      <w:r w:rsidR="00E17364">
        <w:rPr>
          <w:rFonts w:cs="David" w:hint="cs"/>
          <w:sz w:val="24"/>
          <w:szCs w:val="24"/>
          <w:rtl/>
        </w:rPr>
        <w:t>ל</w:t>
      </w:r>
      <w:r w:rsidR="000310CE" w:rsidRPr="002E74E8">
        <w:rPr>
          <w:rFonts w:cs="David" w:hint="cs"/>
          <w:sz w:val="24"/>
          <w:szCs w:val="24"/>
          <w:rtl/>
        </w:rPr>
        <w:t xml:space="preserve"> שער ריצפה נצטרך להתחייב לרכוש כל סכום שיידרש כדי להגן על שער </w:t>
      </w:r>
      <w:r w:rsidR="00E17364">
        <w:rPr>
          <w:rFonts w:cs="David" w:hint="cs"/>
          <w:sz w:val="24"/>
          <w:szCs w:val="24"/>
          <w:rtl/>
        </w:rPr>
        <w:t>ז</w:t>
      </w:r>
      <w:r w:rsidR="00E17364" w:rsidRPr="002E74E8">
        <w:rPr>
          <w:rFonts w:cs="David" w:hint="cs"/>
          <w:sz w:val="24"/>
          <w:szCs w:val="24"/>
          <w:rtl/>
        </w:rPr>
        <w:t>ה</w:t>
      </w:r>
      <w:r w:rsidR="000310CE" w:rsidRPr="002E74E8">
        <w:rPr>
          <w:rFonts w:cs="David" w:hint="cs"/>
          <w:sz w:val="24"/>
          <w:szCs w:val="24"/>
          <w:rtl/>
        </w:rPr>
        <w:t xml:space="preserve">, והמדיניות המוניטרית תהיה כפופה </w:t>
      </w:r>
      <w:r w:rsidR="00CF27D5" w:rsidRPr="002E74E8">
        <w:rPr>
          <w:rFonts w:cs="David" w:hint="cs"/>
          <w:sz w:val="24"/>
          <w:szCs w:val="24"/>
          <w:rtl/>
        </w:rPr>
        <w:t>ל</w:t>
      </w:r>
      <w:r w:rsidR="00CF27D5">
        <w:rPr>
          <w:rFonts w:cs="David" w:hint="cs"/>
          <w:sz w:val="24"/>
          <w:szCs w:val="24"/>
          <w:rtl/>
        </w:rPr>
        <w:t>שמירה על</w:t>
      </w:r>
      <w:r w:rsidR="00CF27D5" w:rsidRPr="002E74E8">
        <w:rPr>
          <w:rFonts w:cs="David" w:hint="cs"/>
          <w:sz w:val="24"/>
          <w:szCs w:val="24"/>
          <w:rtl/>
        </w:rPr>
        <w:t xml:space="preserve"> </w:t>
      </w:r>
      <w:r w:rsidR="000310CE" w:rsidRPr="002E74E8">
        <w:rPr>
          <w:rFonts w:cs="David" w:hint="cs"/>
          <w:sz w:val="24"/>
          <w:szCs w:val="24"/>
          <w:rtl/>
        </w:rPr>
        <w:t xml:space="preserve">שער החליפין מבלי יכולת לפעול להשגת היעדים האחרים שלה, למשל מניעת אינפלציה. לכן, נצטרך לשקול מדיניות כזו רק </w:t>
      </w:r>
      <w:r w:rsidR="00CF27D5" w:rsidRPr="002E74E8">
        <w:rPr>
          <w:rFonts w:cs="David" w:hint="cs"/>
          <w:sz w:val="24"/>
          <w:szCs w:val="24"/>
          <w:rtl/>
        </w:rPr>
        <w:t>בתנאי</w:t>
      </w:r>
      <w:r w:rsidR="00CF27D5">
        <w:rPr>
          <w:rFonts w:cs="David" w:hint="cs"/>
          <w:sz w:val="24"/>
          <w:szCs w:val="24"/>
          <w:rtl/>
        </w:rPr>
        <w:t xml:space="preserve"> צמיחה </w:t>
      </w:r>
      <w:r w:rsidR="00AE64B0">
        <w:rPr>
          <w:rFonts w:cs="David" w:hint="cs"/>
          <w:sz w:val="24"/>
          <w:szCs w:val="24"/>
          <w:rtl/>
        </w:rPr>
        <w:t>ואינפלציה</w:t>
      </w:r>
      <w:r w:rsidR="00CF27D5" w:rsidRPr="002E74E8">
        <w:rPr>
          <w:rFonts w:cs="David" w:hint="cs"/>
          <w:sz w:val="24"/>
          <w:szCs w:val="24"/>
          <w:rtl/>
        </w:rPr>
        <w:t xml:space="preserve"> </w:t>
      </w:r>
      <w:r w:rsidR="000310CE" w:rsidRPr="002E74E8">
        <w:rPr>
          <w:rFonts w:cs="David" w:hint="cs"/>
          <w:sz w:val="24"/>
          <w:szCs w:val="24"/>
          <w:rtl/>
        </w:rPr>
        <w:t xml:space="preserve">מאוד שונים מאלו שקיימים היום. </w:t>
      </w:r>
    </w:p>
    <w:p w:rsidR="002E74E8" w:rsidRDefault="002E74E8" w:rsidP="00AE64B0">
      <w:pPr>
        <w:spacing w:after="0" w:line="360" w:lineRule="auto"/>
        <w:jc w:val="both"/>
        <w:rPr>
          <w:rFonts w:cs="David"/>
          <w:sz w:val="24"/>
          <w:szCs w:val="24"/>
          <w:rtl/>
        </w:rPr>
      </w:pPr>
      <w:r w:rsidRPr="00AA675E">
        <w:rPr>
          <w:rFonts w:cs="David" w:hint="cs"/>
          <w:sz w:val="24"/>
          <w:szCs w:val="24"/>
          <w:u w:val="single"/>
          <w:rtl/>
        </w:rPr>
        <w:t>לסיכום</w:t>
      </w:r>
      <w:r w:rsidR="00E17364">
        <w:rPr>
          <w:rFonts w:cs="David" w:hint="cs"/>
          <w:sz w:val="24"/>
          <w:szCs w:val="24"/>
          <w:rtl/>
        </w:rPr>
        <w:t xml:space="preserve"> (שקף 11)</w:t>
      </w:r>
      <w:r>
        <w:rPr>
          <w:rFonts w:cs="David" w:hint="cs"/>
          <w:sz w:val="24"/>
          <w:szCs w:val="24"/>
          <w:rtl/>
        </w:rPr>
        <w:t xml:space="preserve">: </w:t>
      </w:r>
    </w:p>
    <w:p w:rsidR="00CF27D5" w:rsidRPr="002E74E8" w:rsidRDefault="002E74E8" w:rsidP="00AE64B0">
      <w:pPr>
        <w:pStyle w:val="a5"/>
        <w:numPr>
          <w:ilvl w:val="0"/>
          <w:numId w:val="1"/>
        </w:numPr>
        <w:spacing w:after="0" w:line="360" w:lineRule="auto"/>
        <w:ind w:left="368" w:hanging="426"/>
        <w:jc w:val="both"/>
        <w:rPr>
          <w:rFonts w:cs="David"/>
          <w:sz w:val="24"/>
          <w:szCs w:val="24"/>
          <w:rtl/>
        </w:rPr>
      </w:pPr>
      <w:r w:rsidRPr="002E74E8">
        <w:rPr>
          <w:rFonts w:cs="David"/>
          <w:sz w:val="24"/>
          <w:szCs w:val="24"/>
          <w:rtl/>
        </w:rPr>
        <w:t>התנאים בשוק המט"ח המקומי יכולים להשתנות במהירות</w:t>
      </w:r>
      <w:r w:rsidR="00E54C3F">
        <w:rPr>
          <w:rFonts w:cs="David" w:hint="cs"/>
          <w:sz w:val="24"/>
          <w:szCs w:val="24"/>
          <w:rtl/>
        </w:rPr>
        <w:t>.</w:t>
      </w:r>
      <w:r w:rsidRPr="002E74E8">
        <w:rPr>
          <w:rFonts w:cs="David" w:hint="cs"/>
          <w:sz w:val="24"/>
          <w:szCs w:val="24"/>
          <w:rtl/>
        </w:rPr>
        <w:t xml:space="preserve"> </w:t>
      </w:r>
      <w:r w:rsidRPr="002E74E8">
        <w:rPr>
          <w:rFonts w:cs="David"/>
          <w:sz w:val="24"/>
          <w:szCs w:val="24"/>
          <w:rtl/>
        </w:rPr>
        <w:t>כתוצא</w:t>
      </w:r>
      <w:r w:rsidR="00E54C3F">
        <w:rPr>
          <w:rFonts w:cs="David"/>
          <w:sz w:val="24"/>
          <w:szCs w:val="24"/>
          <w:rtl/>
        </w:rPr>
        <w:t>ה מ</w:t>
      </w:r>
      <w:r w:rsidRPr="002E74E8">
        <w:rPr>
          <w:rFonts w:cs="David"/>
          <w:sz w:val="24"/>
          <w:szCs w:val="24"/>
          <w:rtl/>
        </w:rPr>
        <w:t>התערבות</w:t>
      </w:r>
      <w:r w:rsidR="00E54C3F">
        <w:rPr>
          <w:rFonts w:cs="David" w:hint="cs"/>
          <w:sz w:val="24"/>
          <w:szCs w:val="24"/>
          <w:rtl/>
        </w:rPr>
        <w:t xml:space="preserve"> בנק</w:t>
      </w:r>
      <w:r w:rsidR="00CF27D5">
        <w:rPr>
          <w:rFonts w:cs="David" w:hint="cs"/>
          <w:sz w:val="24"/>
          <w:szCs w:val="24"/>
          <w:rtl/>
        </w:rPr>
        <w:t xml:space="preserve"> </w:t>
      </w:r>
      <w:r w:rsidR="00E54C3F">
        <w:rPr>
          <w:rFonts w:cs="David" w:hint="cs"/>
          <w:sz w:val="24"/>
          <w:szCs w:val="24"/>
          <w:rtl/>
        </w:rPr>
        <w:t>ישראל בשוק,</w:t>
      </w:r>
      <w:r w:rsidRPr="002E74E8">
        <w:rPr>
          <w:rFonts w:cs="David"/>
          <w:sz w:val="24"/>
          <w:szCs w:val="24"/>
          <w:rtl/>
        </w:rPr>
        <w:t xml:space="preserve"> רמת יתרות המט"ח הולמת יותר </w:t>
      </w:r>
      <w:r w:rsidR="00E54C3F">
        <w:rPr>
          <w:rFonts w:cs="David" w:hint="cs"/>
          <w:sz w:val="24"/>
          <w:szCs w:val="24"/>
          <w:rtl/>
        </w:rPr>
        <w:t>את צרכי המשק ומצבו.</w:t>
      </w:r>
    </w:p>
    <w:p w:rsidR="002E74E8" w:rsidRPr="002E74E8" w:rsidRDefault="002E74E8" w:rsidP="00AE64B0">
      <w:pPr>
        <w:pStyle w:val="a5"/>
        <w:numPr>
          <w:ilvl w:val="0"/>
          <w:numId w:val="1"/>
        </w:numPr>
        <w:spacing w:after="0" w:line="360" w:lineRule="auto"/>
        <w:ind w:left="368" w:hanging="426"/>
        <w:jc w:val="both"/>
        <w:rPr>
          <w:rFonts w:cs="David"/>
          <w:sz w:val="24"/>
          <w:szCs w:val="24"/>
          <w:rtl/>
        </w:rPr>
      </w:pPr>
      <w:r w:rsidRPr="00CF27D5">
        <w:rPr>
          <w:rFonts w:cs="David"/>
          <w:sz w:val="24"/>
          <w:szCs w:val="24"/>
          <w:rtl/>
        </w:rPr>
        <w:t>בנק ישראל מתערב בשוק המט"ח כאשר שער החליפין אינו תואם את התנאים הכלכליים הבסיסיים</w:t>
      </w:r>
      <w:r w:rsidRPr="00CF27D5">
        <w:rPr>
          <w:rFonts w:cs="David" w:hint="cs"/>
          <w:sz w:val="24"/>
          <w:szCs w:val="24"/>
          <w:rtl/>
        </w:rPr>
        <w:t>.</w:t>
      </w:r>
    </w:p>
    <w:p w:rsidR="002E74E8" w:rsidRPr="00CF27D5" w:rsidRDefault="002E74E8" w:rsidP="00AE64B0">
      <w:pPr>
        <w:pStyle w:val="a5"/>
        <w:numPr>
          <w:ilvl w:val="0"/>
          <w:numId w:val="1"/>
        </w:numPr>
        <w:spacing w:after="0" w:line="360" w:lineRule="auto"/>
        <w:ind w:left="368" w:hanging="426"/>
        <w:jc w:val="both"/>
        <w:rPr>
          <w:rFonts w:cs="David"/>
          <w:sz w:val="24"/>
          <w:szCs w:val="24"/>
          <w:rtl/>
        </w:rPr>
      </w:pPr>
      <w:r w:rsidRPr="00AE64B0">
        <w:rPr>
          <w:rFonts w:cs="David" w:hint="cs"/>
          <w:sz w:val="24"/>
          <w:szCs w:val="24"/>
          <w:rtl/>
        </w:rPr>
        <w:t>תכנית</w:t>
      </w:r>
      <w:r w:rsidRPr="00AE64B0">
        <w:rPr>
          <w:rFonts w:cs="David"/>
          <w:sz w:val="24"/>
          <w:szCs w:val="24"/>
          <w:rtl/>
        </w:rPr>
        <w:t xml:space="preserve"> </w:t>
      </w:r>
      <w:r w:rsidRPr="00AE64B0">
        <w:rPr>
          <w:rFonts w:cs="David" w:hint="cs"/>
          <w:sz w:val="24"/>
          <w:szCs w:val="24"/>
          <w:rtl/>
        </w:rPr>
        <w:t>הגז</w:t>
      </w:r>
      <w:r w:rsidRPr="00AE64B0">
        <w:rPr>
          <w:rFonts w:cs="David"/>
          <w:sz w:val="24"/>
          <w:szCs w:val="24"/>
          <w:rtl/>
        </w:rPr>
        <w:t xml:space="preserve"> </w:t>
      </w:r>
      <w:r w:rsidRPr="00AE64B0">
        <w:rPr>
          <w:rFonts w:cs="David" w:hint="cs"/>
          <w:sz w:val="24"/>
          <w:szCs w:val="24"/>
          <w:rtl/>
        </w:rPr>
        <w:t>ממתנת</w:t>
      </w:r>
      <w:r w:rsidRPr="00AE64B0">
        <w:rPr>
          <w:rFonts w:cs="David"/>
          <w:sz w:val="24"/>
          <w:szCs w:val="24"/>
          <w:rtl/>
        </w:rPr>
        <w:t xml:space="preserve"> </w:t>
      </w:r>
      <w:r w:rsidRPr="00AE64B0">
        <w:rPr>
          <w:rFonts w:cs="David" w:hint="cs"/>
          <w:sz w:val="24"/>
          <w:szCs w:val="24"/>
          <w:rtl/>
        </w:rPr>
        <w:t>את</w:t>
      </w:r>
      <w:r w:rsidRPr="00AE64B0">
        <w:rPr>
          <w:rFonts w:cs="David"/>
          <w:sz w:val="24"/>
          <w:szCs w:val="24"/>
          <w:rtl/>
        </w:rPr>
        <w:t xml:space="preserve"> </w:t>
      </w:r>
      <w:r w:rsidRPr="00AE64B0">
        <w:rPr>
          <w:rFonts w:cs="David" w:hint="cs"/>
          <w:sz w:val="24"/>
          <w:szCs w:val="24"/>
          <w:rtl/>
        </w:rPr>
        <w:t>הלחץ</w:t>
      </w:r>
      <w:r w:rsidRPr="00AE64B0">
        <w:rPr>
          <w:rFonts w:cs="David"/>
          <w:sz w:val="24"/>
          <w:szCs w:val="24"/>
          <w:rtl/>
        </w:rPr>
        <w:t xml:space="preserve"> </w:t>
      </w:r>
      <w:r w:rsidRPr="00AE64B0">
        <w:rPr>
          <w:rFonts w:cs="David" w:hint="cs"/>
          <w:sz w:val="24"/>
          <w:szCs w:val="24"/>
          <w:rtl/>
        </w:rPr>
        <w:t>על</w:t>
      </w:r>
      <w:r w:rsidRPr="00AE64B0">
        <w:rPr>
          <w:rFonts w:cs="David"/>
          <w:sz w:val="24"/>
          <w:szCs w:val="24"/>
          <w:rtl/>
        </w:rPr>
        <w:t xml:space="preserve"> </w:t>
      </w:r>
      <w:r w:rsidRPr="00AE64B0">
        <w:rPr>
          <w:rFonts w:cs="David" w:hint="cs"/>
          <w:sz w:val="24"/>
          <w:szCs w:val="24"/>
          <w:rtl/>
        </w:rPr>
        <w:t>שער</w:t>
      </w:r>
      <w:r w:rsidRPr="00AE64B0">
        <w:rPr>
          <w:rFonts w:cs="David"/>
          <w:sz w:val="24"/>
          <w:szCs w:val="24"/>
          <w:rtl/>
        </w:rPr>
        <w:t xml:space="preserve"> </w:t>
      </w:r>
      <w:r w:rsidRPr="00AE64B0">
        <w:rPr>
          <w:rFonts w:cs="David" w:hint="cs"/>
          <w:sz w:val="24"/>
          <w:szCs w:val="24"/>
          <w:rtl/>
        </w:rPr>
        <w:t>החליפין</w:t>
      </w:r>
      <w:r w:rsidRPr="00AE64B0">
        <w:rPr>
          <w:rFonts w:cs="David"/>
          <w:sz w:val="24"/>
          <w:szCs w:val="24"/>
          <w:rtl/>
        </w:rPr>
        <w:t xml:space="preserve"> </w:t>
      </w:r>
      <w:r w:rsidRPr="00AE64B0">
        <w:rPr>
          <w:rFonts w:cs="David" w:hint="cs"/>
          <w:sz w:val="24"/>
          <w:szCs w:val="24"/>
          <w:rtl/>
        </w:rPr>
        <w:t>כתוצאה</w:t>
      </w:r>
      <w:r w:rsidRPr="00AE64B0">
        <w:rPr>
          <w:rFonts w:cs="David"/>
          <w:sz w:val="24"/>
          <w:szCs w:val="24"/>
          <w:rtl/>
        </w:rPr>
        <w:t xml:space="preserve"> </w:t>
      </w:r>
      <w:r w:rsidRPr="00AE64B0">
        <w:rPr>
          <w:rFonts w:cs="David" w:hint="cs"/>
          <w:sz w:val="24"/>
          <w:szCs w:val="24"/>
          <w:rtl/>
        </w:rPr>
        <w:t>מהפקת</w:t>
      </w:r>
      <w:r w:rsidRPr="00AE64B0">
        <w:rPr>
          <w:rFonts w:cs="David"/>
          <w:sz w:val="24"/>
          <w:szCs w:val="24"/>
          <w:rtl/>
        </w:rPr>
        <w:t xml:space="preserve"> </w:t>
      </w:r>
      <w:r w:rsidRPr="00AE64B0">
        <w:rPr>
          <w:rFonts w:cs="David" w:hint="cs"/>
          <w:sz w:val="24"/>
          <w:szCs w:val="24"/>
          <w:rtl/>
        </w:rPr>
        <w:t>הגז</w:t>
      </w:r>
      <w:r w:rsidRPr="00AE64B0">
        <w:rPr>
          <w:rFonts w:cs="David"/>
          <w:sz w:val="24"/>
          <w:szCs w:val="24"/>
          <w:rtl/>
        </w:rPr>
        <w:t xml:space="preserve"> </w:t>
      </w:r>
      <w:r w:rsidRPr="00AE64B0">
        <w:rPr>
          <w:rFonts w:cs="David" w:hint="cs"/>
          <w:sz w:val="24"/>
          <w:szCs w:val="24"/>
          <w:rtl/>
        </w:rPr>
        <w:t>בישראל</w:t>
      </w:r>
      <w:r w:rsidRPr="00CF27D5">
        <w:rPr>
          <w:rFonts w:cs="David" w:hint="cs"/>
          <w:sz w:val="24"/>
          <w:szCs w:val="24"/>
          <w:rtl/>
        </w:rPr>
        <w:t>.</w:t>
      </w:r>
    </w:p>
    <w:p w:rsidR="002E74E8" w:rsidRPr="002E74E8" w:rsidRDefault="002E74E8" w:rsidP="00AE64B0">
      <w:pPr>
        <w:pStyle w:val="a5"/>
        <w:numPr>
          <w:ilvl w:val="0"/>
          <w:numId w:val="1"/>
        </w:numPr>
        <w:spacing w:after="0" w:line="360" w:lineRule="auto"/>
        <w:ind w:left="368" w:hanging="426"/>
        <w:jc w:val="both"/>
        <w:rPr>
          <w:rFonts w:cs="David"/>
          <w:sz w:val="24"/>
          <w:szCs w:val="24"/>
          <w:rtl/>
        </w:rPr>
      </w:pPr>
      <w:r w:rsidRPr="002E74E8">
        <w:rPr>
          <w:rFonts w:cs="David"/>
          <w:sz w:val="24"/>
          <w:szCs w:val="24"/>
          <w:rtl/>
        </w:rPr>
        <w:t>התנודתיות בשוק המט"ח העולמי היא עובדה ומצריכה התייחסות בתוכניות העסקיות של עסקים גדולים וקטנים כאחד</w:t>
      </w:r>
      <w:r w:rsidRPr="002E74E8">
        <w:rPr>
          <w:rFonts w:cs="David" w:hint="cs"/>
          <w:sz w:val="24"/>
          <w:szCs w:val="24"/>
          <w:rtl/>
        </w:rPr>
        <w:t>.</w:t>
      </w:r>
    </w:p>
    <w:p w:rsidR="0012699D" w:rsidRPr="002E74E8" w:rsidRDefault="0012699D" w:rsidP="0012699D">
      <w:pPr>
        <w:jc w:val="center"/>
        <w:rPr>
          <w:rFonts w:cs="David"/>
          <w:sz w:val="24"/>
          <w:szCs w:val="24"/>
          <w:u w:val="single"/>
        </w:rPr>
      </w:pPr>
    </w:p>
    <w:sectPr w:rsidR="0012699D" w:rsidRPr="002E74E8" w:rsidSect="00AE64B0">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08" w:footer="22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1CE" w:rsidRDefault="00BD71CE" w:rsidP="00131723">
      <w:pPr>
        <w:spacing w:after="0" w:line="240" w:lineRule="auto"/>
      </w:pPr>
      <w:r>
        <w:separator/>
      </w:r>
    </w:p>
  </w:endnote>
  <w:endnote w:type="continuationSeparator" w:id="0">
    <w:p w:rsidR="00BD71CE" w:rsidRDefault="00BD71CE" w:rsidP="00131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David">
    <w:panose1 w:val="00000000000000000000"/>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7BA" w:rsidRDefault="003F17B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4B0" w:rsidRPr="00AE64B0" w:rsidRDefault="00AE64B0" w:rsidP="00AE64B0">
    <w:pPr>
      <w:pStyle w:val="a8"/>
      <w:ind w:left="-1050"/>
      <w:rPr>
        <w:rFonts w:cs="David"/>
        <w:sz w:val="18"/>
        <w:szCs w:val="18"/>
        <w:rtl/>
        <w:cs/>
      </w:rPr>
    </w:pPr>
    <w:r>
      <w:rPr>
        <w:rFonts w:cs="David" w:hint="cs"/>
        <w:sz w:val="18"/>
        <w:szCs w:val="18"/>
        <w:rtl/>
      </w:rPr>
      <w:t xml:space="preserve">בנק ישראל - </w:t>
    </w:r>
    <w:r w:rsidRPr="00AE64B0">
      <w:rPr>
        <w:rFonts w:cs="David" w:hint="cs"/>
        <w:sz w:val="18"/>
        <w:szCs w:val="18"/>
        <w:rtl/>
      </w:rPr>
      <w:t>עיקרי דבריו של אנדרו אביר, מנהל חטיבת השווקים, בדיון בוועדת הכספים בנושא מדיניות בנק ישראל בשוק המט"ח</w:t>
    </w:r>
    <w:r>
      <w:rPr>
        <w:rFonts w:cs="David" w:hint="cs"/>
        <w:sz w:val="18"/>
        <w:szCs w:val="18"/>
        <w:rtl/>
      </w:rPr>
      <w:tab/>
    </w:r>
    <w:r>
      <w:rPr>
        <w:rFonts w:cs="David" w:hint="cs"/>
        <w:sz w:val="18"/>
        <w:szCs w:val="18"/>
        <w:rtl/>
      </w:rPr>
      <w:tab/>
    </w:r>
    <w:sdt>
      <w:sdtPr>
        <w:rPr>
          <w:rFonts w:cs="David"/>
          <w:sz w:val="18"/>
          <w:szCs w:val="18"/>
          <w:rtl/>
        </w:rPr>
        <w:id w:val="181872596"/>
        <w:docPartObj>
          <w:docPartGallery w:val="Page Numbers (Bottom of Page)"/>
          <w:docPartUnique/>
        </w:docPartObj>
      </w:sdtPr>
      <w:sdtEndPr>
        <w:rPr>
          <w:cs/>
        </w:rPr>
      </w:sdtEndPr>
      <w:sdtContent>
        <w:sdt>
          <w:sdtPr>
            <w:rPr>
              <w:rFonts w:cs="David"/>
              <w:sz w:val="18"/>
              <w:szCs w:val="18"/>
              <w:rtl/>
            </w:rPr>
            <w:id w:val="860082579"/>
            <w:docPartObj>
              <w:docPartGallery w:val="Page Numbers (Top of Page)"/>
              <w:docPartUnique/>
            </w:docPartObj>
          </w:sdtPr>
          <w:sdtEndPr/>
          <w:sdtContent>
            <w:r w:rsidRPr="00AE64B0">
              <w:rPr>
                <w:rFonts w:cs="David"/>
                <w:sz w:val="18"/>
                <w:szCs w:val="18"/>
                <w:rtl/>
                <w:cs/>
              </w:rPr>
              <w:t xml:space="preserve">עמוד </w:t>
            </w:r>
            <w:r w:rsidRPr="00AE64B0">
              <w:rPr>
                <w:rFonts w:cs="David"/>
                <w:sz w:val="18"/>
                <w:szCs w:val="18"/>
              </w:rPr>
              <w:fldChar w:fldCharType="begin"/>
            </w:r>
            <w:r w:rsidRPr="00AE64B0">
              <w:rPr>
                <w:rFonts w:cs="David"/>
                <w:sz w:val="18"/>
                <w:szCs w:val="18"/>
                <w:rtl/>
                <w:cs/>
              </w:rPr>
              <w:instrText>PAGE</w:instrText>
            </w:r>
            <w:r w:rsidRPr="00AE64B0">
              <w:rPr>
                <w:rFonts w:cs="David"/>
                <w:sz w:val="18"/>
                <w:szCs w:val="18"/>
              </w:rPr>
              <w:fldChar w:fldCharType="separate"/>
            </w:r>
            <w:r w:rsidR="002C6FE0">
              <w:rPr>
                <w:rFonts w:cs="David"/>
                <w:noProof/>
                <w:sz w:val="18"/>
                <w:szCs w:val="18"/>
                <w:rtl/>
              </w:rPr>
              <w:t>1</w:t>
            </w:r>
            <w:r w:rsidRPr="00AE64B0">
              <w:rPr>
                <w:rFonts w:cs="David"/>
                <w:sz w:val="18"/>
                <w:szCs w:val="18"/>
              </w:rPr>
              <w:fldChar w:fldCharType="end"/>
            </w:r>
            <w:r w:rsidRPr="00AE64B0">
              <w:rPr>
                <w:rFonts w:cs="David"/>
                <w:sz w:val="18"/>
                <w:szCs w:val="18"/>
                <w:rtl/>
                <w:cs/>
              </w:rPr>
              <w:t xml:space="preserve"> מתוך </w:t>
            </w:r>
            <w:r w:rsidRPr="00AE64B0">
              <w:rPr>
                <w:rFonts w:cs="David"/>
                <w:sz w:val="18"/>
                <w:szCs w:val="18"/>
              </w:rPr>
              <w:fldChar w:fldCharType="begin"/>
            </w:r>
            <w:r w:rsidRPr="00AE64B0">
              <w:rPr>
                <w:rFonts w:cs="David"/>
                <w:sz w:val="18"/>
                <w:szCs w:val="18"/>
                <w:rtl/>
                <w:cs/>
              </w:rPr>
              <w:instrText>NUMPAGES</w:instrText>
            </w:r>
            <w:r w:rsidRPr="00AE64B0">
              <w:rPr>
                <w:rFonts w:cs="David"/>
                <w:sz w:val="18"/>
                <w:szCs w:val="18"/>
              </w:rPr>
              <w:fldChar w:fldCharType="separate"/>
            </w:r>
            <w:r w:rsidR="002C6FE0">
              <w:rPr>
                <w:rFonts w:cs="David"/>
                <w:noProof/>
                <w:sz w:val="18"/>
                <w:szCs w:val="18"/>
                <w:rtl/>
              </w:rPr>
              <w:t>2</w:t>
            </w:r>
            <w:r w:rsidRPr="00AE64B0">
              <w:rPr>
                <w:rFonts w:cs="David"/>
                <w:sz w:val="18"/>
                <w:szCs w:val="18"/>
              </w:rPr>
              <w:fldChar w:fldCharType="end"/>
            </w:r>
          </w:sdtContent>
        </w:sdt>
      </w:sdtContent>
    </w:sdt>
  </w:p>
  <w:p w:rsidR="00AE64B0" w:rsidRDefault="00AE64B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7BA" w:rsidRDefault="003F17B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1CE" w:rsidRDefault="00BD71CE" w:rsidP="00131723">
      <w:pPr>
        <w:spacing w:after="0" w:line="240" w:lineRule="auto"/>
      </w:pPr>
      <w:r>
        <w:separator/>
      </w:r>
    </w:p>
  </w:footnote>
  <w:footnote w:type="continuationSeparator" w:id="0">
    <w:p w:rsidR="00BD71CE" w:rsidRDefault="00BD71CE" w:rsidP="001317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7BA" w:rsidRDefault="003F17BA">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7BA" w:rsidRDefault="003F17BA">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7BA" w:rsidRDefault="003F17B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1F34B4"/>
    <w:multiLevelType w:val="hybridMultilevel"/>
    <w:tmpl w:val="DF80B7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99D"/>
    <w:rsid w:val="00005BFE"/>
    <w:rsid w:val="00025596"/>
    <w:rsid w:val="000310CE"/>
    <w:rsid w:val="0012699D"/>
    <w:rsid w:val="00131723"/>
    <w:rsid w:val="00217771"/>
    <w:rsid w:val="002C6FE0"/>
    <w:rsid w:val="002E74E8"/>
    <w:rsid w:val="00317C08"/>
    <w:rsid w:val="003775BA"/>
    <w:rsid w:val="003F17BA"/>
    <w:rsid w:val="004665BD"/>
    <w:rsid w:val="004C07BA"/>
    <w:rsid w:val="00524813"/>
    <w:rsid w:val="00671C67"/>
    <w:rsid w:val="00683998"/>
    <w:rsid w:val="006A520A"/>
    <w:rsid w:val="006E73E6"/>
    <w:rsid w:val="00766680"/>
    <w:rsid w:val="007E04F9"/>
    <w:rsid w:val="00AA675E"/>
    <w:rsid w:val="00AE64B0"/>
    <w:rsid w:val="00AE690E"/>
    <w:rsid w:val="00AF03C3"/>
    <w:rsid w:val="00B721A8"/>
    <w:rsid w:val="00BD71CE"/>
    <w:rsid w:val="00C60EAE"/>
    <w:rsid w:val="00CF27D5"/>
    <w:rsid w:val="00D179F8"/>
    <w:rsid w:val="00D6276D"/>
    <w:rsid w:val="00E17364"/>
    <w:rsid w:val="00E54C3F"/>
    <w:rsid w:val="00EC49C4"/>
    <w:rsid w:val="00EE7D6E"/>
    <w:rsid w:val="00FB405F"/>
    <w:rsid w:val="00FF551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74E8"/>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2E74E8"/>
    <w:rPr>
      <w:rFonts w:ascii="Tahoma" w:hAnsi="Tahoma" w:cs="Tahoma"/>
      <w:sz w:val="16"/>
      <w:szCs w:val="16"/>
    </w:rPr>
  </w:style>
  <w:style w:type="paragraph" w:styleId="a5">
    <w:name w:val="List Paragraph"/>
    <w:basedOn w:val="a"/>
    <w:uiPriority w:val="34"/>
    <w:qFormat/>
    <w:rsid w:val="002E74E8"/>
    <w:pPr>
      <w:ind w:left="720"/>
      <w:contextualSpacing/>
    </w:pPr>
  </w:style>
  <w:style w:type="paragraph" w:styleId="a6">
    <w:name w:val="header"/>
    <w:basedOn w:val="a"/>
    <w:link w:val="a7"/>
    <w:uiPriority w:val="99"/>
    <w:unhideWhenUsed/>
    <w:rsid w:val="00131723"/>
    <w:pPr>
      <w:tabs>
        <w:tab w:val="center" w:pos="4153"/>
        <w:tab w:val="right" w:pos="8306"/>
      </w:tabs>
      <w:spacing w:after="0" w:line="240" w:lineRule="auto"/>
    </w:pPr>
  </w:style>
  <w:style w:type="character" w:customStyle="1" w:styleId="a7">
    <w:name w:val="כותרת עליונה תו"/>
    <w:basedOn w:val="a0"/>
    <w:link w:val="a6"/>
    <w:uiPriority w:val="99"/>
    <w:rsid w:val="00131723"/>
  </w:style>
  <w:style w:type="paragraph" w:styleId="a8">
    <w:name w:val="footer"/>
    <w:basedOn w:val="a"/>
    <w:link w:val="a9"/>
    <w:uiPriority w:val="99"/>
    <w:unhideWhenUsed/>
    <w:rsid w:val="00131723"/>
    <w:pPr>
      <w:tabs>
        <w:tab w:val="center" w:pos="4153"/>
        <w:tab w:val="right" w:pos="8306"/>
      </w:tabs>
      <w:spacing w:after="0" w:line="240" w:lineRule="auto"/>
    </w:pPr>
  </w:style>
  <w:style w:type="character" w:customStyle="1" w:styleId="a9">
    <w:name w:val="כותרת תחתונה תו"/>
    <w:basedOn w:val="a0"/>
    <w:link w:val="a8"/>
    <w:uiPriority w:val="99"/>
    <w:rsid w:val="00131723"/>
  </w:style>
  <w:style w:type="character" w:styleId="aa">
    <w:name w:val="annotation reference"/>
    <w:basedOn w:val="a0"/>
    <w:uiPriority w:val="99"/>
    <w:semiHidden/>
    <w:unhideWhenUsed/>
    <w:rsid w:val="00FB405F"/>
    <w:rPr>
      <w:sz w:val="16"/>
      <w:szCs w:val="16"/>
    </w:rPr>
  </w:style>
  <w:style w:type="paragraph" w:styleId="ab">
    <w:name w:val="annotation text"/>
    <w:basedOn w:val="a"/>
    <w:link w:val="ac"/>
    <w:uiPriority w:val="99"/>
    <w:semiHidden/>
    <w:unhideWhenUsed/>
    <w:rsid w:val="00FB405F"/>
    <w:pPr>
      <w:spacing w:line="240" w:lineRule="auto"/>
    </w:pPr>
    <w:rPr>
      <w:sz w:val="20"/>
      <w:szCs w:val="20"/>
    </w:rPr>
  </w:style>
  <w:style w:type="character" w:customStyle="1" w:styleId="ac">
    <w:name w:val="טקסט הערה תו"/>
    <w:basedOn w:val="a0"/>
    <w:link w:val="ab"/>
    <w:uiPriority w:val="99"/>
    <w:semiHidden/>
    <w:rsid w:val="00FB405F"/>
    <w:rPr>
      <w:sz w:val="20"/>
      <w:szCs w:val="20"/>
    </w:rPr>
  </w:style>
  <w:style w:type="paragraph" w:styleId="ad">
    <w:name w:val="annotation subject"/>
    <w:basedOn w:val="ab"/>
    <w:next w:val="ab"/>
    <w:link w:val="ae"/>
    <w:uiPriority w:val="99"/>
    <w:semiHidden/>
    <w:unhideWhenUsed/>
    <w:rsid w:val="00FB405F"/>
    <w:rPr>
      <w:b/>
      <w:bCs/>
    </w:rPr>
  </w:style>
  <w:style w:type="character" w:customStyle="1" w:styleId="ae">
    <w:name w:val="נושא הערה תו"/>
    <w:basedOn w:val="ac"/>
    <w:link w:val="ad"/>
    <w:uiPriority w:val="99"/>
    <w:semiHidden/>
    <w:rsid w:val="00FB405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74E8"/>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2E74E8"/>
    <w:rPr>
      <w:rFonts w:ascii="Tahoma" w:hAnsi="Tahoma" w:cs="Tahoma"/>
      <w:sz w:val="16"/>
      <w:szCs w:val="16"/>
    </w:rPr>
  </w:style>
  <w:style w:type="paragraph" w:styleId="a5">
    <w:name w:val="List Paragraph"/>
    <w:basedOn w:val="a"/>
    <w:uiPriority w:val="34"/>
    <w:qFormat/>
    <w:rsid w:val="002E74E8"/>
    <w:pPr>
      <w:ind w:left="720"/>
      <w:contextualSpacing/>
    </w:pPr>
  </w:style>
  <w:style w:type="paragraph" w:styleId="a6">
    <w:name w:val="header"/>
    <w:basedOn w:val="a"/>
    <w:link w:val="a7"/>
    <w:uiPriority w:val="99"/>
    <w:unhideWhenUsed/>
    <w:rsid w:val="00131723"/>
    <w:pPr>
      <w:tabs>
        <w:tab w:val="center" w:pos="4153"/>
        <w:tab w:val="right" w:pos="8306"/>
      </w:tabs>
      <w:spacing w:after="0" w:line="240" w:lineRule="auto"/>
    </w:pPr>
  </w:style>
  <w:style w:type="character" w:customStyle="1" w:styleId="a7">
    <w:name w:val="כותרת עליונה תו"/>
    <w:basedOn w:val="a0"/>
    <w:link w:val="a6"/>
    <w:uiPriority w:val="99"/>
    <w:rsid w:val="00131723"/>
  </w:style>
  <w:style w:type="paragraph" w:styleId="a8">
    <w:name w:val="footer"/>
    <w:basedOn w:val="a"/>
    <w:link w:val="a9"/>
    <w:uiPriority w:val="99"/>
    <w:unhideWhenUsed/>
    <w:rsid w:val="00131723"/>
    <w:pPr>
      <w:tabs>
        <w:tab w:val="center" w:pos="4153"/>
        <w:tab w:val="right" w:pos="8306"/>
      </w:tabs>
      <w:spacing w:after="0" w:line="240" w:lineRule="auto"/>
    </w:pPr>
  </w:style>
  <w:style w:type="character" w:customStyle="1" w:styleId="a9">
    <w:name w:val="כותרת תחתונה תו"/>
    <w:basedOn w:val="a0"/>
    <w:link w:val="a8"/>
    <w:uiPriority w:val="99"/>
    <w:rsid w:val="00131723"/>
  </w:style>
  <w:style w:type="character" w:styleId="aa">
    <w:name w:val="annotation reference"/>
    <w:basedOn w:val="a0"/>
    <w:uiPriority w:val="99"/>
    <w:semiHidden/>
    <w:unhideWhenUsed/>
    <w:rsid w:val="00FB405F"/>
    <w:rPr>
      <w:sz w:val="16"/>
      <w:szCs w:val="16"/>
    </w:rPr>
  </w:style>
  <w:style w:type="paragraph" w:styleId="ab">
    <w:name w:val="annotation text"/>
    <w:basedOn w:val="a"/>
    <w:link w:val="ac"/>
    <w:uiPriority w:val="99"/>
    <w:semiHidden/>
    <w:unhideWhenUsed/>
    <w:rsid w:val="00FB405F"/>
    <w:pPr>
      <w:spacing w:line="240" w:lineRule="auto"/>
    </w:pPr>
    <w:rPr>
      <w:sz w:val="20"/>
      <w:szCs w:val="20"/>
    </w:rPr>
  </w:style>
  <w:style w:type="character" w:customStyle="1" w:styleId="ac">
    <w:name w:val="טקסט הערה תו"/>
    <w:basedOn w:val="a0"/>
    <w:link w:val="ab"/>
    <w:uiPriority w:val="99"/>
    <w:semiHidden/>
    <w:rsid w:val="00FB405F"/>
    <w:rPr>
      <w:sz w:val="20"/>
      <w:szCs w:val="20"/>
    </w:rPr>
  </w:style>
  <w:style w:type="paragraph" w:styleId="ad">
    <w:name w:val="annotation subject"/>
    <w:basedOn w:val="ab"/>
    <w:next w:val="ab"/>
    <w:link w:val="ae"/>
    <w:uiPriority w:val="99"/>
    <w:semiHidden/>
    <w:unhideWhenUsed/>
    <w:rsid w:val="00FB405F"/>
    <w:rPr>
      <w:b/>
      <w:bCs/>
    </w:rPr>
  </w:style>
  <w:style w:type="character" w:customStyle="1" w:styleId="ae">
    <w:name w:val="נושא הערה תו"/>
    <w:basedOn w:val="ac"/>
    <w:link w:val="ad"/>
    <w:uiPriority w:val="99"/>
    <w:semiHidden/>
    <w:rsid w:val="00FB40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24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eWaveListOrderValue xmlns="http://schemas.microsoft.com/sharepoint/v3" xsi:nil="true"/>
    <_DCDateCreated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0644CCD52964FE4BBD8AB8E0B060EA47" ma:contentTypeVersion="3" ma:contentTypeDescription="צור מסמך חדש." ma:contentTypeScope="" ma:versionID="2bb10b40ee8d3a599c5f62d28aa9a0b5">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c347f0a8e3e1664f2bb8f913eca227a"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1:eWaveListOrderValu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element name="eWaveListOrderValue" ma:index="10" nillable="true" ma:displayName="סידור" ma:decimals="2" ma:internalName="eWaveListOrderValue"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1" nillable="true" ma:displayName="תאריך יצירה" ma:description="התאריך שבו נוצר משאב זה"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0196D4-20D2-416B-ACC9-983CE009A385}"/>
</file>

<file path=customXml/itemProps2.xml><?xml version="1.0" encoding="utf-8"?>
<ds:datastoreItem xmlns:ds="http://schemas.openxmlformats.org/officeDocument/2006/customXml" ds:itemID="{D9D21C54-7209-4B37-979C-344D13CEB02C}"/>
</file>

<file path=customXml/itemProps3.xml><?xml version="1.0" encoding="utf-8"?>
<ds:datastoreItem xmlns:ds="http://schemas.openxmlformats.org/officeDocument/2006/customXml" ds:itemID="{F6353C28-9CB7-4DF9-BE0F-61E6608DD265}"/>
</file>

<file path=docProps/app.xml><?xml version="1.0" encoding="utf-8"?>
<Properties xmlns="http://schemas.openxmlformats.org/officeDocument/2006/extended-properties" xmlns:vt="http://schemas.openxmlformats.org/officeDocument/2006/docPropsVTypes">
  <Template>Normal.dotm</Template>
  <TotalTime>0</TotalTime>
  <Pages>2</Pages>
  <Words>663</Words>
  <Characters>3318</Characters>
  <Application>Microsoft Office Word</Application>
  <DocSecurity>4</DocSecurity>
  <Lines>27</Lines>
  <Paragraphs>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LinksUpToDate>false</LinksUpToDate>
  <CharactersWithSpaces>3974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2014-06-09T10:48:00Z</dcterms:created>
  <dcterms:modified xsi:type="dcterms:W3CDTF">2014-06-09T10:48:00Z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0x0101000644CCD52964FE4BBD8AB8E0B060EA47</vt:lpwstr>
  </property>
</Properties>
</file>