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8C" w:rsidRPr="0074278C" w:rsidRDefault="0074278C" w:rsidP="0074278C">
      <w:pPr>
        <w:overflowPunct/>
        <w:autoSpaceDE/>
        <w:autoSpaceDN/>
        <w:adjustRightInd/>
        <w:spacing w:before="240" w:after="200"/>
        <w:jc w:val="both"/>
        <w:textAlignment w:val="auto"/>
        <w:rPr>
          <w:rFonts w:eastAsiaTheme="minorEastAsia" w:cs="David"/>
          <w:sz w:val="24"/>
          <w:szCs w:val="24"/>
        </w:rPr>
      </w:pPr>
    </w:p>
    <w:tbl>
      <w:tblPr>
        <w:tblpPr w:leftFromText="180" w:rightFromText="180" w:vertAnchor="page" w:horzAnchor="margin" w:tblpXSpec="center" w:tblpY="961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74278C" w:rsidRPr="0074278C" w:rsidTr="00204F8D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78C" w:rsidRPr="0074278C" w:rsidRDefault="0074278C" w:rsidP="007427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 w:line="276" w:lineRule="auto"/>
              <w:ind w:left="32"/>
              <w:jc w:val="center"/>
              <w:textAlignment w:val="auto"/>
              <w:rPr>
                <w:rFonts w:cs="David"/>
                <w:b/>
                <w:bCs/>
                <w:sz w:val="28"/>
                <w:szCs w:val="28"/>
              </w:rPr>
            </w:pPr>
            <w:r w:rsidRPr="0074278C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74278C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74278C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74278C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4278C" w:rsidRPr="0074278C" w:rsidRDefault="0074278C" w:rsidP="007427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 w:line="276" w:lineRule="auto"/>
              <w:ind w:left="32" w:right="-101"/>
              <w:jc w:val="center"/>
              <w:textAlignment w:val="auto"/>
              <w:rPr>
                <w:rFonts w:cs="David"/>
                <w:sz w:val="24"/>
                <w:szCs w:val="24"/>
              </w:rPr>
            </w:pPr>
            <w:r w:rsidRPr="0074278C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4278C" w:rsidRPr="0074278C" w:rsidRDefault="0074278C" w:rsidP="007427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/>
              <w:ind w:left="32"/>
              <w:jc w:val="center"/>
              <w:textAlignment w:val="auto"/>
              <w:rPr>
                <w:rFonts w:cs="David"/>
                <w:sz w:val="24"/>
                <w:szCs w:val="24"/>
              </w:rPr>
            </w:pPr>
            <w:r w:rsidRPr="0074278C">
              <w:rPr>
                <w:rFonts w:eastAsiaTheme="minorEastAsia" w:cs="David"/>
                <w:noProof/>
                <w:sz w:val="24"/>
                <w:szCs w:val="24"/>
              </w:rPr>
              <w:t xml:space="preserve"> </w:t>
            </w:r>
            <w:r w:rsidRPr="0074278C">
              <w:rPr>
                <w:rFonts w:eastAsiaTheme="minorEastAsia" w:cs="David"/>
                <w:noProof/>
                <w:sz w:val="24"/>
                <w:szCs w:val="24"/>
              </w:rPr>
              <w:drawing>
                <wp:inline distT="0" distB="0" distL="0" distR="0" wp14:anchorId="367445BF" wp14:editId="25A48C7A">
                  <wp:extent cx="829963" cy="720000"/>
                  <wp:effectExtent l="0" t="0" r="8255" b="444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תמונה 4" descr="לוגו בנק ישראל" title="לוגו בנק ישראל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996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78C" w:rsidRPr="0074278C" w:rsidRDefault="0074278C" w:rsidP="007427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 w:line="276" w:lineRule="auto"/>
              <w:ind w:left="32"/>
              <w:jc w:val="right"/>
              <w:textAlignment w:val="auto"/>
              <w:rPr>
                <w:rFonts w:cs="David"/>
                <w:sz w:val="24"/>
                <w:szCs w:val="24"/>
                <w:rtl/>
              </w:rPr>
            </w:pPr>
            <w:r w:rsidRPr="0074278C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74278C">
              <w:rPr>
                <w:rFonts w:cs="David" w:hint="cs"/>
                <w:sz w:val="24"/>
                <w:szCs w:val="24"/>
                <w:rtl/>
              </w:rPr>
              <w:t xml:space="preserve"> ירושלים, </w:t>
            </w:r>
            <w:r>
              <w:rPr>
                <w:rFonts w:cs="David" w:hint="cs"/>
                <w:sz w:val="24"/>
                <w:szCs w:val="24"/>
                <w:rtl/>
              </w:rPr>
              <w:t>י"ג</w:t>
            </w:r>
            <w:r w:rsidRPr="0074278C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בחשוון</w:t>
            </w:r>
            <w:r w:rsidRPr="0074278C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74278C">
              <w:rPr>
                <w:rFonts w:cs="David" w:hint="eastAsia"/>
                <w:sz w:val="24"/>
                <w:szCs w:val="24"/>
                <w:rtl/>
              </w:rPr>
              <w:t>תשפ</w:t>
            </w:r>
            <w:r w:rsidRPr="0074278C">
              <w:rPr>
                <w:rFonts w:cs="David"/>
                <w:sz w:val="24"/>
                <w:szCs w:val="24"/>
                <w:rtl/>
              </w:rPr>
              <w:t>"</w:t>
            </w:r>
            <w:r w:rsidRPr="0074278C">
              <w:rPr>
                <w:rFonts w:cs="David" w:hint="cs"/>
                <w:sz w:val="24"/>
                <w:szCs w:val="24"/>
                <w:rtl/>
              </w:rPr>
              <w:t>ב</w:t>
            </w:r>
            <w:r w:rsidRPr="0074278C">
              <w:rPr>
                <w:rFonts w:cs="David" w:hint="eastAsia"/>
                <w:sz w:val="24"/>
                <w:szCs w:val="24"/>
                <w:rtl/>
              </w:rPr>
              <w:t>‏</w:t>
            </w:r>
          </w:p>
          <w:p w:rsidR="0074278C" w:rsidRPr="0074278C" w:rsidRDefault="0074278C" w:rsidP="0074278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overflowPunct/>
              <w:autoSpaceDE/>
              <w:autoSpaceDN/>
              <w:adjustRightInd/>
              <w:spacing w:before="240" w:line="276" w:lineRule="auto"/>
              <w:ind w:left="32"/>
              <w:jc w:val="right"/>
              <w:textAlignment w:val="auto"/>
              <w:rPr>
                <w:rFonts w:cs="David"/>
                <w:sz w:val="24"/>
                <w:szCs w:val="24"/>
                <w:highlight w:val="yellow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  <w:r w:rsidRPr="0074278C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בנובמבר</w:t>
            </w:r>
            <w:r w:rsidRPr="0074278C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74278C">
              <w:rPr>
                <w:rFonts w:cs="David" w:hint="cs"/>
                <w:sz w:val="24"/>
                <w:szCs w:val="24"/>
                <w:rtl/>
              </w:rPr>
              <w:t>2022</w:t>
            </w:r>
          </w:p>
        </w:tc>
      </w:tr>
    </w:tbl>
    <w:p w:rsidR="0074278C" w:rsidRPr="0074278C" w:rsidRDefault="0074278C" w:rsidP="0074278C">
      <w:pPr>
        <w:overflowPunct/>
        <w:autoSpaceDE/>
        <w:autoSpaceDN/>
        <w:adjustRightInd/>
        <w:spacing w:before="240" w:after="200"/>
        <w:jc w:val="both"/>
        <w:textAlignment w:val="auto"/>
        <w:rPr>
          <w:rFonts w:eastAsiaTheme="minorEastAsia" w:cs="David"/>
          <w:b/>
          <w:bCs/>
          <w:sz w:val="24"/>
          <w:szCs w:val="24"/>
          <w:rtl/>
        </w:rPr>
      </w:pPr>
      <w:r w:rsidRPr="0074278C">
        <w:rPr>
          <w:rFonts w:eastAsiaTheme="minorEastAsia" w:cs="David"/>
          <w:sz w:val="24"/>
          <w:szCs w:val="24"/>
          <w:rtl/>
        </w:rPr>
        <w:t>הודעה לעיתונות:</w:t>
      </w:r>
    </w:p>
    <w:p w:rsidR="0074278C" w:rsidRPr="0074278C" w:rsidRDefault="0074278C" w:rsidP="0074278C">
      <w:pPr>
        <w:rPr>
          <w:rtl/>
        </w:rPr>
      </w:pPr>
    </w:p>
    <w:p w:rsidR="008B62A0" w:rsidRPr="00552405" w:rsidRDefault="008B62A0" w:rsidP="00DB7F32">
      <w:pPr>
        <w:pStyle w:val="1"/>
        <w:spacing w:line="360" w:lineRule="auto"/>
        <w:rPr>
          <w:rFonts w:ascii="David" w:hAnsi="David"/>
          <w:sz w:val="24"/>
          <w:szCs w:val="24"/>
          <w:rtl/>
        </w:rPr>
      </w:pPr>
      <w:r w:rsidRPr="00552405">
        <w:rPr>
          <w:rFonts w:ascii="David" w:hAnsi="David"/>
          <w:sz w:val="24"/>
          <w:szCs w:val="24"/>
          <w:rtl/>
        </w:rPr>
        <w:t xml:space="preserve">עיסוק </w:t>
      </w:r>
      <w:r w:rsidR="005F73A1" w:rsidRPr="00552405">
        <w:rPr>
          <w:rFonts w:ascii="David" w:hAnsi="David" w:hint="cs"/>
          <w:sz w:val="24"/>
          <w:szCs w:val="24"/>
          <w:rtl/>
        </w:rPr>
        <w:t xml:space="preserve">של תאגידים בנקאיים </w:t>
      </w:r>
      <w:r w:rsidRPr="00552405">
        <w:rPr>
          <w:rFonts w:ascii="David" w:hAnsi="David"/>
          <w:sz w:val="24"/>
          <w:szCs w:val="24"/>
          <w:rtl/>
        </w:rPr>
        <w:t>ב</w:t>
      </w:r>
      <w:r w:rsidR="008458BE" w:rsidRPr="00552405">
        <w:rPr>
          <w:rFonts w:ascii="David" w:hAnsi="David" w:hint="cs"/>
          <w:sz w:val="24"/>
          <w:szCs w:val="24"/>
          <w:rtl/>
        </w:rPr>
        <w:t>מתן ש</w:t>
      </w:r>
      <w:bookmarkStart w:id="0" w:name="_GoBack"/>
      <w:bookmarkEnd w:id="0"/>
      <w:r w:rsidR="008458BE" w:rsidRPr="00552405">
        <w:rPr>
          <w:rFonts w:ascii="David" w:hAnsi="David" w:hint="cs"/>
          <w:sz w:val="24"/>
          <w:szCs w:val="24"/>
          <w:rtl/>
        </w:rPr>
        <w:t>ירותים ב</w:t>
      </w:r>
      <w:r w:rsidRPr="00552405">
        <w:rPr>
          <w:rFonts w:ascii="David" w:hAnsi="David"/>
          <w:sz w:val="24"/>
          <w:szCs w:val="24"/>
          <w:rtl/>
        </w:rPr>
        <w:t>נכסים קריפטוגרפים</w:t>
      </w:r>
      <w:r w:rsidR="002B1D59" w:rsidRPr="00552405">
        <w:rPr>
          <w:rFonts w:ascii="David" w:hAnsi="David" w:hint="cs"/>
          <w:sz w:val="24"/>
          <w:szCs w:val="24"/>
          <w:rtl/>
        </w:rPr>
        <w:t xml:space="preserve"> פיננסיים</w:t>
      </w:r>
    </w:p>
    <w:p w:rsidR="00993B89" w:rsidRDefault="00993B89" w:rsidP="006C6C54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</w:p>
    <w:p w:rsidR="00E67EE0" w:rsidRDefault="00CA4A91" w:rsidP="006C6C54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 w:rsidRPr="005F73A1">
        <w:rPr>
          <w:rFonts w:ascii="David" w:hAnsi="David" w:cs="David" w:hint="cs"/>
          <w:kern w:val="36"/>
          <w:sz w:val="24"/>
          <w:szCs w:val="24"/>
          <w:rtl/>
        </w:rPr>
        <w:t xml:space="preserve">בשנים האחרונות אנו עדים לעליה בפעילות </w:t>
      </w:r>
      <w:r w:rsidR="002B1D59" w:rsidRPr="005F73A1">
        <w:rPr>
          <w:rFonts w:ascii="David" w:hAnsi="David" w:cs="David" w:hint="cs"/>
          <w:kern w:val="36"/>
          <w:sz w:val="24"/>
          <w:szCs w:val="24"/>
          <w:rtl/>
        </w:rPr>
        <w:t xml:space="preserve">בתחום </w:t>
      </w:r>
      <w:r w:rsidR="00E67EE0" w:rsidRPr="005F73A1">
        <w:rPr>
          <w:rFonts w:ascii="David" w:hAnsi="David" w:cs="David" w:hint="cs"/>
          <w:kern w:val="36"/>
          <w:sz w:val="24"/>
          <w:szCs w:val="24"/>
          <w:rtl/>
        </w:rPr>
        <w:t>ה</w:t>
      </w:r>
      <w:r w:rsidRPr="005F73A1">
        <w:rPr>
          <w:rFonts w:ascii="David" w:hAnsi="David" w:cs="David"/>
          <w:kern w:val="36"/>
          <w:sz w:val="24"/>
          <w:szCs w:val="24"/>
          <w:rtl/>
        </w:rPr>
        <w:t xml:space="preserve">נכסים </w:t>
      </w:r>
      <w:r w:rsidR="00E67EE0" w:rsidRPr="005F73A1">
        <w:rPr>
          <w:rFonts w:ascii="David" w:hAnsi="David" w:cs="David" w:hint="cs"/>
          <w:kern w:val="36"/>
          <w:sz w:val="24"/>
          <w:szCs w:val="24"/>
          <w:rtl/>
        </w:rPr>
        <w:t>ה</w:t>
      </w:r>
      <w:r w:rsidRPr="005F73A1">
        <w:rPr>
          <w:rFonts w:ascii="David" w:hAnsi="David" w:cs="David"/>
          <w:kern w:val="36"/>
          <w:sz w:val="24"/>
          <w:szCs w:val="24"/>
          <w:rtl/>
        </w:rPr>
        <w:t>קריפטוגרפים</w:t>
      </w:r>
      <w:r w:rsidR="002B1D59" w:rsidRPr="005F73A1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E67EE0" w:rsidRPr="005F73A1">
        <w:rPr>
          <w:rFonts w:ascii="David" w:hAnsi="David" w:cs="David" w:hint="cs"/>
          <w:kern w:val="36"/>
          <w:sz w:val="24"/>
          <w:szCs w:val="24"/>
          <w:rtl/>
        </w:rPr>
        <w:t>ה</w:t>
      </w:r>
      <w:r w:rsidR="002B1D59" w:rsidRPr="005F73A1">
        <w:rPr>
          <w:rFonts w:ascii="David" w:hAnsi="David" w:cs="David" w:hint="cs"/>
          <w:kern w:val="36"/>
          <w:sz w:val="24"/>
          <w:szCs w:val="24"/>
          <w:rtl/>
        </w:rPr>
        <w:t>פיננסיים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 xml:space="preserve"> (</w:t>
      </w:r>
      <w:r w:rsidR="006C6C54" w:rsidRPr="00DF43C5">
        <w:rPr>
          <w:rFonts w:ascii="David" w:hAnsi="David" w:cs="David" w:hint="cs"/>
          <w:kern w:val="36"/>
          <w:sz w:val="24"/>
          <w:szCs w:val="24"/>
          <w:rtl/>
        </w:rPr>
        <w:t xml:space="preserve">להלן </w:t>
      </w:r>
      <w:r w:rsidR="006C6C54" w:rsidRPr="00DF43C5">
        <w:rPr>
          <w:rFonts w:ascii="David" w:hAnsi="David" w:cs="David"/>
          <w:kern w:val="36"/>
          <w:sz w:val="24"/>
          <w:szCs w:val="24"/>
          <w:rtl/>
        </w:rPr>
        <w:t>"קריפטו</w:t>
      </w:r>
      <w:r w:rsidR="006C6C54" w:rsidRPr="00DF43C5">
        <w:rPr>
          <w:rFonts w:ascii="David" w:hAnsi="David" w:cs="David" w:hint="cs"/>
          <w:kern w:val="36"/>
          <w:sz w:val="24"/>
          <w:szCs w:val="24"/>
          <w:rtl/>
        </w:rPr>
        <w:t>")</w:t>
      </w:r>
      <w:r w:rsidR="005F73A1">
        <w:rPr>
          <w:rFonts w:ascii="David" w:hAnsi="David" w:cs="David" w:hint="cs"/>
          <w:kern w:val="36"/>
          <w:sz w:val="24"/>
          <w:szCs w:val="24"/>
          <w:rtl/>
        </w:rPr>
        <w:t>,</w:t>
      </w:r>
      <w:r w:rsidRPr="005F73A1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="00E67EE0" w:rsidRPr="005F73A1">
        <w:rPr>
          <w:rFonts w:ascii="David" w:hAnsi="David" w:cs="David" w:hint="cs"/>
          <w:kern w:val="36"/>
          <w:sz w:val="24"/>
          <w:szCs w:val="24"/>
          <w:rtl/>
        </w:rPr>
        <w:t>בין השאר,</w:t>
      </w:r>
      <w:r w:rsidRPr="005F73A1">
        <w:rPr>
          <w:rFonts w:ascii="David" w:hAnsi="David" w:cs="David" w:hint="cs"/>
          <w:kern w:val="36"/>
          <w:sz w:val="24"/>
          <w:szCs w:val="24"/>
          <w:rtl/>
        </w:rPr>
        <w:t xml:space="preserve"> נכסים ושירותים חדשים וחדשניים מתפתחים בקצב מואץ, </w:t>
      </w:r>
      <w:r w:rsidR="00E67EE0" w:rsidRPr="005F73A1">
        <w:rPr>
          <w:rFonts w:ascii="David" w:hAnsi="David" w:cs="David" w:hint="cs"/>
          <w:kern w:val="36"/>
          <w:sz w:val="24"/>
          <w:szCs w:val="24"/>
          <w:rtl/>
        </w:rPr>
        <w:t>ניתנים על ידי מגוון של גופים ו</w:t>
      </w:r>
      <w:r w:rsidRPr="005F73A1">
        <w:rPr>
          <w:rFonts w:ascii="David" w:hAnsi="David" w:cs="David" w:hint="cs"/>
          <w:kern w:val="36"/>
          <w:sz w:val="24"/>
          <w:szCs w:val="24"/>
          <w:rtl/>
        </w:rPr>
        <w:t>מופנים לקהל רחב יותר של לקוחות</w:t>
      </w:r>
      <w:r w:rsidR="00E67EE0" w:rsidRPr="005F73A1">
        <w:rPr>
          <w:rFonts w:ascii="David" w:hAnsi="David" w:cs="David" w:hint="cs"/>
          <w:kern w:val="36"/>
          <w:sz w:val="24"/>
          <w:szCs w:val="24"/>
          <w:rtl/>
        </w:rPr>
        <w:t>.</w:t>
      </w:r>
      <w:r w:rsidR="005F73A1">
        <w:rPr>
          <w:rFonts w:ascii="David" w:hAnsi="David" w:cs="David" w:hint="cs"/>
          <w:kern w:val="36"/>
          <w:sz w:val="24"/>
          <w:szCs w:val="24"/>
          <w:rtl/>
        </w:rPr>
        <w:t xml:space="preserve"> בשנה האחרונה, בעולם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 xml:space="preserve"> וגם בישראל</w:t>
      </w:r>
      <w:r w:rsidR="005F73A1">
        <w:rPr>
          <w:rFonts w:ascii="David" w:hAnsi="David" w:cs="David" w:hint="cs"/>
          <w:kern w:val="36"/>
          <w:sz w:val="24"/>
          <w:szCs w:val="24"/>
          <w:rtl/>
        </w:rPr>
        <w:t>, רואים גם כניסה של גופים פיננסיים מסורתיים, ובהם בנקים לתחום זה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>.</w:t>
      </w:r>
    </w:p>
    <w:p w:rsidR="00993B89" w:rsidRDefault="005F73A1" w:rsidP="006C6C54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>
        <w:rPr>
          <w:rFonts w:ascii="David" w:hAnsi="David" w:cs="David" w:hint="cs"/>
          <w:kern w:val="36"/>
          <w:sz w:val="24"/>
          <w:szCs w:val="24"/>
          <w:rtl/>
        </w:rPr>
        <w:t xml:space="preserve">הפיקוח על הבנקים סבור כי 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>ב</w:t>
      </w:r>
      <w:r>
        <w:rPr>
          <w:rFonts w:ascii="David" w:hAnsi="David" w:cs="David" w:hint="cs"/>
          <w:kern w:val="36"/>
          <w:sz w:val="24"/>
          <w:szCs w:val="24"/>
          <w:rtl/>
        </w:rPr>
        <w:t>פעילות קריפטו ו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>ב</w:t>
      </w:r>
      <w:r>
        <w:rPr>
          <w:rFonts w:ascii="David" w:hAnsi="David" w:cs="David" w:hint="cs"/>
          <w:kern w:val="36"/>
          <w:sz w:val="24"/>
          <w:szCs w:val="24"/>
          <w:rtl/>
        </w:rPr>
        <w:t>טכנולוגיה התומכת בפעילות זו יש פוטנציאל חדשנות בעולמות הפיננסיים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 xml:space="preserve">. </w:t>
      </w:r>
      <w:r w:rsidR="00993B89">
        <w:rPr>
          <w:rFonts w:ascii="David" w:hAnsi="David" w:cs="David" w:hint="cs"/>
          <w:kern w:val="36"/>
          <w:sz w:val="24"/>
          <w:szCs w:val="24"/>
          <w:rtl/>
        </w:rPr>
        <w:t xml:space="preserve">פעילות של גופים פיננסיים מסורתיים בתחום, לצד גופים אחרים שכבר פעילים שנים רבות, תאפשר התפתחות של מודלים עסקיים חדשים. </w:t>
      </w:r>
    </w:p>
    <w:p w:rsidR="006C6C54" w:rsidRDefault="00A84DC0" w:rsidP="00A84DC0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>
        <w:rPr>
          <w:rFonts w:ascii="David" w:hAnsi="David" w:cs="David" w:hint="cs"/>
          <w:kern w:val="36"/>
          <w:sz w:val="24"/>
          <w:szCs w:val="24"/>
          <w:rtl/>
        </w:rPr>
        <w:t>היות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>
        <w:rPr>
          <w:rFonts w:ascii="David" w:hAnsi="David" w:cs="David" w:hint="cs"/>
          <w:kern w:val="36"/>
          <w:sz w:val="24"/>
          <w:szCs w:val="24"/>
          <w:rtl/>
        </w:rPr>
        <w:t>ש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 xml:space="preserve">מדובר בפעילות חדשה, הן לגופים הפיננסיים והן ללקוחותיהם, המגלמת בתוכה סיכונים </w:t>
      </w:r>
      <w:proofErr w:type="spellStart"/>
      <w:r w:rsidR="00993B89">
        <w:rPr>
          <w:rFonts w:ascii="David" w:hAnsi="David" w:cs="David" w:hint="cs"/>
          <w:kern w:val="36"/>
          <w:sz w:val="24"/>
          <w:szCs w:val="24"/>
          <w:rtl/>
        </w:rPr>
        <w:t>יציבותיים</w:t>
      </w:r>
      <w:proofErr w:type="spellEnd"/>
      <w:r w:rsidR="00993B89">
        <w:rPr>
          <w:rFonts w:ascii="David" w:hAnsi="David" w:cs="David" w:hint="cs"/>
          <w:kern w:val="36"/>
          <w:sz w:val="24"/>
          <w:szCs w:val="24"/>
          <w:rtl/>
        </w:rPr>
        <w:t xml:space="preserve">, סיכונים 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>פיננסיים, סיכונים תפעוליים, לרבות סיכוני סייבר, היבטי איסור הלבנת הון והיבטים צרכניים</w:t>
      </w:r>
      <w:r>
        <w:rPr>
          <w:rFonts w:ascii="David" w:hAnsi="David" w:cs="David" w:hint="cs"/>
          <w:kern w:val="36"/>
          <w:sz w:val="24"/>
          <w:szCs w:val="24"/>
          <w:rtl/>
        </w:rPr>
        <w:t>,</w:t>
      </w:r>
      <w:r w:rsidR="00993B89">
        <w:rPr>
          <w:rFonts w:ascii="David" w:hAnsi="David" w:cs="David" w:hint="cs"/>
          <w:kern w:val="36"/>
          <w:sz w:val="24"/>
          <w:szCs w:val="24"/>
          <w:rtl/>
        </w:rPr>
        <w:t xml:space="preserve"> יש חשיבות בניהול זהיר של סיכונים אלו על ידי הגופים הפיננסיים הבוחרים לפעול בתחום, כך ש</w:t>
      </w:r>
      <w:r w:rsidR="003273CA">
        <w:rPr>
          <w:rFonts w:ascii="David" w:hAnsi="David" w:cs="David" w:hint="cs"/>
          <w:kern w:val="36"/>
          <w:sz w:val="24"/>
          <w:szCs w:val="24"/>
          <w:rtl/>
        </w:rPr>
        <w:t xml:space="preserve">בין היתר </w:t>
      </w:r>
      <w:r w:rsidR="00993B89">
        <w:rPr>
          <w:rFonts w:ascii="David" w:hAnsi="David" w:cs="David" w:hint="cs"/>
          <w:kern w:val="36"/>
          <w:sz w:val="24"/>
          <w:szCs w:val="24"/>
          <w:rtl/>
        </w:rPr>
        <w:t>השימוש בכלים פיננסיים חדשים וטכנולוגיות חדשות יהיה לטובת הלקוחות</w:t>
      </w:r>
      <w:r w:rsidR="00C970E6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C970E6" w:rsidRPr="00C970E6">
        <w:rPr>
          <w:rFonts w:ascii="David" w:hAnsi="David" w:cs="David" w:hint="cs"/>
          <w:kern w:val="36"/>
          <w:sz w:val="24"/>
          <w:szCs w:val="24"/>
          <w:rtl/>
        </w:rPr>
        <w:t>ובהתאם למותר לבנקים על פי חוק</w:t>
      </w:r>
      <w:r w:rsidR="00993B89" w:rsidRPr="00C970E6">
        <w:rPr>
          <w:rFonts w:ascii="David" w:hAnsi="David" w:cs="David" w:hint="cs"/>
          <w:kern w:val="36"/>
          <w:sz w:val="24"/>
          <w:szCs w:val="24"/>
          <w:rtl/>
        </w:rPr>
        <w:t>.</w:t>
      </w:r>
      <w:r w:rsidR="00993B89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</w:p>
    <w:p w:rsidR="006C6C54" w:rsidRDefault="00993B89" w:rsidP="006571A1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>
        <w:rPr>
          <w:rFonts w:ascii="David" w:hAnsi="David" w:cs="David" w:hint="cs"/>
          <w:kern w:val="36"/>
          <w:sz w:val="24"/>
          <w:szCs w:val="24"/>
          <w:rtl/>
        </w:rPr>
        <w:t xml:space="preserve">בהתאם, היום הוציא </w:t>
      </w:r>
      <w:r w:rsidR="006C6C54">
        <w:rPr>
          <w:rFonts w:ascii="David" w:hAnsi="David" w:cs="David" w:hint="cs"/>
          <w:kern w:val="36"/>
          <w:sz w:val="24"/>
          <w:szCs w:val="24"/>
          <w:rtl/>
        </w:rPr>
        <w:t xml:space="preserve">הפיקוח על הבנקים </w:t>
      </w:r>
      <w:r w:rsidR="000D1A6E">
        <w:rPr>
          <w:rFonts w:ascii="David" w:hAnsi="David" w:cs="David" w:hint="cs"/>
          <w:kern w:val="36"/>
          <w:sz w:val="24"/>
          <w:szCs w:val="24"/>
          <w:rtl/>
        </w:rPr>
        <w:t xml:space="preserve">לוועדה המייעצת לענייני בנקאות </w:t>
      </w:r>
      <w:r>
        <w:rPr>
          <w:rFonts w:ascii="David" w:hAnsi="David" w:cs="David" w:hint="cs"/>
          <w:kern w:val="36"/>
          <w:sz w:val="24"/>
          <w:szCs w:val="24"/>
          <w:rtl/>
        </w:rPr>
        <w:t>טיוטת מכתב</w:t>
      </w:r>
      <w:r w:rsidR="000D1A6E">
        <w:rPr>
          <w:rFonts w:ascii="David" w:hAnsi="David" w:cs="David" w:hint="cs"/>
          <w:kern w:val="36"/>
          <w:sz w:val="24"/>
          <w:szCs w:val="24"/>
          <w:rtl/>
        </w:rPr>
        <w:t xml:space="preserve"> וטיוטת עדכון להוראת </w:t>
      </w:r>
      <w:proofErr w:type="spellStart"/>
      <w:r w:rsidR="000D1A6E">
        <w:rPr>
          <w:rFonts w:ascii="David" w:hAnsi="David" w:cs="David" w:hint="cs"/>
          <w:kern w:val="36"/>
          <w:sz w:val="24"/>
          <w:szCs w:val="24"/>
          <w:rtl/>
        </w:rPr>
        <w:t>נב"ת</w:t>
      </w:r>
      <w:proofErr w:type="spellEnd"/>
      <w:r w:rsidR="000D1A6E">
        <w:rPr>
          <w:rFonts w:ascii="David" w:hAnsi="David" w:cs="David" w:hint="cs"/>
          <w:kern w:val="36"/>
          <w:sz w:val="24"/>
          <w:szCs w:val="24"/>
          <w:rtl/>
        </w:rPr>
        <w:t xml:space="preserve"> 310 בנושא ניהול סיכונים </w:t>
      </w:r>
      <w:r>
        <w:rPr>
          <w:rFonts w:ascii="David" w:hAnsi="David" w:cs="David" w:hint="cs"/>
          <w:kern w:val="36"/>
          <w:sz w:val="24"/>
          <w:szCs w:val="24"/>
          <w:rtl/>
        </w:rPr>
        <w:t>המפנ</w:t>
      </w:r>
      <w:r w:rsidR="000D1A6E">
        <w:rPr>
          <w:rFonts w:ascii="David" w:hAnsi="David" w:cs="David" w:hint="cs"/>
          <w:kern w:val="36"/>
          <w:sz w:val="24"/>
          <w:szCs w:val="24"/>
          <w:rtl/>
        </w:rPr>
        <w:t>ות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 את תשומת הלב לסיכונים המרכזיים הנגזרים בתחום זה, לרבות לדרישות הצרכניות הנובעות מהפעילות, וכן דורש</w:t>
      </w:r>
      <w:r w:rsidR="000D1A6E">
        <w:rPr>
          <w:rFonts w:ascii="David" w:hAnsi="David" w:cs="David" w:hint="cs"/>
          <w:kern w:val="36"/>
          <w:sz w:val="24"/>
          <w:szCs w:val="24"/>
          <w:rtl/>
        </w:rPr>
        <w:t>ות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 מכל תאגיד בנקאי לפנות למפקח מראש בטרם הוא נכנס לפעילות בתחום </w:t>
      </w:r>
      <w:proofErr w:type="spellStart"/>
      <w:r>
        <w:rPr>
          <w:rFonts w:ascii="David" w:hAnsi="David" w:cs="David" w:hint="cs"/>
          <w:kern w:val="36"/>
          <w:sz w:val="24"/>
          <w:szCs w:val="24"/>
          <w:rtl/>
        </w:rPr>
        <w:t>הקריפטו</w:t>
      </w:r>
      <w:proofErr w:type="spellEnd"/>
      <w:r w:rsidR="00DF3E4F">
        <w:rPr>
          <w:rFonts w:ascii="David" w:hAnsi="David" w:cs="David" w:hint="cs"/>
          <w:kern w:val="36"/>
          <w:sz w:val="24"/>
          <w:szCs w:val="24"/>
          <w:rtl/>
        </w:rPr>
        <w:t xml:space="preserve"> (מצ"ב לינק להוראה)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. </w:t>
      </w:r>
    </w:p>
    <w:p w:rsidR="00993B89" w:rsidRDefault="00993B89" w:rsidP="00A84DC0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יאיר</w:t>
      </w:r>
      <w:r w:rsidRPr="007A35C9">
        <w:rPr>
          <w:rFonts w:ascii="David" w:hAnsi="David" w:cs="David"/>
          <w:b/>
          <w:bCs/>
          <w:kern w:val="36"/>
          <w:sz w:val="24"/>
          <w:szCs w:val="24"/>
          <w:rtl/>
        </w:rPr>
        <w:t xml:space="preserve"> </w:t>
      </w: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אבידן</w:t>
      </w:r>
      <w:r w:rsidRPr="007A35C9">
        <w:rPr>
          <w:rFonts w:ascii="David" w:hAnsi="David" w:cs="David"/>
          <w:b/>
          <w:bCs/>
          <w:kern w:val="36"/>
          <w:sz w:val="24"/>
          <w:szCs w:val="24"/>
          <w:rtl/>
        </w:rPr>
        <w:t xml:space="preserve">, </w:t>
      </w: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המפקח</w:t>
      </w:r>
      <w:r w:rsidRPr="007A35C9">
        <w:rPr>
          <w:rFonts w:ascii="David" w:hAnsi="David" w:cs="David"/>
          <w:b/>
          <w:bCs/>
          <w:kern w:val="36"/>
          <w:sz w:val="24"/>
          <w:szCs w:val="24"/>
          <w:rtl/>
        </w:rPr>
        <w:t xml:space="preserve"> </w:t>
      </w: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על</w:t>
      </w:r>
      <w:r w:rsidRPr="007A35C9">
        <w:rPr>
          <w:rFonts w:ascii="David" w:hAnsi="David" w:cs="David"/>
          <w:b/>
          <w:bCs/>
          <w:kern w:val="36"/>
          <w:sz w:val="24"/>
          <w:szCs w:val="24"/>
          <w:rtl/>
        </w:rPr>
        <w:t xml:space="preserve"> </w:t>
      </w:r>
      <w:r w:rsidRPr="007A35C9">
        <w:rPr>
          <w:rFonts w:ascii="David" w:hAnsi="David" w:cs="David" w:hint="eastAsia"/>
          <w:b/>
          <w:bCs/>
          <w:kern w:val="36"/>
          <w:sz w:val="24"/>
          <w:szCs w:val="24"/>
          <w:rtl/>
        </w:rPr>
        <w:t>הבנקים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: "פעילות </w:t>
      </w:r>
      <w:proofErr w:type="spellStart"/>
      <w:r>
        <w:rPr>
          <w:rFonts w:ascii="David" w:hAnsi="David" w:cs="David" w:hint="cs"/>
          <w:kern w:val="36"/>
          <w:sz w:val="24"/>
          <w:szCs w:val="24"/>
          <w:rtl/>
        </w:rPr>
        <w:t>הקריפטו</w:t>
      </w:r>
      <w:proofErr w:type="spellEnd"/>
      <w:r>
        <w:rPr>
          <w:rFonts w:ascii="David" w:hAnsi="David" w:cs="David" w:hint="cs"/>
          <w:kern w:val="36"/>
          <w:sz w:val="24"/>
          <w:szCs w:val="24"/>
          <w:rtl/>
        </w:rPr>
        <w:t>, תחת גופים פיננסיים מסורתיים, הינה פעילות חדשה</w:t>
      </w:r>
      <w:r w:rsidR="009E2A5A">
        <w:rPr>
          <w:rFonts w:ascii="David" w:hAnsi="David" w:cs="David" w:hint="cs"/>
          <w:kern w:val="36"/>
          <w:sz w:val="24"/>
          <w:szCs w:val="24"/>
          <w:rtl/>
        </w:rPr>
        <w:t xml:space="preserve"> יחסית</w:t>
      </w:r>
      <w:r>
        <w:rPr>
          <w:rFonts w:ascii="David" w:hAnsi="David" w:cs="David" w:hint="cs"/>
          <w:kern w:val="36"/>
          <w:sz w:val="24"/>
          <w:szCs w:val="24"/>
          <w:rtl/>
        </w:rPr>
        <w:t>, ומשכך יש חוסר</w:t>
      </w:r>
      <w:r w:rsidR="009E2A5A">
        <w:rPr>
          <w:rFonts w:ascii="David" w:hAnsi="David" w:cs="David" w:hint="cs"/>
          <w:kern w:val="36"/>
          <w:sz w:val="24"/>
          <w:szCs w:val="24"/>
          <w:rtl/>
        </w:rPr>
        <w:t>-</w:t>
      </w:r>
      <w:r>
        <w:rPr>
          <w:rFonts w:ascii="David" w:hAnsi="David" w:cs="David" w:hint="cs"/>
          <w:kern w:val="36"/>
          <w:sz w:val="24"/>
          <w:szCs w:val="24"/>
          <w:rtl/>
        </w:rPr>
        <w:t>ודאות לגבי התפתחות המודלים העסקיים בתחם זה. כרגולטור המעודד חדשנות, לפיקוח על הבנקים יש אחריות דואלית</w:t>
      </w:r>
      <w:r w:rsidR="009F5132">
        <w:rPr>
          <w:rFonts w:ascii="David" w:hAnsi="David" w:cs="David" w:hint="cs"/>
          <w:kern w:val="36"/>
          <w:sz w:val="24"/>
          <w:szCs w:val="24"/>
          <w:rtl/>
        </w:rPr>
        <w:t>.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 מצד אחד לא לבלום את החדשנות שבפעילות </w:t>
      </w:r>
      <w:proofErr w:type="spellStart"/>
      <w:r>
        <w:rPr>
          <w:rFonts w:ascii="David" w:hAnsi="David" w:cs="David" w:hint="cs"/>
          <w:kern w:val="36"/>
          <w:sz w:val="24"/>
          <w:szCs w:val="24"/>
          <w:rtl/>
        </w:rPr>
        <w:t>הקריפטו</w:t>
      </w:r>
      <w:proofErr w:type="spellEnd"/>
      <w:r>
        <w:rPr>
          <w:rFonts w:ascii="David" w:hAnsi="David" w:cs="David" w:hint="cs"/>
          <w:kern w:val="36"/>
          <w:sz w:val="24"/>
          <w:szCs w:val="24"/>
          <w:rtl/>
        </w:rPr>
        <w:t xml:space="preserve"> והטכנולוגיה התומכת בה</w:t>
      </w:r>
      <w:r w:rsidR="009E2A5A">
        <w:rPr>
          <w:rFonts w:ascii="David" w:hAnsi="David" w:cs="David" w:hint="cs"/>
          <w:kern w:val="36"/>
          <w:sz w:val="24"/>
          <w:szCs w:val="24"/>
          <w:rtl/>
        </w:rPr>
        <w:t xml:space="preserve"> אלא לאפשר את התפתחותה</w:t>
      </w:r>
      <w:r>
        <w:rPr>
          <w:rFonts w:ascii="David" w:hAnsi="David" w:cs="David" w:hint="cs"/>
          <w:kern w:val="36"/>
          <w:sz w:val="24"/>
          <w:szCs w:val="24"/>
          <w:rtl/>
        </w:rPr>
        <w:t>, ומצד שני, לוודא גישה זהירה ביחס לסיכונים הנובעים מפעילות זו</w:t>
      </w:r>
      <w:r w:rsidR="000736A6">
        <w:rPr>
          <w:rFonts w:ascii="David" w:hAnsi="David" w:cs="David" w:hint="cs"/>
          <w:kern w:val="36"/>
          <w:sz w:val="24"/>
          <w:szCs w:val="24"/>
          <w:rtl/>
        </w:rPr>
        <w:t xml:space="preserve"> תוך הבטחת ההגנה </w:t>
      </w:r>
      <w:proofErr w:type="spellStart"/>
      <w:r w:rsidR="009E2A5A">
        <w:rPr>
          <w:rFonts w:ascii="David" w:hAnsi="David" w:cs="David" w:hint="cs"/>
          <w:kern w:val="36"/>
          <w:sz w:val="24"/>
          <w:szCs w:val="24"/>
          <w:rtl/>
        </w:rPr>
        <w:t>המירבית</w:t>
      </w:r>
      <w:proofErr w:type="spellEnd"/>
      <w:r w:rsidR="009E2A5A">
        <w:rPr>
          <w:rFonts w:ascii="David" w:hAnsi="David" w:cs="David" w:hint="cs"/>
          <w:kern w:val="36"/>
          <w:sz w:val="24"/>
          <w:szCs w:val="24"/>
          <w:rtl/>
        </w:rPr>
        <w:t xml:space="preserve"> האפשרית </w:t>
      </w:r>
      <w:r w:rsidR="000736A6">
        <w:rPr>
          <w:rFonts w:ascii="David" w:hAnsi="David" w:cs="David" w:hint="cs"/>
          <w:kern w:val="36"/>
          <w:sz w:val="24"/>
          <w:szCs w:val="24"/>
          <w:rtl/>
        </w:rPr>
        <w:t xml:space="preserve">על </w:t>
      </w:r>
      <w:r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9E2A5A">
        <w:rPr>
          <w:rFonts w:ascii="David" w:hAnsi="David" w:cs="David" w:hint="cs"/>
          <w:kern w:val="36"/>
          <w:sz w:val="24"/>
          <w:szCs w:val="24"/>
          <w:rtl/>
        </w:rPr>
        <w:t>הלקוח</w:t>
      </w:r>
      <w:r w:rsidR="000736A6">
        <w:rPr>
          <w:rFonts w:ascii="David" w:hAnsi="David" w:cs="David" w:hint="cs"/>
          <w:kern w:val="36"/>
          <w:sz w:val="24"/>
          <w:szCs w:val="24"/>
          <w:rtl/>
        </w:rPr>
        <w:t>."</w:t>
      </w:r>
    </w:p>
    <w:p w:rsidR="00993B89" w:rsidRDefault="00993B89" w:rsidP="00673CC0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0"/>
        <w:rPr>
          <w:rFonts w:ascii="David" w:hAnsi="David" w:cs="David"/>
          <w:kern w:val="36"/>
          <w:sz w:val="24"/>
          <w:szCs w:val="24"/>
          <w:rtl/>
        </w:rPr>
      </w:pPr>
    </w:p>
    <w:sectPr w:rsidR="00993B89" w:rsidSect="00181BA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9" w:h="16834"/>
      <w:pgMar w:top="1440" w:right="1800" w:bottom="709" w:left="1800" w:header="720" w:footer="579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83" w:rsidRDefault="00253883">
      <w:r>
        <w:separator/>
      </w:r>
    </w:p>
  </w:endnote>
  <w:endnote w:type="continuationSeparator" w:id="0">
    <w:p w:rsidR="00253883" w:rsidRDefault="0025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AE" w:rsidRPr="00181BAE" w:rsidRDefault="00181BAE" w:rsidP="00181BAE">
    <w:pPr>
      <w:pStyle w:val="a3"/>
      <w:framePr w:wrap="around" w:vAnchor="text" w:hAnchor="margin" w:xAlign="center" w:y="1"/>
      <w:rPr>
        <w:rStyle w:val="a6"/>
        <w:rFonts w:ascii="David" w:hAnsi="David" w:cs="David"/>
        <w:sz w:val="24"/>
        <w:szCs w:val="24"/>
        <w:rtl/>
      </w:rPr>
    </w:pPr>
    <w:r w:rsidRPr="00181BAE">
      <w:rPr>
        <w:rStyle w:val="a6"/>
        <w:rFonts w:ascii="David" w:hAnsi="David" w:cs="David"/>
        <w:sz w:val="24"/>
        <w:szCs w:val="24"/>
        <w:rtl/>
      </w:rPr>
      <w:fldChar w:fldCharType="begin"/>
    </w:r>
    <w:r w:rsidRPr="00181BAE">
      <w:rPr>
        <w:rStyle w:val="a6"/>
        <w:rFonts w:ascii="David" w:hAnsi="David" w:cs="David"/>
        <w:sz w:val="24"/>
        <w:szCs w:val="24"/>
      </w:rPr>
      <w:instrText xml:space="preserve">PAGE  </w:instrText>
    </w:r>
    <w:r w:rsidRPr="00181BAE">
      <w:rPr>
        <w:rStyle w:val="a6"/>
        <w:rFonts w:ascii="David" w:hAnsi="David" w:cs="David"/>
        <w:sz w:val="24"/>
        <w:szCs w:val="24"/>
        <w:rtl/>
      </w:rPr>
      <w:fldChar w:fldCharType="separate"/>
    </w:r>
    <w:r w:rsidR="00993B89">
      <w:rPr>
        <w:rStyle w:val="a6"/>
        <w:rFonts w:ascii="David" w:hAnsi="David" w:cs="David"/>
        <w:noProof/>
        <w:sz w:val="24"/>
        <w:szCs w:val="24"/>
        <w:rtl/>
      </w:rPr>
      <w:t>2</w:t>
    </w:r>
    <w:r w:rsidRPr="00181BAE">
      <w:rPr>
        <w:rStyle w:val="a6"/>
        <w:rFonts w:ascii="David" w:hAnsi="David" w:cs="David"/>
        <w:sz w:val="24"/>
        <w:szCs w:val="24"/>
        <w:rtl/>
      </w:rPr>
      <w:fldChar w:fldCharType="end"/>
    </w:r>
  </w:p>
  <w:p w:rsidR="00EB1B0C" w:rsidRPr="00181BAE" w:rsidRDefault="00EB1B0C" w:rsidP="00181BAE">
    <w:pPr>
      <w:pStyle w:val="a4"/>
      <w:rPr>
        <w:rFonts w:ascii="David" w:hAnsi="David" w:cs="David"/>
        <w:sz w:val="24"/>
        <w:szCs w:val="24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66" w:rsidRPr="004D4985" w:rsidRDefault="00590B66" w:rsidP="00590B66">
    <w:pPr>
      <w:pStyle w:val="a4"/>
      <w:jc w:val="center"/>
      <w:rPr>
        <w:rFonts w:ascii="David" w:hAnsi="David" w:cs="David"/>
        <w:i/>
        <w:iCs/>
        <w:sz w:val="22"/>
        <w:szCs w:val="22"/>
        <w:rtl/>
      </w:rPr>
    </w:pPr>
    <w:r w:rsidRPr="004D4985">
      <w:rPr>
        <w:rFonts w:ascii="David" w:hAnsi="David" w:cs="David"/>
        <w:sz w:val="22"/>
        <w:szCs w:val="22"/>
        <w:rtl/>
      </w:rPr>
      <w:t>ת"ד 780, ירושלים 91007</w:t>
    </w:r>
    <w:r w:rsidRPr="004D4985">
      <w:rPr>
        <w:rFonts w:ascii="David" w:hAnsi="David" w:cs="David" w:hint="cs"/>
        <w:sz w:val="22"/>
        <w:szCs w:val="22"/>
        <w:rtl/>
      </w:rPr>
      <w:t xml:space="preserve"> | </w:t>
    </w:r>
    <w:r w:rsidRPr="004D4985">
      <w:rPr>
        <w:rFonts w:ascii="David" w:hAnsi="David" w:cs="David"/>
        <w:sz w:val="22"/>
        <w:szCs w:val="22"/>
        <w:rtl/>
      </w:rPr>
      <w:t xml:space="preserve">טל: 02-6552400 </w:t>
    </w:r>
    <w:r w:rsidRPr="004D4985">
      <w:rPr>
        <w:rFonts w:ascii="David" w:hAnsi="David" w:cs="David" w:hint="cs"/>
        <w:sz w:val="22"/>
        <w:szCs w:val="22"/>
        <w:rtl/>
      </w:rPr>
      <w:t xml:space="preserve">| אתר אינטרנט: </w:t>
    </w:r>
    <w:r w:rsidRPr="004D4985">
      <w:rPr>
        <w:rFonts w:ascii="David" w:hAnsi="David" w:cs="David"/>
        <w:sz w:val="22"/>
        <w:szCs w:val="22"/>
      </w:rPr>
      <w:t>www.boi.org.il</w:t>
    </w:r>
  </w:p>
  <w:p w:rsidR="00EB1B0C" w:rsidRPr="00C063FB" w:rsidRDefault="00EB1B0C" w:rsidP="00C063FB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83" w:rsidRDefault="00253883">
      <w:r>
        <w:separator/>
      </w:r>
    </w:p>
  </w:footnote>
  <w:footnote w:type="continuationSeparator" w:id="0">
    <w:p w:rsidR="00253883" w:rsidRDefault="0025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0C" w:rsidRDefault="00EB1B0C">
    <w:pPr>
      <w:pStyle w:val="a3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EB1B0C" w:rsidRDefault="00EB1B0C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33318812"/>
      <w:docPartObj>
        <w:docPartGallery w:val="Watermarks"/>
        <w:docPartUnique/>
      </w:docPartObj>
    </w:sdtPr>
    <w:sdtEndPr/>
    <w:sdtContent>
      <w:p w:rsidR="00486F63" w:rsidRDefault="00253883">
        <w:pPr>
          <w:pStyle w:val="a3"/>
        </w:pPr>
        <w:r>
          <w:pict w14:anchorId="2F4F1C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טיוטה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8B" w:rsidRPr="00181BAE" w:rsidRDefault="008D348B" w:rsidP="00181BAE">
    <w:pPr>
      <w:pStyle w:val="a3"/>
      <w:tabs>
        <w:tab w:val="clear" w:pos="4153"/>
        <w:tab w:val="clear" w:pos="8306"/>
        <w:tab w:val="left" w:pos="1934"/>
      </w:tabs>
      <w:rPr>
        <w:rFonts w:cs="David"/>
      </w:rPr>
    </w:pPr>
  </w:p>
  <w:p w:rsidR="008D348B" w:rsidRPr="007454DA" w:rsidRDefault="008D348B" w:rsidP="008D348B">
    <w:pPr>
      <w:pStyle w:val="a3"/>
      <w:tabs>
        <w:tab w:val="clear" w:pos="4153"/>
        <w:tab w:val="clear" w:pos="8306"/>
        <w:tab w:val="left" w:pos="1934"/>
      </w:tabs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6E2"/>
    <w:multiLevelType w:val="hybridMultilevel"/>
    <w:tmpl w:val="0D0E1D76"/>
    <w:lvl w:ilvl="0" w:tplc="0D50F218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6045C0"/>
    <w:multiLevelType w:val="hybridMultilevel"/>
    <w:tmpl w:val="2D268856"/>
    <w:lvl w:ilvl="0" w:tplc="066A6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59C5"/>
    <w:multiLevelType w:val="hybridMultilevel"/>
    <w:tmpl w:val="00E234A8"/>
    <w:lvl w:ilvl="0" w:tplc="04090013">
      <w:start w:val="1"/>
      <w:numFmt w:val="hebrew1"/>
      <w:lvlText w:val="%1.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3" w15:restartNumberingAfterBreak="0">
    <w:nsid w:val="1E7513BA"/>
    <w:multiLevelType w:val="hybridMultilevel"/>
    <w:tmpl w:val="0EBE157E"/>
    <w:lvl w:ilvl="0" w:tplc="066A6B3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BA0D7D"/>
    <w:multiLevelType w:val="hybridMultilevel"/>
    <w:tmpl w:val="5D74BE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92281"/>
    <w:multiLevelType w:val="hybridMultilevel"/>
    <w:tmpl w:val="CC406DDC"/>
    <w:lvl w:ilvl="0" w:tplc="066A6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32E0"/>
    <w:multiLevelType w:val="multilevel"/>
    <w:tmpl w:val="E8689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FF6B02"/>
    <w:multiLevelType w:val="hybridMultilevel"/>
    <w:tmpl w:val="2640F136"/>
    <w:lvl w:ilvl="0" w:tplc="04090013">
      <w:start w:val="1"/>
      <w:numFmt w:val="hebrew1"/>
      <w:lvlText w:val="%1."/>
      <w:lvlJc w:val="center"/>
      <w:pPr>
        <w:ind w:left="1929" w:hanging="360"/>
      </w:p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8" w15:restartNumberingAfterBreak="0">
    <w:nsid w:val="67044A4B"/>
    <w:multiLevelType w:val="hybridMultilevel"/>
    <w:tmpl w:val="8CF2811C"/>
    <w:lvl w:ilvl="0" w:tplc="E8382D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B8"/>
    <w:rsid w:val="00003C64"/>
    <w:rsid w:val="0001277C"/>
    <w:rsid w:val="00013D55"/>
    <w:rsid w:val="00020DAC"/>
    <w:rsid w:val="00041BE7"/>
    <w:rsid w:val="0004254F"/>
    <w:rsid w:val="00052E53"/>
    <w:rsid w:val="00055682"/>
    <w:rsid w:val="00056E8C"/>
    <w:rsid w:val="000571BB"/>
    <w:rsid w:val="000723BA"/>
    <w:rsid w:val="00072BBD"/>
    <w:rsid w:val="000736A6"/>
    <w:rsid w:val="00096988"/>
    <w:rsid w:val="000972D7"/>
    <w:rsid w:val="000B029D"/>
    <w:rsid w:val="000B7ADD"/>
    <w:rsid w:val="000C1926"/>
    <w:rsid w:val="000D1A6E"/>
    <w:rsid w:val="000D54F7"/>
    <w:rsid w:val="000E1B2D"/>
    <w:rsid w:val="000E2F43"/>
    <w:rsid w:val="000E5F96"/>
    <w:rsid w:val="000F02F3"/>
    <w:rsid w:val="000F4B6E"/>
    <w:rsid w:val="00104CE8"/>
    <w:rsid w:val="00105783"/>
    <w:rsid w:val="00126B62"/>
    <w:rsid w:val="00133928"/>
    <w:rsid w:val="001527FC"/>
    <w:rsid w:val="0015580C"/>
    <w:rsid w:val="00165F65"/>
    <w:rsid w:val="00181BAE"/>
    <w:rsid w:val="00193BC3"/>
    <w:rsid w:val="001A0488"/>
    <w:rsid w:val="001B08C8"/>
    <w:rsid w:val="001B223D"/>
    <w:rsid w:val="001D1AB7"/>
    <w:rsid w:val="001D218F"/>
    <w:rsid w:val="001D69BC"/>
    <w:rsid w:val="001E44DF"/>
    <w:rsid w:val="0021262F"/>
    <w:rsid w:val="002127FC"/>
    <w:rsid w:val="00225D19"/>
    <w:rsid w:val="002273FB"/>
    <w:rsid w:val="00253883"/>
    <w:rsid w:val="0027110C"/>
    <w:rsid w:val="00273FF9"/>
    <w:rsid w:val="002A6B48"/>
    <w:rsid w:val="002B1302"/>
    <w:rsid w:val="002B1D59"/>
    <w:rsid w:val="002B7B78"/>
    <w:rsid w:val="002D24DF"/>
    <w:rsid w:val="002D2D22"/>
    <w:rsid w:val="003010F4"/>
    <w:rsid w:val="00301ED6"/>
    <w:rsid w:val="00307677"/>
    <w:rsid w:val="00312254"/>
    <w:rsid w:val="00316394"/>
    <w:rsid w:val="00323C80"/>
    <w:rsid w:val="003273CA"/>
    <w:rsid w:val="00330687"/>
    <w:rsid w:val="00335D51"/>
    <w:rsid w:val="00337D53"/>
    <w:rsid w:val="00342DC1"/>
    <w:rsid w:val="00353121"/>
    <w:rsid w:val="003820DB"/>
    <w:rsid w:val="003A3195"/>
    <w:rsid w:val="003A783C"/>
    <w:rsid w:val="003B64EB"/>
    <w:rsid w:val="003C1167"/>
    <w:rsid w:val="003C56F0"/>
    <w:rsid w:val="003C786F"/>
    <w:rsid w:val="003D205A"/>
    <w:rsid w:val="003D5F42"/>
    <w:rsid w:val="003E2FAD"/>
    <w:rsid w:val="003E3A2E"/>
    <w:rsid w:val="003E696F"/>
    <w:rsid w:val="003F7875"/>
    <w:rsid w:val="00404E7D"/>
    <w:rsid w:val="00404F86"/>
    <w:rsid w:val="00404FB2"/>
    <w:rsid w:val="00405590"/>
    <w:rsid w:val="004110AF"/>
    <w:rsid w:val="00412B78"/>
    <w:rsid w:val="0043671E"/>
    <w:rsid w:val="00441B3B"/>
    <w:rsid w:val="004460CA"/>
    <w:rsid w:val="0044634F"/>
    <w:rsid w:val="004503BD"/>
    <w:rsid w:val="00453389"/>
    <w:rsid w:val="00460938"/>
    <w:rsid w:val="00465609"/>
    <w:rsid w:val="0047347B"/>
    <w:rsid w:val="00476197"/>
    <w:rsid w:val="00486F63"/>
    <w:rsid w:val="0049257A"/>
    <w:rsid w:val="004A06C2"/>
    <w:rsid w:val="004A13CD"/>
    <w:rsid w:val="004A4D25"/>
    <w:rsid w:val="004C11A4"/>
    <w:rsid w:val="004E0354"/>
    <w:rsid w:val="004F7D1C"/>
    <w:rsid w:val="00523A1B"/>
    <w:rsid w:val="0053237D"/>
    <w:rsid w:val="00550C5D"/>
    <w:rsid w:val="00551BD1"/>
    <w:rsid w:val="00552405"/>
    <w:rsid w:val="005747CF"/>
    <w:rsid w:val="00574B91"/>
    <w:rsid w:val="00574B96"/>
    <w:rsid w:val="0057621B"/>
    <w:rsid w:val="0058092D"/>
    <w:rsid w:val="00584480"/>
    <w:rsid w:val="0058601D"/>
    <w:rsid w:val="0058721D"/>
    <w:rsid w:val="0058750D"/>
    <w:rsid w:val="005878F1"/>
    <w:rsid w:val="00590B66"/>
    <w:rsid w:val="00592777"/>
    <w:rsid w:val="005946F2"/>
    <w:rsid w:val="005A2C43"/>
    <w:rsid w:val="005A3E12"/>
    <w:rsid w:val="005B1FC0"/>
    <w:rsid w:val="005B3190"/>
    <w:rsid w:val="005C7A2E"/>
    <w:rsid w:val="005C7B6B"/>
    <w:rsid w:val="005D252E"/>
    <w:rsid w:val="005D6231"/>
    <w:rsid w:val="005D72DC"/>
    <w:rsid w:val="005F3599"/>
    <w:rsid w:val="005F73A1"/>
    <w:rsid w:val="006009AB"/>
    <w:rsid w:val="00601386"/>
    <w:rsid w:val="006035D2"/>
    <w:rsid w:val="00603F6E"/>
    <w:rsid w:val="006128DF"/>
    <w:rsid w:val="006138DC"/>
    <w:rsid w:val="00626B9E"/>
    <w:rsid w:val="0064497B"/>
    <w:rsid w:val="006508F6"/>
    <w:rsid w:val="006565DA"/>
    <w:rsid w:val="006570B6"/>
    <w:rsid w:val="006571A1"/>
    <w:rsid w:val="00662459"/>
    <w:rsid w:val="006653FA"/>
    <w:rsid w:val="00671DF1"/>
    <w:rsid w:val="006729F7"/>
    <w:rsid w:val="00673CC0"/>
    <w:rsid w:val="00677D5A"/>
    <w:rsid w:val="00686030"/>
    <w:rsid w:val="006876F3"/>
    <w:rsid w:val="00687D77"/>
    <w:rsid w:val="006904B8"/>
    <w:rsid w:val="00691AE8"/>
    <w:rsid w:val="006A1833"/>
    <w:rsid w:val="006A55ED"/>
    <w:rsid w:val="006A7233"/>
    <w:rsid w:val="006B102F"/>
    <w:rsid w:val="006B57DE"/>
    <w:rsid w:val="006C14AB"/>
    <w:rsid w:val="006C6C54"/>
    <w:rsid w:val="006C7650"/>
    <w:rsid w:val="007013A1"/>
    <w:rsid w:val="00705A78"/>
    <w:rsid w:val="00707671"/>
    <w:rsid w:val="00713C81"/>
    <w:rsid w:val="00720529"/>
    <w:rsid w:val="00731227"/>
    <w:rsid w:val="007425D3"/>
    <w:rsid w:val="0074278C"/>
    <w:rsid w:val="00743037"/>
    <w:rsid w:val="007454DA"/>
    <w:rsid w:val="00773FCE"/>
    <w:rsid w:val="00774740"/>
    <w:rsid w:val="00775985"/>
    <w:rsid w:val="00793C19"/>
    <w:rsid w:val="007A35C9"/>
    <w:rsid w:val="007A71B7"/>
    <w:rsid w:val="007B32B8"/>
    <w:rsid w:val="007D4D3E"/>
    <w:rsid w:val="007F235B"/>
    <w:rsid w:val="007F3AC7"/>
    <w:rsid w:val="00806F0F"/>
    <w:rsid w:val="008204B9"/>
    <w:rsid w:val="00833E44"/>
    <w:rsid w:val="008356EE"/>
    <w:rsid w:val="00836136"/>
    <w:rsid w:val="008458BE"/>
    <w:rsid w:val="00845BE6"/>
    <w:rsid w:val="00855A44"/>
    <w:rsid w:val="008657E9"/>
    <w:rsid w:val="00872BFE"/>
    <w:rsid w:val="00882F89"/>
    <w:rsid w:val="00897C4B"/>
    <w:rsid w:val="008A1E4C"/>
    <w:rsid w:val="008B1B70"/>
    <w:rsid w:val="008B62A0"/>
    <w:rsid w:val="008C3D18"/>
    <w:rsid w:val="008C44AD"/>
    <w:rsid w:val="008D348B"/>
    <w:rsid w:val="008D7BED"/>
    <w:rsid w:val="008F2424"/>
    <w:rsid w:val="008F48C9"/>
    <w:rsid w:val="009111AD"/>
    <w:rsid w:val="00916D8C"/>
    <w:rsid w:val="00954DD7"/>
    <w:rsid w:val="00981017"/>
    <w:rsid w:val="0098612A"/>
    <w:rsid w:val="009877DE"/>
    <w:rsid w:val="00993B89"/>
    <w:rsid w:val="009A2C46"/>
    <w:rsid w:val="009B178E"/>
    <w:rsid w:val="009B4426"/>
    <w:rsid w:val="009C1E9A"/>
    <w:rsid w:val="009C5869"/>
    <w:rsid w:val="009C61F9"/>
    <w:rsid w:val="009D6A81"/>
    <w:rsid w:val="009E2A5A"/>
    <w:rsid w:val="009F3B52"/>
    <w:rsid w:val="009F5132"/>
    <w:rsid w:val="00A00298"/>
    <w:rsid w:val="00A04FBA"/>
    <w:rsid w:val="00A079E9"/>
    <w:rsid w:val="00A07ECE"/>
    <w:rsid w:val="00A2140F"/>
    <w:rsid w:val="00A22D0D"/>
    <w:rsid w:val="00A55E56"/>
    <w:rsid w:val="00A609C7"/>
    <w:rsid w:val="00A648A4"/>
    <w:rsid w:val="00A65A2A"/>
    <w:rsid w:val="00A709EC"/>
    <w:rsid w:val="00A7612A"/>
    <w:rsid w:val="00A803D1"/>
    <w:rsid w:val="00A81E93"/>
    <w:rsid w:val="00A84DC0"/>
    <w:rsid w:val="00A90EB4"/>
    <w:rsid w:val="00AA1B89"/>
    <w:rsid w:val="00AA408D"/>
    <w:rsid w:val="00AA5938"/>
    <w:rsid w:val="00AC1E28"/>
    <w:rsid w:val="00AC32C2"/>
    <w:rsid w:val="00AC5FE2"/>
    <w:rsid w:val="00AE48FA"/>
    <w:rsid w:val="00AF30F1"/>
    <w:rsid w:val="00B10774"/>
    <w:rsid w:val="00B10D98"/>
    <w:rsid w:val="00B203BD"/>
    <w:rsid w:val="00B204DA"/>
    <w:rsid w:val="00B2268C"/>
    <w:rsid w:val="00B4593A"/>
    <w:rsid w:val="00B54746"/>
    <w:rsid w:val="00B5499F"/>
    <w:rsid w:val="00B56AF1"/>
    <w:rsid w:val="00B635DD"/>
    <w:rsid w:val="00B7416F"/>
    <w:rsid w:val="00B822D2"/>
    <w:rsid w:val="00B82997"/>
    <w:rsid w:val="00B90FE7"/>
    <w:rsid w:val="00BA4C3E"/>
    <w:rsid w:val="00BC0CCB"/>
    <w:rsid w:val="00BC20A1"/>
    <w:rsid w:val="00BC4172"/>
    <w:rsid w:val="00BC49F3"/>
    <w:rsid w:val="00BC671E"/>
    <w:rsid w:val="00BD6F9B"/>
    <w:rsid w:val="00BE0FE9"/>
    <w:rsid w:val="00BE706C"/>
    <w:rsid w:val="00BF65D4"/>
    <w:rsid w:val="00BF66F8"/>
    <w:rsid w:val="00C063FB"/>
    <w:rsid w:val="00C241B3"/>
    <w:rsid w:val="00C25367"/>
    <w:rsid w:val="00C369EC"/>
    <w:rsid w:val="00C624AB"/>
    <w:rsid w:val="00C63E05"/>
    <w:rsid w:val="00C748C5"/>
    <w:rsid w:val="00C81A35"/>
    <w:rsid w:val="00C86945"/>
    <w:rsid w:val="00C87498"/>
    <w:rsid w:val="00C90E25"/>
    <w:rsid w:val="00C91F0F"/>
    <w:rsid w:val="00C92984"/>
    <w:rsid w:val="00C93126"/>
    <w:rsid w:val="00C970E6"/>
    <w:rsid w:val="00CA2602"/>
    <w:rsid w:val="00CA4A91"/>
    <w:rsid w:val="00CB2FCD"/>
    <w:rsid w:val="00CC1CAD"/>
    <w:rsid w:val="00CD3951"/>
    <w:rsid w:val="00CD3CB5"/>
    <w:rsid w:val="00CD5305"/>
    <w:rsid w:val="00CD7900"/>
    <w:rsid w:val="00CF11AC"/>
    <w:rsid w:val="00CF13BF"/>
    <w:rsid w:val="00CF2703"/>
    <w:rsid w:val="00D0225F"/>
    <w:rsid w:val="00D07A7A"/>
    <w:rsid w:val="00D13350"/>
    <w:rsid w:val="00D13D4C"/>
    <w:rsid w:val="00D20C18"/>
    <w:rsid w:val="00D2472C"/>
    <w:rsid w:val="00D24D83"/>
    <w:rsid w:val="00D26FE9"/>
    <w:rsid w:val="00D35FAF"/>
    <w:rsid w:val="00D57331"/>
    <w:rsid w:val="00D64EC2"/>
    <w:rsid w:val="00D81365"/>
    <w:rsid w:val="00DA076D"/>
    <w:rsid w:val="00DB7F32"/>
    <w:rsid w:val="00DE0A33"/>
    <w:rsid w:val="00DF1FCF"/>
    <w:rsid w:val="00DF3E4F"/>
    <w:rsid w:val="00DF43C5"/>
    <w:rsid w:val="00DF5E08"/>
    <w:rsid w:val="00E03C1C"/>
    <w:rsid w:val="00E112E9"/>
    <w:rsid w:val="00E11ACD"/>
    <w:rsid w:val="00E255C7"/>
    <w:rsid w:val="00E332D8"/>
    <w:rsid w:val="00E33C63"/>
    <w:rsid w:val="00E34132"/>
    <w:rsid w:val="00E478A9"/>
    <w:rsid w:val="00E537C7"/>
    <w:rsid w:val="00E6689D"/>
    <w:rsid w:val="00E676BD"/>
    <w:rsid w:val="00E67EE0"/>
    <w:rsid w:val="00E717E0"/>
    <w:rsid w:val="00E71FE5"/>
    <w:rsid w:val="00E87B5E"/>
    <w:rsid w:val="00E93FA7"/>
    <w:rsid w:val="00EA52CF"/>
    <w:rsid w:val="00EB1B0C"/>
    <w:rsid w:val="00EC5278"/>
    <w:rsid w:val="00ED51AF"/>
    <w:rsid w:val="00EE404D"/>
    <w:rsid w:val="00EF5B36"/>
    <w:rsid w:val="00F148C8"/>
    <w:rsid w:val="00F2257F"/>
    <w:rsid w:val="00F22F53"/>
    <w:rsid w:val="00F23CB4"/>
    <w:rsid w:val="00F242BD"/>
    <w:rsid w:val="00F30D72"/>
    <w:rsid w:val="00F407C3"/>
    <w:rsid w:val="00F4327A"/>
    <w:rsid w:val="00F50491"/>
    <w:rsid w:val="00F5363B"/>
    <w:rsid w:val="00F6002E"/>
    <w:rsid w:val="00F605E6"/>
    <w:rsid w:val="00F61BB1"/>
    <w:rsid w:val="00F6384F"/>
    <w:rsid w:val="00F81B2E"/>
    <w:rsid w:val="00F83CA1"/>
    <w:rsid w:val="00FB0B1C"/>
    <w:rsid w:val="00FB205D"/>
    <w:rsid w:val="00FC09C8"/>
    <w:rsid w:val="00FC49B8"/>
    <w:rsid w:val="00FF201E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4ADE0DD"/>
  <w15:chartTrackingRefBased/>
  <w15:docId w15:val="{AE3BC8B5-A5CD-427F-8F1B-8D967A2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D252E"/>
    <w:pPr>
      <w:keepNext/>
      <w:spacing w:before="240" w:after="60"/>
      <w:jc w:val="center"/>
      <w:outlineLvl w:val="0"/>
    </w:pPr>
    <w:rPr>
      <w:rFonts w:asciiTheme="majorHAnsi" w:eastAsiaTheme="majorEastAsia" w:hAnsiTheme="majorHAnsi" w:cs="David"/>
      <w:b/>
      <w:bCs/>
      <w:kern w:val="3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356EE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5D252E"/>
    <w:rPr>
      <w:rFonts w:asciiTheme="majorHAnsi" w:eastAsiaTheme="majorEastAsia" w:hAnsiTheme="majorHAnsi" w:cs="David"/>
      <w:b/>
      <w:bCs/>
      <w:kern w:val="32"/>
      <w:sz w:val="32"/>
      <w:szCs w:val="28"/>
    </w:rPr>
  </w:style>
  <w:style w:type="character" w:customStyle="1" w:styleId="a5">
    <w:name w:val="כותרת תחתונה תו"/>
    <w:basedOn w:val="a0"/>
    <w:link w:val="a4"/>
    <w:uiPriority w:val="99"/>
    <w:rsid w:val="00590B66"/>
  </w:style>
  <w:style w:type="table" w:styleId="a8">
    <w:name w:val="Table Grid"/>
    <w:basedOn w:val="a1"/>
    <w:rsid w:val="002D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8B62A0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</w:rPr>
  </w:style>
  <w:style w:type="character" w:customStyle="1" w:styleId="aa">
    <w:name w:val="טקסט הערת שוליים תו"/>
    <w:basedOn w:val="a0"/>
    <w:link w:val="a9"/>
    <w:uiPriority w:val="99"/>
    <w:rsid w:val="008B62A0"/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8B62A0"/>
    <w:pPr>
      <w:ind w:left="720"/>
      <w:contextualSpacing/>
    </w:pPr>
  </w:style>
  <w:style w:type="character" w:styleId="ac">
    <w:name w:val="footnote reference"/>
    <w:basedOn w:val="a0"/>
    <w:rsid w:val="004A4D25"/>
    <w:rPr>
      <w:vertAlign w:val="superscript"/>
    </w:rPr>
  </w:style>
  <w:style w:type="character" w:styleId="ad">
    <w:name w:val="annotation reference"/>
    <w:basedOn w:val="a0"/>
    <w:rsid w:val="008F2424"/>
    <w:rPr>
      <w:sz w:val="16"/>
      <w:szCs w:val="16"/>
    </w:rPr>
  </w:style>
  <w:style w:type="paragraph" w:styleId="ae">
    <w:name w:val="annotation text"/>
    <w:basedOn w:val="a"/>
    <w:link w:val="af"/>
    <w:rsid w:val="008F2424"/>
  </w:style>
  <w:style w:type="character" w:customStyle="1" w:styleId="af">
    <w:name w:val="טקסט הערה תו"/>
    <w:basedOn w:val="a0"/>
    <w:link w:val="ae"/>
    <w:rsid w:val="008F2424"/>
  </w:style>
  <w:style w:type="paragraph" w:styleId="af0">
    <w:name w:val="annotation subject"/>
    <w:basedOn w:val="ae"/>
    <w:next w:val="ae"/>
    <w:link w:val="af1"/>
    <w:rsid w:val="008F2424"/>
    <w:rPr>
      <w:b/>
      <w:bCs/>
    </w:rPr>
  </w:style>
  <w:style w:type="character" w:customStyle="1" w:styleId="af1">
    <w:name w:val="נושא הערה תו"/>
    <w:basedOn w:val="af"/>
    <w:link w:val="af0"/>
    <w:rsid w:val="008F2424"/>
    <w:rPr>
      <w:b/>
      <w:bCs/>
    </w:rPr>
  </w:style>
  <w:style w:type="paragraph" w:styleId="af2">
    <w:name w:val="Revision"/>
    <w:hidden/>
    <w:uiPriority w:val="99"/>
    <w:semiHidden/>
    <w:rsid w:val="00A8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4055E71-2048-4385-97CE-CD9AAC930DC2}"/>
</file>

<file path=customXml/itemProps2.xml><?xml version="1.0" encoding="utf-8"?>
<ds:datastoreItem xmlns:ds="http://schemas.openxmlformats.org/officeDocument/2006/customXml" ds:itemID="{05505961-5106-4C3E-B168-D7DBB22BD373}"/>
</file>

<file path=customXml/itemProps3.xml><?xml version="1.0" encoding="utf-8"?>
<ds:datastoreItem xmlns:ds="http://schemas.openxmlformats.org/officeDocument/2006/customXml" ds:itemID="{100BC607-3E9B-46FA-A64F-470E50C1743F}"/>
</file>

<file path=customXml/itemProps4.xml><?xml version="1.0" encoding="utf-8"?>
<ds:datastoreItem xmlns:ds="http://schemas.openxmlformats.org/officeDocument/2006/customXml" ds:itemID="{D632C3FC-7327-4F28-9C58-323F25C1B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כ"ה בתשרי תשנ"ח</vt:lpstr>
    </vt:vector>
  </TitlesOfParts>
  <Company>Bank of Israel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כ"ה בתשרי תשנ"ח</dc:title>
  <dc:subject/>
  <dc:creator>ff</dc:creator>
  <cp:keywords/>
  <cp:lastModifiedBy>לירון דהן</cp:lastModifiedBy>
  <cp:revision>14</cp:revision>
  <cp:lastPrinted>2016-02-10T12:50:00Z</cp:lastPrinted>
  <dcterms:created xsi:type="dcterms:W3CDTF">2022-11-07T09:08:00Z</dcterms:created>
  <dcterms:modified xsi:type="dcterms:W3CDTF">2022-11-07T09:09:00Z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