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C74141">
              <w:rPr>
                <w:rFonts w:asciiTheme="minorHAnsi" w:hAnsiTheme="minorHAnsi" w:cstheme="minorHAnsi"/>
                <w:noProof/>
                <w:rtl/>
              </w:rPr>
              <w:t>‏כ"ג טבת,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C74141">
              <w:rPr>
                <w:rFonts w:asciiTheme="minorHAnsi" w:hAnsiTheme="minorHAnsi" w:cstheme="minorHAnsi"/>
                <w:noProof/>
                <w:rtl/>
              </w:rPr>
              <w:t>‏12 ינואר,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C74141" w:rsidRPr="00C74141" w:rsidRDefault="005E28F6" w:rsidP="00C74141">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C74141" w:rsidRPr="00C74141" w:rsidRDefault="00C74141" w:rsidP="00C74141">
      <w:pPr>
        <w:pStyle w:val="NormalWeb"/>
        <w:bidi/>
        <w:spacing w:line="360" w:lineRule="auto"/>
        <w:jc w:val="center"/>
        <w:rPr>
          <w:rFonts w:asciiTheme="minorHAnsi" w:eastAsia="Calibri" w:hAnsiTheme="minorHAnsi" w:cstheme="minorHAnsi"/>
          <w:b/>
          <w:bCs/>
          <w:sz w:val="28"/>
          <w:szCs w:val="28"/>
          <w:rtl/>
        </w:rPr>
      </w:pPr>
      <w:bookmarkStart w:id="0" w:name="_GoBack"/>
      <w:r w:rsidRPr="00C74141">
        <w:rPr>
          <w:rFonts w:asciiTheme="minorHAnsi" w:eastAsia="Calibri" w:hAnsiTheme="minorHAnsi" w:cstheme="minorHAnsi"/>
          <w:b/>
          <w:bCs/>
          <w:sz w:val="28"/>
          <w:szCs w:val="28"/>
          <w:rtl/>
        </w:rPr>
        <w:t>ממצאים עיקריים מסקר קציני אשראי של בנק ישראל לרביע האחרון של 2025</w:t>
      </w:r>
      <w:bookmarkEnd w:id="0"/>
    </w:p>
    <w:p w:rsidR="00C74141" w:rsidRPr="00C74141" w:rsidRDefault="00C74141" w:rsidP="00C74141">
      <w:pPr>
        <w:pStyle w:val="NormalWeb"/>
        <w:bidi/>
        <w:spacing w:before="0" w:beforeAutospacing="0" w:after="240" w:afterAutospacing="0" w:line="360" w:lineRule="auto"/>
        <w:jc w:val="both"/>
        <w:rPr>
          <w:rFonts w:asciiTheme="minorHAnsi" w:eastAsia="Calibri" w:hAnsiTheme="minorHAnsi" w:cstheme="minorHAnsi"/>
        </w:rPr>
      </w:pPr>
      <w:r w:rsidRPr="00C74141">
        <w:rPr>
          <w:rFonts w:asciiTheme="minorHAnsi" w:eastAsia="Calibri" w:hAnsiTheme="minorHAnsi" w:cstheme="minorHAnsi"/>
          <w:rtl/>
        </w:rPr>
        <w:t>הממצאים המתפרסמים כאן מצרפיים ומתייחסים לכלל התאגידים הבנקאיים. הם מיוצגים באמצעות מאזני נטו משוקללים</w:t>
      </w:r>
      <w:r w:rsidRPr="00C74141">
        <w:rPr>
          <w:rStyle w:val="af2"/>
          <w:rFonts w:asciiTheme="minorHAnsi" w:eastAsia="Calibri" w:hAnsiTheme="minorHAnsi" w:cstheme="minorHAnsi"/>
          <w:rtl/>
        </w:rPr>
        <w:footnoteReference w:id="1"/>
      </w:r>
      <w:r w:rsidRPr="00C74141">
        <w:rPr>
          <w:rFonts w:asciiTheme="minorHAnsi" w:eastAsia="Calibri" w:hAnsiTheme="minorHAnsi" w:cstheme="minorHAnsi"/>
          <w:rtl/>
        </w:rPr>
        <w:t xml:space="preserve">, המסכמים את השינוי שחל ברביע האחרון של 2025 לעומת הרביע הקודם והשינוי הצפוי ברביע הראשון של 2026 לעומת הרביע האחרון של 2025. </w:t>
      </w:r>
    </w:p>
    <w:p w:rsidR="00C74141" w:rsidRPr="00C74141" w:rsidRDefault="00C74141" w:rsidP="00C74141">
      <w:pPr>
        <w:pStyle w:val="NormalWeb"/>
        <w:numPr>
          <w:ilvl w:val="0"/>
          <w:numId w:val="7"/>
        </w:numPr>
        <w:pBdr>
          <w:top w:val="single" w:sz="4" w:space="1" w:color="auto"/>
          <w:left w:val="single" w:sz="4" w:space="4" w:color="auto"/>
          <w:bottom w:val="single" w:sz="4" w:space="1" w:color="auto"/>
          <w:right w:val="single" w:sz="4" w:space="4" w:color="auto"/>
        </w:pBdr>
        <w:bidi/>
        <w:spacing w:line="360" w:lineRule="auto"/>
        <w:jc w:val="both"/>
        <w:rPr>
          <w:rFonts w:asciiTheme="minorHAnsi" w:eastAsia="Calibri" w:hAnsiTheme="minorHAnsi" w:cstheme="minorHAnsi"/>
        </w:rPr>
      </w:pPr>
      <w:r w:rsidRPr="00C74141">
        <w:rPr>
          <w:rFonts w:asciiTheme="minorHAnsi" w:eastAsia="Calibri" w:hAnsiTheme="minorHAnsi" w:cstheme="minorHAnsi"/>
          <w:rtl/>
        </w:rPr>
        <w:t>ברביע האחרון של 2025, חל גידול בביקוש של משקי בית לאשראי</w:t>
      </w:r>
      <w:r w:rsidRPr="00C74141">
        <w:rPr>
          <w:rFonts w:asciiTheme="minorHAnsi" w:eastAsia="Calibri" w:hAnsiTheme="minorHAnsi" w:cstheme="minorHAnsi"/>
        </w:rPr>
        <w:t xml:space="preserve"> </w:t>
      </w:r>
      <w:r w:rsidRPr="00C74141">
        <w:rPr>
          <w:rFonts w:asciiTheme="minorHAnsi" w:eastAsia="Calibri" w:hAnsiTheme="minorHAnsi" w:cstheme="minorHAnsi"/>
          <w:rtl/>
        </w:rPr>
        <w:t xml:space="preserve">צרכני והביקוש לאשראי לדיור לא השתנה. במגזר העסקי נמשך הגידול בביקוש לאשראי של עסקים זעירים וקטנים ועלה הביקוש לאשראי לענף הבינוי. </w:t>
      </w:r>
    </w:p>
    <w:p w:rsidR="00C74141" w:rsidRPr="00C74141" w:rsidRDefault="00C74141" w:rsidP="00C74141">
      <w:pPr>
        <w:pStyle w:val="NormalWeb"/>
        <w:numPr>
          <w:ilvl w:val="0"/>
          <w:numId w:val="7"/>
        </w:numPr>
        <w:pBdr>
          <w:top w:val="single" w:sz="4" w:space="1" w:color="auto"/>
          <w:left w:val="single" w:sz="4" w:space="4" w:color="auto"/>
          <w:bottom w:val="single" w:sz="4" w:space="1" w:color="auto"/>
          <w:right w:val="single" w:sz="4" w:space="4" w:color="auto"/>
        </w:pBdr>
        <w:bidi/>
        <w:spacing w:line="360" w:lineRule="auto"/>
        <w:jc w:val="both"/>
        <w:rPr>
          <w:rFonts w:asciiTheme="minorHAnsi" w:eastAsia="Calibri" w:hAnsiTheme="minorHAnsi" w:cstheme="minorHAnsi"/>
        </w:rPr>
      </w:pPr>
      <w:r w:rsidRPr="00C74141">
        <w:rPr>
          <w:rFonts w:asciiTheme="minorHAnsi" w:eastAsia="Calibri" w:hAnsiTheme="minorHAnsi" w:cstheme="minorHAnsi"/>
          <w:rtl/>
        </w:rPr>
        <w:t xml:space="preserve">לפי המשיבים, מימון מחדש וגידול מלאי והון חוזר, כלומר בעיית תזרים לעסק היו הגורמים לעליה בביקוש לאשראי לעסקים זעירים וקטנים. </w:t>
      </w:r>
    </w:p>
    <w:p w:rsidR="00C74141" w:rsidRPr="00C74141" w:rsidRDefault="00C74141" w:rsidP="00C74141">
      <w:pPr>
        <w:pStyle w:val="NormalWeb"/>
        <w:numPr>
          <w:ilvl w:val="0"/>
          <w:numId w:val="7"/>
        </w:numPr>
        <w:pBdr>
          <w:top w:val="single" w:sz="4" w:space="1" w:color="auto"/>
          <w:left w:val="single" w:sz="4" w:space="4" w:color="auto"/>
          <w:bottom w:val="single" w:sz="4" w:space="1" w:color="auto"/>
          <w:right w:val="single" w:sz="4" w:space="4" w:color="auto"/>
        </w:pBdr>
        <w:bidi/>
        <w:spacing w:line="360" w:lineRule="auto"/>
        <w:jc w:val="both"/>
        <w:rPr>
          <w:rFonts w:asciiTheme="minorHAnsi" w:eastAsia="Calibri" w:hAnsiTheme="minorHAnsi" w:cstheme="minorHAnsi"/>
        </w:rPr>
      </w:pPr>
      <w:r w:rsidRPr="00C74141">
        <w:rPr>
          <w:rFonts w:asciiTheme="minorHAnsi" w:eastAsia="Calibri" w:hAnsiTheme="minorHAnsi" w:cstheme="minorHAnsi"/>
          <w:rtl/>
        </w:rPr>
        <w:t>צפי</w:t>
      </w:r>
      <w:r w:rsidRPr="00C74141">
        <w:rPr>
          <w:rFonts w:asciiTheme="minorHAnsi" w:eastAsia="Calibri" w:hAnsiTheme="minorHAnsi" w:cstheme="minorHAnsi"/>
        </w:rPr>
        <w:t xml:space="preserve"> </w:t>
      </w:r>
      <w:r w:rsidRPr="00C74141">
        <w:rPr>
          <w:rFonts w:asciiTheme="minorHAnsi" w:eastAsia="Calibri" w:hAnsiTheme="minorHAnsi" w:cstheme="minorHAnsi"/>
          <w:rtl/>
        </w:rPr>
        <w:t>לגידול בביקוש של משקי בית לאשראי לדיור ואשראי צרכני ברביע הבא, וצפי לגידול בביקוש לאשראי עסקי לכל הגדלים של העסקים ברביע הבא. בענפי הבינוי והנדל"ן הצפי הוא להתייצבות בביקוש לאשראי.</w:t>
      </w:r>
    </w:p>
    <w:p w:rsidR="00C74141" w:rsidRPr="00C74141" w:rsidRDefault="00C74141" w:rsidP="00C74141">
      <w:pPr>
        <w:pStyle w:val="NormalWeb"/>
        <w:numPr>
          <w:ilvl w:val="0"/>
          <w:numId w:val="8"/>
        </w:numPr>
        <w:pBdr>
          <w:top w:val="single" w:sz="4" w:space="1" w:color="auto"/>
          <w:left w:val="single" w:sz="4" w:space="4" w:color="auto"/>
          <w:bottom w:val="single" w:sz="4" w:space="1" w:color="auto"/>
          <w:right w:val="single" w:sz="4" w:space="4" w:color="auto"/>
        </w:pBdr>
        <w:bidi/>
        <w:spacing w:line="360" w:lineRule="auto"/>
        <w:jc w:val="both"/>
        <w:rPr>
          <w:rFonts w:asciiTheme="minorHAnsi" w:eastAsia="Calibri" w:hAnsiTheme="minorHAnsi" w:cstheme="minorHAnsi"/>
        </w:rPr>
      </w:pPr>
      <w:r w:rsidRPr="00C74141">
        <w:rPr>
          <w:rFonts w:asciiTheme="minorHAnsi" w:eastAsia="Calibri" w:hAnsiTheme="minorHAnsi" w:cstheme="minorHAnsi"/>
          <w:rtl/>
        </w:rPr>
        <w:t>ברביע האחרון של 2025 נמשכה ההקשחה במרווחי האשראי ברמת סיכון גבוהה לעסקים זעירים וקטנים ולאשראי ברמת סיכון לא גבוהה לדיור. בצד זאת, נמשכה ההגמשה</w:t>
      </w:r>
      <w:r w:rsidRPr="00C74141">
        <w:rPr>
          <w:rFonts w:asciiTheme="minorHAnsi" w:eastAsia="Calibri" w:hAnsiTheme="minorHAnsi" w:cstheme="minorHAnsi"/>
        </w:rPr>
        <w:t xml:space="preserve"> </w:t>
      </w:r>
      <w:r w:rsidRPr="00C74141">
        <w:rPr>
          <w:rFonts w:asciiTheme="minorHAnsi" w:eastAsia="Calibri" w:hAnsiTheme="minorHAnsi" w:cstheme="minorHAnsi"/>
          <w:rtl/>
        </w:rPr>
        <w:t>בתנאי</w:t>
      </w:r>
      <w:r w:rsidRPr="00C74141">
        <w:rPr>
          <w:rFonts w:asciiTheme="minorHAnsi" w:eastAsia="Calibri" w:hAnsiTheme="minorHAnsi" w:cstheme="minorHAnsi"/>
        </w:rPr>
        <w:t xml:space="preserve"> </w:t>
      </w:r>
      <w:r w:rsidRPr="00C74141">
        <w:rPr>
          <w:rFonts w:asciiTheme="minorHAnsi" w:eastAsia="Calibri" w:hAnsiTheme="minorHAnsi" w:cstheme="minorHAnsi"/>
          <w:rtl/>
        </w:rPr>
        <w:t>האשראי</w:t>
      </w:r>
      <w:r w:rsidRPr="00C74141">
        <w:rPr>
          <w:rFonts w:asciiTheme="minorHAnsi" w:eastAsia="Calibri" w:hAnsiTheme="minorHAnsi" w:cstheme="minorHAnsi"/>
        </w:rPr>
        <w:t xml:space="preserve"> </w:t>
      </w:r>
      <w:r w:rsidRPr="00C74141">
        <w:rPr>
          <w:rFonts w:asciiTheme="minorHAnsi" w:eastAsia="Calibri" w:hAnsiTheme="minorHAnsi" w:cstheme="minorHAnsi"/>
          <w:rtl/>
        </w:rPr>
        <w:t>בשאר המגזרים, שהתבטאה</w:t>
      </w:r>
      <w:r w:rsidRPr="00C74141">
        <w:rPr>
          <w:rFonts w:asciiTheme="minorHAnsi" w:eastAsia="Calibri" w:hAnsiTheme="minorHAnsi" w:cstheme="minorHAnsi"/>
        </w:rPr>
        <w:t xml:space="preserve"> </w:t>
      </w:r>
      <w:r w:rsidRPr="00C74141">
        <w:rPr>
          <w:rFonts w:asciiTheme="minorHAnsi" w:eastAsia="Calibri" w:hAnsiTheme="minorHAnsi" w:cstheme="minorHAnsi"/>
          <w:rtl/>
        </w:rPr>
        <w:t>בעיקר</w:t>
      </w:r>
      <w:r w:rsidRPr="00C74141">
        <w:rPr>
          <w:rFonts w:asciiTheme="minorHAnsi" w:eastAsia="Calibri" w:hAnsiTheme="minorHAnsi" w:cstheme="minorHAnsi"/>
        </w:rPr>
        <w:t xml:space="preserve"> </w:t>
      </w:r>
      <w:r w:rsidRPr="00C74141">
        <w:rPr>
          <w:rFonts w:asciiTheme="minorHAnsi" w:eastAsia="Calibri" w:hAnsiTheme="minorHAnsi" w:cstheme="minorHAnsi"/>
          <w:rtl/>
        </w:rPr>
        <w:t>במרווחים</w:t>
      </w:r>
      <w:r w:rsidRPr="00C74141">
        <w:rPr>
          <w:rFonts w:asciiTheme="minorHAnsi" w:eastAsia="Calibri" w:hAnsiTheme="minorHAnsi" w:cstheme="minorHAnsi"/>
        </w:rPr>
        <w:t xml:space="preserve"> </w:t>
      </w:r>
      <w:r w:rsidRPr="00C74141">
        <w:rPr>
          <w:rFonts w:asciiTheme="minorHAnsi" w:eastAsia="Calibri" w:hAnsiTheme="minorHAnsi" w:cstheme="minorHAnsi"/>
          <w:rtl/>
        </w:rPr>
        <w:t>באשראי</w:t>
      </w:r>
      <w:r w:rsidRPr="00C74141">
        <w:rPr>
          <w:rFonts w:asciiTheme="minorHAnsi" w:eastAsia="Calibri" w:hAnsiTheme="minorHAnsi" w:cstheme="minorHAnsi"/>
        </w:rPr>
        <w:t xml:space="preserve"> </w:t>
      </w:r>
      <w:r w:rsidRPr="00C74141">
        <w:rPr>
          <w:rFonts w:asciiTheme="minorHAnsi" w:eastAsia="Calibri" w:hAnsiTheme="minorHAnsi" w:cstheme="minorHAnsi"/>
          <w:rtl/>
        </w:rPr>
        <w:t xml:space="preserve">ברמת סיכון לא גבוהה. </w:t>
      </w:r>
    </w:p>
    <w:p w:rsidR="00C74141" w:rsidRPr="00C74141" w:rsidRDefault="00C74141" w:rsidP="00C74141">
      <w:pPr>
        <w:pStyle w:val="NormalWeb"/>
        <w:numPr>
          <w:ilvl w:val="0"/>
          <w:numId w:val="8"/>
        </w:numPr>
        <w:pBdr>
          <w:top w:val="single" w:sz="4" w:space="1" w:color="auto"/>
          <w:left w:val="single" w:sz="4" w:space="4" w:color="auto"/>
          <w:bottom w:val="single" w:sz="4" w:space="1" w:color="auto"/>
          <w:right w:val="single" w:sz="4" w:space="4" w:color="auto"/>
        </w:pBdr>
        <w:bidi/>
        <w:spacing w:line="360" w:lineRule="auto"/>
        <w:jc w:val="both"/>
        <w:rPr>
          <w:rFonts w:asciiTheme="minorHAnsi" w:eastAsia="Calibri" w:hAnsiTheme="minorHAnsi" w:cstheme="minorHAnsi"/>
          <w:rtl/>
        </w:rPr>
      </w:pPr>
      <w:r w:rsidRPr="00C74141">
        <w:rPr>
          <w:rFonts w:asciiTheme="minorHAnsi" w:eastAsia="Calibri" w:hAnsiTheme="minorHAnsi" w:cstheme="minorHAnsi"/>
          <w:rtl/>
        </w:rPr>
        <w:t>לפי המשיבים, התחרות</w:t>
      </w:r>
      <w:r w:rsidRPr="00C74141">
        <w:rPr>
          <w:rFonts w:asciiTheme="minorHAnsi" w:eastAsia="Calibri" w:hAnsiTheme="minorHAnsi" w:cstheme="minorHAnsi"/>
        </w:rPr>
        <w:t xml:space="preserve"> </w:t>
      </w:r>
      <w:r w:rsidRPr="00C74141">
        <w:rPr>
          <w:rFonts w:asciiTheme="minorHAnsi" w:eastAsia="Calibri" w:hAnsiTheme="minorHAnsi" w:cstheme="minorHAnsi"/>
          <w:rtl/>
        </w:rPr>
        <w:t>בשוק האשראי היא הגורם</w:t>
      </w:r>
      <w:r w:rsidRPr="00C74141">
        <w:rPr>
          <w:rFonts w:asciiTheme="minorHAnsi" w:eastAsia="Calibri" w:hAnsiTheme="minorHAnsi" w:cstheme="minorHAnsi"/>
        </w:rPr>
        <w:t xml:space="preserve"> </w:t>
      </w:r>
      <w:r w:rsidRPr="00C74141">
        <w:rPr>
          <w:rFonts w:asciiTheme="minorHAnsi" w:eastAsia="Calibri" w:hAnsiTheme="minorHAnsi" w:cstheme="minorHAnsi"/>
          <w:rtl/>
        </w:rPr>
        <w:t>העיקרי</w:t>
      </w:r>
      <w:r w:rsidRPr="00C74141">
        <w:rPr>
          <w:rFonts w:asciiTheme="minorHAnsi" w:eastAsia="Calibri" w:hAnsiTheme="minorHAnsi" w:cstheme="minorHAnsi"/>
        </w:rPr>
        <w:t xml:space="preserve"> </w:t>
      </w:r>
      <w:r w:rsidRPr="00C74141">
        <w:rPr>
          <w:rFonts w:asciiTheme="minorHAnsi" w:eastAsia="Calibri" w:hAnsiTheme="minorHAnsi" w:cstheme="minorHAnsi"/>
          <w:rtl/>
        </w:rPr>
        <w:t>להגמשה</w:t>
      </w:r>
      <w:r w:rsidRPr="00C74141">
        <w:rPr>
          <w:rFonts w:asciiTheme="minorHAnsi" w:eastAsia="Calibri" w:hAnsiTheme="minorHAnsi" w:cstheme="minorHAnsi"/>
        </w:rPr>
        <w:t xml:space="preserve"> </w:t>
      </w:r>
      <w:r w:rsidRPr="00C74141">
        <w:rPr>
          <w:rFonts w:asciiTheme="minorHAnsi" w:eastAsia="Calibri" w:hAnsiTheme="minorHAnsi" w:cstheme="minorHAnsi"/>
          <w:rtl/>
        </w:rPr>
        <w:t>או הקלה במרווחים.</w:t>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eastAsia="Calibri" w:hAnsiTheme="minorHAnsi" w:cstheme="minorHAnsi"/>
          <w:rtl/>
        </w:rPr>
        <w:t>א. ביקוש לאשראי</w:t>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eastAsia="Calibri" w:hAnsiTheme="minorHAnsi" w:cstheme="minorHAnsi"/>
          <w:rtl/>
        </w:rPr>
        <w:t>ברביע האחרון של 2025 הסתמן גידול בביקוש של משקי בית לאשראי צרכני והביקוש לאשראי לדיור לא השתנה. במגזר העסקי נמשך הגידול בביקוש לאשראי של עסקים זעירים וקטנים</w:t>
      </w:r>
      <w:r w:rsidRPr="00C74141">
        <w:rPr>
          <w:rFonts w:asciiTheme="minorHAnsi" w:eastAsia="Calibri" w:hAnsiTheme="minorHAnsi" w:cstheme="minorHAnsi"/>
        </w:rPr>
        <w:t>;</w:t>
      </w:r>
      <w:r w:rsidRPr="00C74141">
        <w:rPr>
          <w:rFonts w:asciiTheme="minorHAnsi" w:eastAsia="Calibri" w:hAnsiTheme="minorHAnsi" w:cstheme="minorHAnsi"/>
          <w:rtl/>
        </w:rPr>
        <w:t xml:space="preserve"> עלה הביקוש לאשראי לענף הבינוי והתייצב </w:t>
      </w:r>
      <w:r w:rsidRPr="00C74141">
        <w:rPr>
          <w:rFonts w:asciiTheme="minorHAnsi" w:eastAsia="Calibri" w:hAnsiTheme="minorHAnsi" w:cstheme="minorHAnsi"/>
          <w:rtl/>
        </w:rPr>
        <w:lastRenderedPageBreak/>
        <w:t>בענף הנדל"ן</w:t>
      </w:r>
      <w:r w:rsidRPr="00C74141">
        <w:rPr>
          <w:rStyle w:val="af2"/>
          <w:rFonts w:asciiTheme="minorHAnsi" w:eastAsia="Calibri" w:hAnsiTheme="minorHAnsi" w:cstheme="minorHAnsi"/>
          <w:rtl/>
        </w:rPr>
        <w:footnoteReference w:id="2"/>
      </w:r>
      <w:r w:rsidRPr="00C74141">
        <w:rPr>
          <w:rFonts w:asciiTheme="minorHAnsi" w:eastAsia="Calibri" w:hAnsiTheme="minorHAnsi" w:cstheme="minorHAnsi"/>
          <w:rtl/>
        </w:rPr>
        <w:t>. הבנקים צופים גידול בביקוש של משקי בית לאשראי לדיור ואשראי צרכני. במגזר העסקי הבנקים צופים גידול בביקוש לאשראי עסקי לכל הגדלים של העסקים והתייצבות בענפי הבינוי והנדל"ן. (תרשים 1).</w:t>
      </w:r>
    </w:p>
    <w:p w:rsidR="00C74141" w:rsidRPr="00C74141" w:rsidRDefault="00C74141" w:rsidP="00C74141">
      <w:pPr>
        <w:pStyle w:val="NormalWeb"/>
        <w:bidi/>
        <w:jc w:val="both"/>
        <w:rPr>
          <w:rFonts w:asciiTheme="minorHAnsi" w:eastAsia="Calibri" w:hAnsiTheme="minorHAnsi" w:cstheme="minorHAnsi"/>
          <w:rtl/>
        </w:rPr>
      </w:pPr>
      <w:r w:rsidRPr="00C74141">
        <w:rPr>
          <w:rFonts w:asciiTheme="minorHAnsi" w:eastAsia="Calibri" w:hAnsiTheme="minorHAnsi" w:cstheme="minorHAnsi"/>
          <w:rtl/>
        </w:rPr>
        <w:t xml:space="preserve">תרשים 1. מאזני נטו* של השינוי בביקוש לאשראי (נתוני הצפי בקו מקווקו) </w:t>
      </w:r>
    </w:p>
    <w:p w:rsidR="00C74141" w:rsidRPr="00C74141" w:rsidRDefault="00C74141" w:rsidP="00C74141">
      <w:pPr>
        <w:pStyle w:val="NormalWeb"/>
        <w:bidi/>
        <w:jc w:val="both"/>
        <w:rPr>
          <w:rFonts w:asciiTheme="minorHAnsi" w:eastAsia="Calibri" w:hAnsiTheme="minorHAnsi" w:cstheme="minorHAnsi"/>
          <w:rtl/>
        </w:rPr>
      </w:pPr>
      <w:r w:rsidRPr="00C74141">
        <w:rPr>
          <w:rFonts w:asciiTheme="minorHAnsi" w:hAnsiTheme="minorHAnsi" w:cstheme="minorHAnsi"/>
          <w:noProof/>
        </w:rPr>
        <w:drawing>
          <wp:inline distT="0" distB="0" distL="0" distR="0" wp14:anchorId="43FCF94E" wp14:editId="5AF4F668">
            <wp:extent cx="5421989" cy="3157268"/>
            <wp:effectExtent l="0" t="0" r="7620" b="5080"/>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eastAsia="Calibri" w:hAnsiTheme="minorHAnsi" w:cstheme="minorHAnsi"/>
          <w:rtl/>
        </w:rPr>
        <w:t xml:space="preserve"> </w:t>
      </w:r>
      <w:r w:rsidRPr="00C74141">
        <w:rPr>
          <w:rFonts w:asciiTheme="minorHAnsi" w:hAnsiTheme="minorHAnsi" w:cstheme="minorHAnsi"/>
          <w:noProof/>
        </w:rPr>
        <w:drawing>
          <wp:inline distT="0" distB="0" distL="0" distR="0" wp14:anchorId="029DE228" wp14:editId="7DF9BAFF">
            <wp:extent cx="5331616" cy="3372929"/>
            <wp:effectExtent l="0" t="0" r="2540" b="18415"/>
            <wp:docPr id="3" name="תרשים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74141" w:rsidRPr="00C74141" w:rsidRDefault="00C74141" w:rsidP="00C74141">
      <w:pPr>
        <w:pStyle w:val="NormalWeb"/>
        <w:bidi/>
        <w:rPr>
          <w:rFonts w:asciiTheme="minorHAnsi" w:eastAsia="Calibri" w:hAnsiTheme="minorHAnsi" w:cstheme="minorHAnsi"/>
          <w:rtl/>
        </w:rPr>
      </w:pPr>
      <w:r w:rsidRPr="00C74141">
        <w:rPr>
          <w:rFonts w:asciiTheme="minorHAnsi" w:eastAsia="Calibri" w:hAnsiTheme="minorHAnsi" w:cstheme="minorHAnsi"/>
          <w:rtl/>
        </w:rPr>
        <w:lastRenderedPageBreak/>
        <w:t>* ערך חיובי מתאר גידול בביקוש לאשראי ולהיפך</w:t>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eastAsia="Calibri" w:hAnsiTheme="minorHAnsi" w:cstheme="minorHAnsi"/>
          <w:rtl/>
        </w:rPr>
        <w:t>מבחינת ההשפעה של גורמים שונים על הביקוש לאשראי נראה שמימון מחדש וגידול מלאי והון חוזר, כלומר בעיית תזרים לעסק היו הגורמים לעליה בביקוש לאשראי לעסקים זעירים וקטנים ברביע האחרון של 2025 (תרשים 2).</w:t>
      </w:r>
    </w:p>
    <w:p w:rsidR="00C74141" w:rsidRPr="00C74141" w:rsidRDefault="00C74141" w:rsidP="00C74141">
      <w:pPr>
        <w:pStyle w:val="NormalWeb"/>
        <w:bidi/>
        <w:spacing w:line="360" w:lineRule="auto"/>
        <w:rPr>
          <w:rFonts w:asciiTheme="minorHAnsi" w:eastAsia="Calibri" w:hAnsiTheme="minorHAnsi" w:cstheme="minorHAnsi"/>
          <w:rtl/>
        </w:rPr>
      </w:pPr>
      <w:r w:rsidRPr="00C74141">
        <w:rPr>
          <w:rFonts w:asciiTheme="minorHAnsi" w:eastAsia="Calibri" w:hAnsiTheme="minorHAnsi" w:cstheme="minorHAnsi"/>
          <w:rtl/>
        </w:rPr>
        <w:t>תרשים 2. מאזני נטו* של השינוי בהשפעתם של גורמים שונים על הביקוש לאשראי</w:t>
      </w:r>
      <w:r w:rsidRPr="00C74141">
        <w:rPr>
          <w:rFonts w:asciiTheme="minorHAnsi" w:eastAsia="Calibri" w:hAnsiTheme="minorHAnsi" w:cstheme="minorHAnsi"/>
          <w:noProof/>
          <w:rtl/>
        </w:rPr>
        <w:t xml:space="preserve"> </w:t>
      </w:r>
      <w:r w:rsidRPr="00C74141">
        <w:rPr>
          <w:rFonts w:asciiTheme="minorHAnsi" w:eastAsia="Calibri" w:hAnsiTheme="minorHAnsi" w:cstheme="minorHAnsi"/>
          <w:rtl/>
        </w:rPr>
        <w:t>לעסקים זעירים וקטנים</w:t>
      </w:r>
      <w:r w:rsidRPr="00C74141">
        <w:rPr>
          <w:rFonts w:asciiTheme="minorHAnsi" w:hAnsiTheme="minorHAnsi" w:cstheme="minorHAnsi"/>
          <w:noProof/>
        </w:rPr>
        <w:drawing>
          <wp:inline distT="0" distB="0" distL="0" distR="0" wp14:anchorId="7087B7C1" wp14:editId="21A16645">
            <wp:extent cx="5562600" cy="3149600"/>
            <wp:effectExtent l="0" t="0" r="0" b="12700"/>
            <wp:docPr id="4" name="תרשים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74141">
        <w:rPr>
          <w:rFonts w:asciiTheme="minorHAnsi" w:eastAsia="Calibri" w:hAnsiTheme="minorHAnsi" w:cstheme="minorHAnsi"/>
          <w:rtl/>
        </w:rPr>
        <w:t xml:space="preserve"> </w:t>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eastAsia="Calibri" w:hAnsiTheme="minorHAnsi" w:cstheme="minorHAnsi"/>
          <w:rtl/>
        </w:rPr>
        <w:t>* ערך חיובי מתאר תרומה לעליה בביקוש ולהיפך</w:t>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eastAsia="Calibri" w:hAnsiTheme="minorHAnsi" w:cstheme="minorHAnsi"/>
          <w:rtl/>
        </w:rPr>
        <w:t>ב. היצע האשראי</w:t>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eastAsia="Calibri" w:hAnsiTheme="minorHAnsi" w:cstheme="minorHAnsi"/>
          <w:rtl/>
        </w:rPr>
        <w:t xml:space="preserve">ההגמשה בתנאי האשראי נמשכה ברביע האחרון של 2025 ברב מגזרי האשראי והתבטאה בעיקר במרווחי האשראי ברמת סיכון לא גבוהה. בצד זאת, נמשכה ההקשחה במרווחי האשראי ברמת סיכון גבוהה לעסקים זעירים וקטנים ולאשראי ברמת סיכון לא גבוהה לדיור (תרשים 3).     </w:t>
      </w:r>
    </w:p>
    <w:p w:rsidR="00C74141" w:rsidRPr="00C74141" w:rsidRDefault="00C74141" w:rsidP="00C74141">
      <w:pPr>
        <w:pStyle w:val="NormalWeb"/>
        <w:bidi/>
        <w:jc w:val="both"/>
        <w:rPr>
          <w:rFonts w:asciiTheme="minorHAnsi" w:eastAsia="Calibri" w:hAnsiTheme="minorHAnsi" w:cstheme="minorHAnsi"/>
          <w:rtl/>
        </w:rPr>
      </w:pPr>
      <w:r w:rsidRPr="00C74141">
        <w:rPr>
          <w:rFonts w:asciiTheme="minorHAnsi" w:eastAsia="Calibri" w:hAnsiTheme="minorHAnsi" w:cstheme="minorHAnsi"/>
          <w:rtl/>
        </w:rPr>
        <w:t>תרשים 3: מאזני נטו* לשינוי בתנאי האשראי עבור בקשות חדשות להעמדות אשראי</w:t>
      </w:r>
    </w:p>
    <w:p w:rsidR="00C74141" w:rsidRPr="00C74141" w:rsidRDefault="00C74141" w:rsidP="00C74141">
      <w:pPr>
        <w:pStyle w:val="NormalWeb"/>
        <w:bidi/>
        <w:jc w:val="both"/>
        <w:rPr>
          <w:rFonts w:asciiTheme="minorHAnsi" w:eastAsia="Calibri" w:hAnsiTheme="minorHAnsi" w:cstheme="minorHAnsi"/>
          <w:rtl/>
        </w:rPr>
      </w:pPr>
      <w:r w:rsidRPr="00C74141">
        <w:rPr>
          <w:rFonts w:asciiTheme="minorHAnsi" w:hAnsiTheme="minorHAnsi" w:cstheme="minorHAnsi"/>
          <w:noProof/>
        </w:rPr>
        <w:lastRenderedPageBreak/>
        <w:drawing>
          <wp:inline distT="0" distB="0" distL="0" distR="0" wp14:anchorId="47DD21FC" wp14:editId="096D8DE0">
            <wp:extent cx="5233419" cy="2958465"/>
            <wp:effectExtent l="0" t="0" r="5715" b="13335"/>
            <wp:docPr id="6" name="תרשים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hAnsiTheme="minorHAnsi" w:cstheme="minorHAnsi"/>
          <w:noProof/>
        </w:rPr>
        <w:drawing>
          <wp:inline distT="0" distB="0" distL="0" distR="0" wp14:anchorId="4AE88F3C" wp14:editId="56CBC7DD">
            <wp:extent cx="5274310" cy="2977626"/>
            <wp:effectExtent l="0" t="0" r="2540" b="13335"/>
            <wp:docPr id="5" name="תרשים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eastAsia="Calibri" w:hAnsiTheme="minorHAnsi" w:cstheme="minorHAnsi"/>
          <w:rtl/>
        </w:rPr>
        <w:t>* ערך שלילי מתאר תרומה להגמשה או הקלה במרווחים ולהיפך</w:t>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eastAsia="Calibri" w:hAnsiTheme="minorHAnsi" w:cstheme="minorHAnsi"/>
          <w:rtl/>
        </w:rPr>
        <w:t>הגורמים העיקריים להגמשה במרווחים המשיכו להיות גורמי התחרות (תרשים 4).</w:t>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eastAsia="Calibri" w:hAnsiTheme="minorHAnsi" w:cstheme="minorHAnsi"/>
          <w:rtl/>
        </w:rPr>
        <w:t xml:space="preserve">תרשים 4. מאזני נטו* של השינויים בהשפעתם של גורמים שונים על השינוי במרווחי האשראי </w:t>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hAnsiTheme="minorHAnsi" w:cstheme="minorHAnsi"/>
          <w:noProof/>
        </w:rPr>
        <w:lastRenderedPageBreak/>
        <w:drawing>
          <wp:inline distT="0" distB="0" distL="0" distR="0" wp14:anchorId="62BF45AC" wp14:editId="5EE0AFE6">
            <wp:extent cx="5772606" cy="3735238"/>
            <wp:effectExtent l="0" t="0" r="0" b="17780"/>
            <wp:docPr id="11" name="תרשים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4141" w:rsidRPr="00C74141" w:rsidRDefault="00C74141" w:rsidP="00C74141">
      <w:pPr>
        <w:pStyle w:val="NormalWeb"/>
        <w:bidi/>
        <w:spacing w:line="360" w:lineRule="auto"/>
        <w:jc w:val="both"/>
        <w:rPr>
          <w:rFonts w:asciiTheme="minorHAnsi" w:eastAsia="Calibri" w:hAnsiTheme="minorHAnsi" w:cstheme="minorHAnsi"/>
          <w:rtl/>
        </w:rPr>
      </w:pPr>
      <w:r w:rsidRPr="00C74141">
        <w:rPr>
          <w:rFonts w:asciiTheme="minorHAnsi" w:hAnsiTheme="minorHAnsi" w:cstheme="minorHAnsi"/>
          <w:noProof/>
        </w:rPr>
        <w:drawing>
          <wp:inline distT="0" distB="0" distL="0" distR="0" wp14:anchorId="6CC8F147" wp14:editId="73DD321E">
            <wp:extent cx="5773420" cy="3485071"/>
            <wp:effectExtent l="0" t="0" r="17780" b="1270"/>
            <wp:docPr id="12" name="תרשים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E7478" w:rsidRPr="00C74141" w:rsidRDefault="00C74141" w:rsidP="00C74141">
      <w:pPr>
        <w:pStyle w:val="NormalWeb"/>
        <w:bidi/>
        <w:spacing w:line="360" w:lineRule="auto"/>
        <w:jc w:val="both"/>
        <w:rPr>
          <w:rFonts w:asciiTheme="minorHAnsi" w:eastAsia="Calibri" w:hAnsiTheme="minorHAnsi" w:cstheme="minorHAnsi"/>
        </w:rPr>
      </w:pPr>
      <w:r w:rsidRPr="00C74141">
        <w:rPr>
          <w:rFonts w:asciiTheme="minorHAnsi" w:eastAsia="Calibri" w:hAnsiTheme="minorHAnsi" w:cstheme="minorHAnsi"/>
          <w:rtl/>
        </w:rPr>
        <w:t>* ערך שלילי מתאר תרומה להגמשה או הקלה במרווחים ולהיפך</w:t>
      </w:r>
    </w:p>
    <w:sectPr w:rsidR="003E7478" w:rsidRPr="00C74141" w:rsidSect="00CC2499">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C74141" w:rsidRPr="00C74141" w:rsidRDefault="00C74141" w:rsidP="00C74141">
      <w:pPr>
        <w:pStyle w:val="af0"/>
        <w:ind w:left="-58"/>
        <w:rPr>
          <w:rFonts w:asciiTheme="minorHAnsi" w:hAnsiTheme="minorHAnsi" w:cstheme="minorHAnsi"/>
          <w:sz w:val="18"/>
          <w:szCs w:val="18"/>
          <w:rtl/>
        </w:rPr>
      </w:pPr>
      <w:r w:rsidRPr="00C74141">
        <w:rPr>
          <w:rStyle w:val="af2"/>
          <w:rFonts w:asciiTheme="minorHAnsi" w:hAnsiTheme="minorHAnsi" w:cstheme="minorHAnsi"/>
          <w:sz w:val="18"/>
          <w:szCs w:val="18"/>
        </w:rPr>
        <w:footnoteRef/>
      </w:r>
      <w:r w:rsidRPr="00C74141">
        <w:rPr>
          <w:rFonts w:asciiTheme="minorHAnsi" w:hAnsiTheme="minorHAnsi" w:cstheme="minorHAnsi"/>
          <w:sz w:val="18"/>
          <w:szCs w:val="18"/>
          <w:rtl/>
        </w:rPr>
        <w:t xml:space="preserve"> מאזן נטו מחושב כהפרש בין אחוז התשובות בצד החיובי לאחוז התשובות בצד השלילי. בשאלות לגבי הביקוש לאשראי התשובות "עלה/עלה מאוד" הוגדרו בצד החיובי והתשובות "ירד/ירד מאוד" הוגדרו בצד השלילי, כך שמאזן נטו חיובי משקף עליה בביקוש לאשראי ולהיפך. בשאלות לגבי היצע האשראי כלומר מדיניות העמדת האשראי ותנאי האשראי התשובות "הקשחה ניכרת/הקשחה מסוימת" הוגדרו בצד החיובי והתשובות "הגמשה מסוימת/הגמשה ניכרת" הוגדרו בצד השלילי, כך שמאזן נטו חיובי משקף הקשחה במדיניות או בתנאי האשראי ולהיפך. התשובות שוקללו בהתאם לנתח של כל בנק בכל סגמנט של אשראי.  </w:t>
      </w:r>
    </w:p>
    <w:p w:rsidR="00C74141" w:rsidRPr="00C74141" w:rsidRDefault="00C74141" w:rsidP="00C74141">
      <w:pPr>
        <w:pStyle w:val="af0"/>
        <w:ind w:left="-58"/>
        <w:rPr>
          <w:rFonts w:asciiTheme="minorHAnsi" w:hAnsiTheme="minorHAnsi" w:cstheme="minorHAnsi"/>
          <w:sz w:val="18"/>
          <w:szCs w:val="18"/>
          <w:rtl/>
        </w:rPr>
      </w:pPr>
      <w:r w:rsidRPr="00C74141">
        <w:rPr>
          <w:rFonts w:asciiTheme="minorHAnsi" w:hAnsiTheme="minorHAnsi" w:cstheme="minorHAnsi"/>
          <w:sz w:val="18"/>
          <w:szCs w:val="18"/>
          <w:rtl/>
        </w:rPr>
        <w:t xml:space="preserve"> </w:t>
      </w:r>
    </w:p>
  </w:footnote>
  <w:footnote w:id="2">
    <w:p w:rsidR="00C74141" w:rsidRPr="00C74141" w:rsidRDefault="00C74141" w:rsidP="00C74141">
      <w:pPr>
        <w:pStyle w:val="af0"/>
        <w:rPr>
          <w:rFonts w:asciiTheme="minorHAnsi" w:hAnsiTheme="minorHAnsi" w:cstheme="minorHAnsi"/>
          <w:sz w:val="18"/>
          <w:szCs w:val="18"/>
          <w:rtl/>
        </w:rPr>
      </w:pPr>
      <w:r>
        <w:rPr>
          <w:rStyle w:val="af2"/>
        </w:rPr>
        <w:footnoteRef/>
      </w:r>
      <w:r>
        <w:rPr>
          <w:rtl/>
        </w:rPr>
        <w:t xml:space="preserve"> </w:t>
      </w:r>
      <w:r w:rsidRPr="00C74141">
        <w:rPr>
          <w:rFonts w:asciiTheme="minorHAnsi" w:hAnsiTheme="minorHAnsi" w:cstheme="minorHAnsi"/>
          <w:sz w:val="18"/>
          <w:szCs w:val="18"/>
          <w:rtl/>
        </w:rPr>
        <w:t xml:space="preserve">ההגדרה של ענפי הבינוי והנדל"ן היא בהתאם לסיווג האחיד של ענפי הכלכלה של הלשכה המרכזית לסטטיסטיקה. ענף הבינוי (סדר </w:t>
      </w:r>
      <w:r w:rsidRPr="00C74141">
        <w:rPr>
          <w:rFonts w:asciiTheme="minorHAnsi" w:hAnsiTheme="minorHAnsi" w:cstheme="minorHAnsi"/>
          <w:sz w:val="18"/>
          <w:szCs w:val="18"/>
        </w:rPr>
        <w:t>F</w:t>
      </w:r>
      <w:r w:rsidRPr="00C74141">
        <w:rPr>
          <w:rFonts w:asciiTheme="minorHAnsi" w:hAnsiTheme="minorHAnsi" w:cstheme="minorHAnsi"/>
          <w:sz w:val="18"/>
          <w:szCs w:val="18"/>
          <w:rtl/>
        </w:rPr>
        <w:t xml:space="preserve"> ) כולל בעיקר בניית מבנים ובניינים ותשתיות ואילו ענף הנדל"ן (סדר </w:t>
      </w:r>
      <w:r w:rsidRPr="00C74141">
        <w:rPr>
          <w:rFonts w:asciiTheme="minorHAnsi" w:hAnsiTheme="minorHAnsi" w:cstheme="minorHAnsi"/>
          <w:sz w:val="18"/>
          <w:szCs w:val="18"/>
        </w:rPr>
        <w:t>L</w:t>
      </w:r>
      <w:r w:rsidRPr="00C74141">
        <w:rPr>
          <w:rFonts w:asciiTheme="minorHAnsi" w:hAnsiTheme="minorHAnsi" w:cstheme="minorHAnsi"/>
          <w:sz w:val="18"/>
          <w:szCs w:val="18"/>
          <w:rtl/>
        </w:rPr>
        <w:t xml:space="preserve">) כולל פעילויות בנדל"ן בעיקר קנייה, מכירה, השכרה ותפעול של נדל"ן. הוא אינו כולל פיתוח מיזמי בנייה למכירה.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36F8172F"/>
    <w:multiLevelType w:val="hybridMultilevel"/>
    <w:tmpl w:val="4A98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01806"/>
    <w:multiLevelType w:val="hybridMultilevel"/>
    <w:tmpl w:val="B21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6"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74141"/>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D427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 w:type="paragraph" w:styleId="NormalWeb">
    <w:name w:val="Normal (Web)"/>
    <w:basedOn w:val="a"/>
    <w:uiPriority w:val="99"/>
    <w:unhideWhenUsed/>
    <w:rsid w:val="00C74141"/>
    <w:pPr>
      <w:spacing w:before="100" w:beforeAutospacing="1" w:after="100" w:afterAutospacing="1" w:line="240" w:lineRule="auto"/>
    </w:pPr>
    <w:rPr>
      <w:rFonts w:ascii="Times New Roman" w:eastAsia="Times New Roman" w:hAnsi="Times New Roman" w:cs="Times New Roman"/>
    </w:rPr>
  </w:style>
  <w:style w:type="paragraph" w:styleId="af0">
    <w:name w:val="footnote text"/>
    <w:basedOn w:val="a"/>
    <w:link w:val="af1"/>
    <w:uiPriority w:val="99"/>
    <w:semiHidden/>
    <w:unhideWhenUsed/>
    <w:rsid w:val="00C74141"/>
    <w:pPr>
      <w:widowControl w:val="0"/>
      <w:bidi/>
      <w:spacing w:after="0" w:line="240" w:lineRule="auto"/>
      <w:ind w:left="340"/>
      <w:contextualSpacing/>
      <w:jc w:val="both"/>
    </w:pPr>
    <w:rPr>
      <w:rFonts w:eastAsia="Calibri"/>
      <w:sz w:val="20"/>
      <w:szCs w:val="20"/>
    </w:rPr>
  </w:style>
  <w:style w:type="character" w:customStyle="1" w:styleId="af1">
    <w:name w:val="טקסט הערת שוליים תו"/>
    <w:basedOn w:val="a0"/>
    <w:link w:val="af0"/>
    <w:uiPriority w:val="99"/>
    <w:semiHidden/>
    <w:rsid w:val="00C74141"/>
    <w:rPr>
      <w:rFonts w:ascii="David" w:eastAsia="Calibri" w:hAnsi="David" w:cs="David"/>
      <w:sz w:val="20"/>
      <w:szCs w:val="20"/>
    </w:rPr>
  </w:style>
  <w:style w:type="character" w:styleId="af2">
    <w:name w:val="footnote reference"/>
    <w:basedOn w:val="a0"/>
    <w:uiPriority w:val="99"/>
    <w:semiHidden/>
    <w:unhideWhenUsed/>
    <w:rsid w:val="00C74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vsrvmmh\vmmh\ISD\&#1508;&#1512;&#1493;&#1497;&#1511;&#1496;&#1497;&#1501;%20&#1502;&#1513;&#1493;&#1514;&#1508;&#1497;&#1501;%20-%207\&#1505;&#1511;&#1512;%20&#1511;&#1510;&#1497;&#1504;&#1497;%20&#1488;&#1513;&#1512;&#1488;&#1497;\2025Q4\&#1491;&#1497;&#1493;&#1493;&#1495;%20&#1500;&#1510;&#1497;&#1489;&#1493;&#1512;\&#1490;&#1512;&#1508;&#1497;&#1501;%20&#1488;&#1493;&#1496;&#1493;&#1502;&#1496;&#1497;%20&#1502;&#1506;&#1493;&#1491;&#1499;&#15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vsrvmmh\vmmh\ISD\&#1508;&#1512;&#1493;&#1497;&#1511;&#1496;&#1497;&#1501;%20&#1502;&#1513;&#1493;&#1514;&#1508;&#1497;&#1501;%20-%207\&#1505;&#1511;&#1512;%20&#1511;&#1510;&#1497;&#1504;&#1497;%20&#1488;&#1513;&#1512;&#1488;&#1497;\2025Q4\&#1491;&#1497;&#1493;&#1493;&#1495;%20&#1500;&#1510;&#1497;&#1489;&#1493;&#1512;\&#1490;&#1512;&#1508;&#1497;&#1501;%20&#1488;&#1493;&#1496;&#1493;&#1502;&#1496;&#1497;%20&#1502;&#1506;&#1493;&#1491;&#1499;&#15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vsrvmmh\vmmh\ISD\&#1508;&#1512;&#1493;&#1497;&#1511;&#1496;&#1497;&#1501;%20&#1502;&#1513;&#1493;&#1514;&#1508;&#1497;&#1501;%20-%207\&#1505;&#1511;&#1512;%20&#1511;&#1510;&#1497;&#1504;&#1497;%20&#1488;&#1513;&#1512;&#1488;&#1497;\2025Q4\&#1491;&#1497;&#1493;&#1493;&#1495;%20&#1500;&#1510;&#1497;&#1489;&#1493;&#1512;\&#1490;&#1512;&#1508;&#1497;&#1501;%20&#1488;&#1493;&#1496;&#1493;&#1502;&#1496;&#1497;%20&#1502;&#1506;&#1493;&#1491;&#1499;&#15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mvsrvmmh\vmmh\ISD\&#1508;&#1512;&#1493;&#1497;&#1511;&#1496;&#1497;&#1501;%20&#1502;&#1513;&#1493;&#1514;&#1508;&#1497;&#1501;%20-%207\&#1505;&#1511;&#1512;%20&#1511;&#1510;&#1497;&#1504;&#1497;%20&#1488;&#1513;&#1512;&#1488;&#1497;\2025Q4\&#1491;&#1497;&#1493;&#1493;&#1495;%20&#1500;&#1510;&#1497;&#1489;&#1493;&#1512;\&#1490;&#1512;&#1508;&#1497;&#1501;%20&#1488;&#1493;&#1496;&#1493;&#1502;&#1496;&#1497;%20&#1502;&#1506;&#1493;&#1491;&#1499;&#15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mvsrvmmh\vmmh\ISD\&#1508;&#1512;&#1493;&#1497;&#1511;&#1496;&#1497;&#1501;%20&#1502;&#1513;&#1493;&#1514;&#1508;&#1497;&#1501;%20-%207\&#1505;&#1511;&#1512;%20&#1511;&#1510;&#1497;&#1504;&#1497;%20&#1488;&#1513;&#1512;&#1488;&#1497;\2025Q4\&#1491;&#1497;&#1493;&#1493;&#1495;%20&#1500;&#1510;&#1497;&#1489;&#1493;&#1512;\&#1490;&#1512;&#1508;&#1497;&#1501;%20&#1488;&#1493;&#1496;&#1493;&#1502;&#1496;&#1497;%20&#1502;&#1506;&#1493;&#1491;&#1499;&#150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mvsrvmmh\vmmh\ISD\&#1508;&#1512;&#1493;&#1497;&#1511;&#1496;&#1497;&#1501;%20&#1502;&#1513;&#1493;&#1514;&#1508;&#1497;&#1501;%20-%207\&#1505;&#1511;&#1512;%20&#1511;&#1510;&#1497;&#1504;&#1497;%20&#1488;&#1513;&#1512;&#1488;&#1497;\2025Q4\&#1491;&#1497;&#1493;&#1493;&#1495;%20&#1500;&#1510;&#1497;&#1489;&#1493;&#1512;\&#1490;&#1512;&#1508;&#1497;&#1501;%20&#1488;&#1493;&#1496;&#1493;&#1502;&#1496;&#1497;%20&#1502;&#1506;&#1493;&#1491;&#1499;&#150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mvsrvmmh\vmmh\ISD\&#1508;&#1512;&#1493;&#1497;&#1511;&#1496;&#1497;&#1501;%20&#1502;&#1513;&#1493;&#1514;&#1508;&#1497;&#1501;%20-%207\&#1505;&#1511;&#1512;%20&#1511;&#1510;&#1497;&#1504;&#1497;%20&#1488;&#1513;&#1512;&#1488;&#1497;\2025Q4\&#1491;&#1497;&#1493;&#1493;&#1495;%20&#1500;&#1510;&#1497;&#1489;&#1493;&#1512;\&#1490;&#1512;&#1508;&#1497;&#1501;%20&#1488;&#1493;&#1496;&#1493;&#1502;&#1496;&#1497;%20&#1502;&#1506;&#1493;&#1491;&#1499;&#1503;.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אוטומטי מעודכן.xlsx]טבלאות תרשים 1!PivotTable1</c:name>
    <c:fmtId val="-1"/>
  </c:pivotSource>
  <c:chart>
    <c:title>
      <c:tx>
        <c:rich>
          <a:bodyPr rot="0" spcFirstLastPara="1" vertOverflow="ellipsis" vert="horz" wrap="square" anchor="ctr" anchorCtr="1"/>
          <a:lstStyle/>
          <a:p>
            <a:pPr algn="r">
              <a:defRPr sz="1400" b="0" i="0" u="none" strike="noStrike" kern="1200" spc="0" baseline="0">
                <a:solidFill>
                  <a:sysClr val="windowText" lastClr="000000"/>
                </a:solidFill>
                <a:latin typeface="Assistant" panose="00000500000000000000" pitchFamily="2" charset="-79"/>
                <a:ea typeface="+mn-ea"/>
                <a:cs typeface="Assistant" panose="00000500000000000000" pitchFamily="2" charset="-79"/>
              </a:defRPr>
            </a:pPr>
            <a:r>
              <a:rPr lang="he-IL" sz="1400" baseline="0">
                <a:solidFill>
                  <a:sysClr val="windowText" lastClr="000000"/>
                </a:solidFill>
                <a:latin typeface="Assistant" panose="00000500000000000000" pitchFamily="2" charset="-79"/>
                <a:cs typeface="Assistant" panose="00000500000000000000" pitchFamily="2" charset="-79"/>
              </a:rPr>
              <a:t>א. משקי בית וסה"כ עסקים </a:t>
            </a:r>
            <a:endParaRPr lang="en-US" sz="1400">
              <a:solidFill>
                <a:sysClr val="windowText" lastClr="000000"/>
              </a:solidFill>
              <a:latin typeface="Assistant" panose="00000500000000000000" pitchFamily="2" charset="-79"/>
              <a:cs typeface="Assistant" panose="00000500000000000000" pitchFamily="2" charset="-79"/>
            </a:endParaRPr>
          </a:p>
        </c:rich>
      </c:tx>
      <c:layout>
        <c:manualLayout>
          <c:xMode val="edge"/>
          <c:yMode val="edge"/>
          <c:x val="0.62301223307671993"/>
          <c:y val="2.6565802311360291E-2"/>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ysClr val="windowText" lastClr="000000"/>
              </a:solidFill>
              <a:latin typeface="Assistant" panose="00000500000000000000" pitchFamily="2" charset="-79"/>
              <a:ea typeface="+mn-ea"/>
              <a:cs typeface="Assistant" panose="00000500000000000000" pitchFamily="2" charset="-79"/>
            </a:defRPr>
          </a:pPr>
          <a:endParaRPr lang="he-IL"/>
        </a:p>
      </c:txPr>
    </c:title>
    <c:autoTitleDeleted val="0"/>
    <c:pivotFmts>
      <c:pivotFmt>
        <c:idx val="0"/>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2"/>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3"/>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4"/>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5"/>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6"/>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7"/>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8"/>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9"/>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0"/>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11"/>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12"/>
        <c:spPr>
          <a:solidFill>
            <a:schemeClr val="accent1"/>
          </a:solidFill>
          <a:ln w="28575" cap="rnd">
            <a:solidFill>
              <a:srgbClr val="6C63FF"/>
            </a:solidFill>
            <a:prstDash val="dash"/>
            <a:round/>
          </a:ln>
          <a:effectLst/>
        </c:spPr>
        <c:marker>
          <c:symbol val="circle"/>
          <c:size val="5"/>
          <c:spPr>
            <a:solidFill>
              <a:srgbClr val="6C63FF"/>
            </a:solidFill>
            <a:ln w="9525">
              <a:solidFill>
                <a:srgbClr val="6C63FF"/>
              </a:solidFill>
            </a:ln>
            <a:effectLst/>
          </c:spPr>
        </c:marker>
      </c:pivotFmt>
      <c:pivotFmt>
        <c:idx val="13"/>
        <c:spPr>
          <a:solidFill>
            <a:schemeClr val="accent1"/>
          </a:solidFill>
          <a:ln w="28575" cap="rnd">
            <a:solidFill>
              <a:srgbClr val="008DA3"/>
            </a:solidFill>
            <a:prstDash val="dash"/>
            <a:round/>
          </a:ln>
          <a:effectLst/>
        </c:spPr>
        <c:marker>
          <c:symbol val="circle"/>
          <c:size val="5"/>
          <c:spPr>
            <a:solidFill>
              <a:srgbClr val="008DA3"/>
            </a:solidFill>
            <a:ln w="9525">
              <a:solidFill>
                <a:srgbClr val="008DA3"/>
              </a:solidFill>
            </a:ln>
            <a:effectLst/>
          </c:spPr>
        </c:marker>
      </c:pivotFmt>
      <c:pivotFmt>
        <c:idx val="14"/>
        <c:spPr>
          <a:solidFill>
            <a:schemeClr val="accent1"/>
          </a:solidFill>
          <a:ln w="28575" cap="rnd">
            <a:solidFill>
              <a:srgbClr val="D98D25"/>
            </a:solidFill>
            <a:prstDash val="dash"/>
            <a:round/>
          </a:ln>
          <a:effectLst/>
        </c:spPr>
        <c:marker>
          <c:symbol val="circle"/>
          <c:size val="5"/>
          <c:spPr>
            <a:solidFill>
              <a:srgbClr val="D98D25"/>
            </a:solidFill>
            <a:ln w="9525">
              <a:solidFill>
                <a:srgbClr val="D98D25"/>
              </a:solidFill>
            </a:ln>
            <a:effectLst/>
          </c:spPr>
        </c:marker>
      </c:pivotFmt>
      <c:pivotFmt>
        <c:idx val="15"/>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6"/>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17"/>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18"/>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9"/>
        <c:spPr>
          <a:solidFill>
            <a:schemeClr val="accent1"/>
          </a:solidFill>
          <a:ln w="28575" cap="rnd">
            <a:solidFill>
              <a:srgbClr val="008DA3"/>
            </a:solidFill>
            <a:prstDash val="dash"/>
            <a:round/>
          </a:ln>
          <a:effectLst/>
        </c:spPr>
        <c:marker>
          <c:symbol val="circle"/>
          <c:size val="5"/>
          <c:spPr>
            <a:solidFill>
              <a:srgbClr val="008DA3"/>
            </a:solidFill>
            <a:ln w="9525">
              <a:solidFill>
                <a:srgbClr val="008DA3"/>
              </a:solidFill>
            </a:ln>
            <a:effectLst/>
          </c:spPr>
        </c:marker>
      </c:pivotFmt>
      <c:pivotFmt>
        <c:idx val="20"/>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21"/>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22"/>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23"/>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24"/>
        <c:spPr>
          <a:solidFill>
            <a:schemeClr val="accent1"/>
          </a:solidFill>
          <a:ln w="28575" cap="rnd">
            <a:solidFill>
              <a:srgbClr val="6C63FF"/>
            </a:solidFill>
            <a:prstDash val="dash"/>
            <a:round/>
          </a:ln>
          <a:effectLst/>
        </c:spPr>
        <c:marker>
          <c:symbol val="circle"/>
          <c:size val="5"/>
          <c:spPr>
            <a:solidFill>
              <a:srgbClr val="6C63FF"/>
            </a:solidFill>
            <a:ln w="9525">
              <a:solidFill>
                <a:srgbClr val="6C63FF"/>
              </a:solidFill>
            </a:ln>
            <a:effectLst/>
          </c:spPr>
        </c:marker>
      </c:pivotFmt>
      <c:pivotFmt>
        <c:idx val="25"/>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26"/>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27"/>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28"/>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29"/>
        <c:spPr>
          <a:solidFill>
            <a:schemeClr val="accent1"/>
          </a:solidFill>
          <a:ln w="28575" cap="rnd">
            <a:solidFill>
              <a:srgbClr val="D98D25"/>
            </a:solidFill>
            <a:prstDash val="dash"/>
            <a:round/>
          </a:ln>
          <a:effectLst/>
        </c:spPr>
        <c:marker>
          <c:symbol val="circle"/>
          <c:size val="5"/>
          <c:spPr>
            <a:solidFill>
              <a:srgbClr val="D98D25"/>
            </a:solidFill>
            <a:ln w="9525">
              <a:solidFill>
                <a:srgbClr val="D98D25"/>
              </a:solidFill>
            </a:ln>
            <a:effectLst/>
          </c:spPr>
        </c:marker>
      </c:pivotFmt>
      <c:pivotFmt>
        <c:idx val="30"/>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31"/>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32"/>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33"/>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34"/>
        <c:spPr>
          <a:solidFill>
            <a:schemeClr val="accent1"/>
          </a:solidFill>
          <a:ln w="28575" cap="rnd">
            <a:solidFill>
              <a:srgbClr val="008DA3"/>
            </a:solidFill>
            <a:prstDash val="dash"/>
            <a:round/>
          </a:ln>
          <a:effectLst/>
        </c:spPr>
        <c:marker>
          <c:symbol val="circle"/>
          <c:size val="5"/>
          <c:spPr>
            <a:solidFill>
              <a:srgbClr val="008DA3"/>
            </a:solidFill>
            <a:ln w="9525">
              <a:solidFill>
                <a:srgbClr val="008DA3"/>
              </a:solidFill>
            </a:ln>
            <a:effectLst/>
          </c:spPr>
        </c:marker>
      </c:pivotFmt>
      <c:pivotFmt>
        <c:idx val="35"/>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36"/>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37"/>
        <c:spPr>
          <a:solidFill>
            <a:schemeClr val="accent1"/>
          </a:solidFill>
          <a:ln w="28575" cap="rnd">
            <a:solidFill>
              <a:srgbClr val="6C63FF"/>
            </a:solidFill>
            <a:prstDash val="solid"/>
            <a:round/>
          </a:ln>
          <a:effectLst/>
        </c:spPr>
        <c:marker>
          <c:symbol val="circle"/>
          <c:size val="5"/>
          <c:spPr>
            <a:solidFill>
              <a:srgbClr val="6C63FF"/>
            </a:solidFill>
            <a:ln w="9525">
              <a:solidFill>
                <a:srgbClr val="6C63FF"/>
              </a:solidFill>
            </a:ln>
            <a:effectLst/>
          </c:spPr>
        </c:marker>
      </c:pivotFmt>
      <c:pivotFmt>
        <c:idx val="38"/>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39"/>
        <c:spPr>
          <a:solidFill>
            <a:schemeClr val="accent1"/>
          </a:solidFill>
          <a:ln w="28575" cap="rnd">
            <a:solidFill>
              <a:srgbClr val="6C63FF"/>
            </a:solidFill>
            <a:prstDash val="dash"/>
            <a:round/>
          </a:ln>
          <a:effectLst/>
        </c:spPr>
        <c:marker>
          <c:symbol val="circle"/>
          <c:size val="5"/>
          <c:spPr>
            <a:solidFill>
              <a:srgbClr val="6C63FF"/>
            </a:solidFill>
            <a:ln w="9525">
              <a:solidFill>
                <a:srgbClr val="6C63FF"/>
              </a:solidFill>
            </a:ln>
            <a:effectLst/>
          </c:spPr>
        </c:marker>
      </c:pivotFmt>
      <c:pivotFmt>
        <c:idx val="40"/>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41"/>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42"/>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43"/>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44"/>
        <c:spPr>
          <a:solidFill>
            <a:schemeClr val="accent1"/>
          </a:solidFill>
          <a:ln w="28575" cap="rnd">
            <a:solidFill>
              <a:srgbClr val="D98D25"/>
            </a:solidFill>
            <a:prstDash val="dash"/>
            <a:round/>
          </a:ln>
          <a:effectLst/>
        </c:spPr>
        <c:marker>
          <c:symbol val="circle"/>
          <c:size val="5"/>
          <c:spPr>
            <a:solidFill>
              <a:srgbClr val="D98D25"/>
            </a:solidFill>
            <a:ln w="9525">
              <a:solidFill>
                <a:srgbClr val="D98D25"/>
              </a:solidFill>
            </a:ln>
            <a:effectLst/>
          </c:spPr>
        </c:marker>
      </c:pivotFmt>
    </c:pivotFmts>
    <c:plotArea>
      <c:layout>
        <c:manualLayout>
          <c:layoutTarget val="inner"/>
          <c:xMode val="edge"/>
          <c:yMode val="edge"/>
          <c:x val="9.1956889614755177E-2"/>
          <c:y val="0.11988237072460184"/>
          <c:w val="0.88143463482599471"/>
          <c:h val="0.55500334197355761"/>
        </c:manualLayout>
      </c:layout>
      <c:lineChart>
        <c:grouping val="standard"/>
        <c:varyColors val="0"/>
        <c:ser>
          <c:idx val="0"/>
          <c:order val="0"/>
          <c:tx>
            <c:strRef>
              <c:f>'טבלאות תרשים 1'!$B$3:$B$4</c:f>
              <c:strCache>
                <c:ptCount val="1"/>
                <c:pt idx="0">
                  <c:v>דיור</c:v>
                </c:pt>
              </c:strCache>
            </c:strRef>
          </c:tx>
          <c:spPr>
            <a:ln w="28575" cap="rnd">
              <a:solidFill>
                <a:srgbClr val="008DA3"/>
              </a:solidFill>
              <a:round/>
            </a:ln>
            <a:effectLst/>
          </c:spPr>
          <c:marker>
            <c:symbol val="circle"/>
            <c:size val="5"/>
            <c:spPr>
              <a:solidFill>
                <a:srgbClr val="008DA3"/>
              </a:solidFill>
              <a:ln w="9525">
                <a:solidFill>
                  <a:srgbClr val="008DA3"/>
                </a:solidFill>
              </a:ln>
              <a:effectLst/>
            </c:spPr>
          </c:marker>
          <c:dPt>
            <c:idx val="2"/>
            <c:marker>
              <c:symbol val="circle"/>
              <c:size val="5"/>
              <c:spPr>
                <a:solidFill>
                  <a:srgbClr val="008DA3"/>
                </a:solidFill>
                <a:ln w="9525">
                  <a:solidFill>
                    <a:srgbClr val="008DA3"/>
                  </a:solidFill>
                </a:ln>
                <a:effectLst/>
              </c:spPr>
            </c:marker>
            <c:bubble3D val="0"/>
            <c:spPr>
              <a:ln w="28575" cap="rnd">
                <a:solidFill>
                  <a:srgbClr val="008DA3"/>
                </a:solidFill>
                <a:prstDash val="solid"/>
                <a:round/>
              </a:ln>
              <a:effectLst/>
            </c:spPr>
            <c:extLst>
              <c:ext xmlns:c16="http://schemas.microsoft.com/office/drawing/2014/chart" uri="{C3380CC4-5D6E-409C-BE32-E72D297353CC}">
                <c16:uniqueId val="{00000001-88F3-4C77-942D-D9B33EDD3FA6}"/>
              </c:ext>
            </c:extLst>
          </c:dPt>
          <c:dPt>
            <c:idx val="3"/>
            <c:marker>
              <c:symbol val="circle"/>
              <c:size val="5"/>
              <c:spPr>
                <a:solidFill>
                  <a:srgbClr val="008DA3"/>
                </a:solidFill>
                <a:ln w="9525">
                  <a:solidFill>
                    <a:srgbClr val="008DA3"/>
                  </a:solidFill>
                </a:ln>
                <a:effectLst/>
              </c:spPr>
            </c:marker>
            <c:bubble3D val="0"/>
            <c:spPr>
              <a:ln w="28575" cap="rnd">
                <a:solidFill>
                  <a:srgbClr val="008DA3"/>
                </a:solidFill>
                <a:prstDash val="solid"/>
                <a:round/>
              </a:ln>
              <a:effectLst/>
            </c:spPr>
            <c:extLst>
              <c:ext xmlns:c16="http://schemas.microsoft.com/office/drawing/2014/chart" uri="{C3380CC4-5D6E-409C-BE32-E72D297353CC}">
                <c16:uniqueId val="{00000003-88F3-4C77-942D-D9B33EDD3FA6}"/>
              </c:ext>
            </c:extLst>
          </c:dPt>
          <c:dPt>
            <c:idx val="4"/>
            <c:marker>
              <c:symbol val="circle"/>
              <c:size val="5"/>
              <c:spPr>
                <a:solidFill>
                  <a:srgbClr val="008DA3"/>
                </a:solidFill>
                <a:ln w="9525">
                  <a:solidFill>
                    <a:srgbClr val="008DA3"/>
                  </a:solidFill>
                </a:ln>
                <a:effectLst/>
              </c:spPr>
            </c:marker>
            <c:bubble3D val="0"/>
            <c:spPr>
              <a:ln w="28575" cap="rnd">
                <a:solidFill>
                  <a:srgbClr val="008DA3"/>
                </a:solidFill>
                <a:round/>
              </a:ln>
              <a:effectLst/>
            </c:spPr>
            <c:extLst>
              <c:ext xmlns:c16="http://schemas.microsoft.com/office/drawing/2014/chart" uri="{C3380CC4-5D6E-409C-BE32-E72D297353CC}">
                <c16:uniqueId val="{00000005-88F3-4C77-942D-D9B33EDD3FA6}"/>
              </c:ext>
            </c:extLst>
          </c:dPt>
          <c:dPt>
            <c:idx val="6"/>
            <c:marker>
              <c:symbol val="circle"/>
              <c:size val="5"/>
              <c:spPr>
                <a:solidFill>
                  <a:srgbClr val="008DA3"/>
                </a:solidFill>
                <a:ln w="9525">
                  <a:solidFill>
                    <a:srgbClr val="008DA3"/>
                  </a:solidFill>
                </a:ln>
                <a:effectLst/>
              </c:spPr>
            </c:marker>
            <c:bubble3D val="0"/>
            <c:spPr>
              <a:ln w="28575" cap="rnd">
                <a:solidFill>
                  <a:srgbClr val="008DA3"/>
                </a:solidFill>
                <a:prstDash val="dash"/>
                <a:round/>
              </a:ln>
              <a:effectLst/>
            </c:spPr>
            <c:extLst>
              <c:ext xmlns:c16="http://schemas.microsoft.com/office/drawing/2014/chart" uri="{C3380CC4-5D6E-409C-BE32-E72D297353CC}">
                <c16:uniqueId val="{00000007-88F3-4C77-942D-D9B33EDD3FA6}"/>
              </c:ext>
            </c:extLst>
          </c:dPt>
          <c:cat>
            <c:multiLvlStrRef>
              <c:f>'טבלאות תרשים 1'!$A$5:$A$14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1'!$B$5:$B$14</c:f>
              <c:numCache>
                <c:formatCode>General</c:formatCode>
                <c:ptCount val="7"/>
                <c:pt idx="0">
                  <c:v>48.888059116097779</c:v>
                </c:pt>
                <c:pt idx="1">
                  <c:v>47.538175828704922</c:v>
                </c:pt>
                <c:pt idx="2">
                  <c:v>24.742823519951543</c:v>
                </c:pt>
                <c:pt idx="3">
                  <c:v>12.346153461312346</c:v>
                </c:pt>
                <c:pt idx="4">
                  <c:v>-21.752485331078248</c:v>
                </c:pt>
                <c:pt idx="5">
                  <c:v>2.2181547778088726</c:v>
                </c:pt>
                <c:pt idx="6">
                  <c:v>24.758068905899034</c:v>
                </c:pt>
              </c:numCache>
            </c:numRef>
          </c:val>
          <c:smooth val="0"/>
          <c:extLst>
            <c:ext xmlns:c16="http://schemas.microsoft.com/office/drawing/2014/chart" uri="{C3380CC4-5D6E-409C-BE32-E72D297353CC}">
              <c16:uniqueId val="{00000008-88F3-4C77-942D-D9B33EDD3FA6}"/>
            </c:ext>
          </c:extLst>
        </c:ser>
        <c:ser>
          <c:idx val="1"/>
          <c:order val="1"/>
          <c:tx>
            <c:strRef>
              <c:f>'טבלאות תרשים 1'!$C$3:$C$4</c:f>
              <c:strCache>
                <c:ptCount val="1"/>
                <c:pt idx="0">
                  <c:v>עסקים - סך הכל</c:v>
                </c:pt>
              </c:strCache>
            </c:strRef>
          </c:tx>
          <c:spPr>
            <a:ln w="28575" cap="rnd">
              <a:solidFill>
                <a:srgbClr val="6C63FF"/>
              </a:solidFill>
              <a:round/>
            </a:ln>
            <a:effectLst/>
          </c:spPr>
          <c:marker>
            <c:symbol val="circle"/>
            <c:size val="5"/>
            <c:spPr>
              <a:solidFill>
                <a:srgbClr val="6C63FF"/>
              </a:solidFill>
              <a:ln w="9525">
                <a:solidFill>
                  <a:srgbClr val="6C63FF"/>
                </a:solidFill>
              </a:ln>
              <a:effectLst/>
            </c:spPr>
          </c:marker>
          <c:dPt>
            <c:idx val="2"/>
            <c:marker>
              <c:symbol val="circle"/>
              <c:size val="5"/>
              <c:spPr>
                <a:solidFill>
                  <a:srgbClr val="6C63FF"/>
                </a:solidFill>
                <a:ln w="9525">
                  <a:solidFill>
                    <a:srgbClr val="6C63FF"/>
                  </a:solidFill>
                </a:ln>
                <a:effectLst/>
              </c:spPr>
            </c:marker>
            <c:bubble3D val="0"/>
            <c:spPr>
              <a:ln w="28575" cap="rnd">
                <a:solidFill>
                  <a:srgbClr val="6C63FF"/>
                </a:solidFill>
                <a:prstDash val="solid"/>
                <a:round/>
              </a:ln>
              <a:effectLst/>
            </c:spPr>
            <c:extLst>
              <c:ext xmlns:c16="http://schemas.microsoft.com/office/drawing/2014/chart" uri="{C3380CC4-5D6E-409C-BE32-E72D297353CC}">
                <c16:uniqueId val="{0000000A-88F3-4C77-942D-D9B33EDD3FA6}"/>
              </c:ext>
            </c:extLst>
          </c:dPt>
          <c:dPt>
            <c:idx val="3"/>
            <c:marker>
              <c:symbol val="circle"/>
              <c:size val="5"/>
              <c:spPr>
                <a:solidFill>
                  <a:srgbClr val="6C63FF"/>
                </a:solidFill>
                <a:ln w="9525">
                  <a:solidFill>
                    <a:srgbClr val="6C63FF"/>
                  </a:solidFill>
                </a:ln>
                <a:effectLst/>
              </c:spPr>
            </c:marker>
            <c:bubble3D val="0"/>
            <c:spPr>
              <a:ln w="28575" cap="rnd">
                <a:solidFill>
                  <a:srgbClr val="6C63FF"/>
                </a:solidFill>
                <a:prstDash val="solid"/>
                <a:round/>
              </a:ln>
              <a:effectLst/>
            </c:spPr>
            <c:extLst>
              <c:ext xmlns:c16="http://schemas.microsoft.com/office/drawing/2014/chart" uri="{C3380CC4-5D6E-409C-BE32-E72D297353CC}">
                <c16:uniqueId val="{0000000C-88F3-4C77-942D-D9B33EDD3FA6}"/>
              </c:ext>
            </c:extLst>
          </c:dPt>
          <c:dPt>
            <c:idx val="4"/>
            <c:marker>
              <c:symbol val="circle"/>
              <c:size val="5"/>
              <c:spPr>
                <a:solidFill>
                  <a:srgbClr val="6C63FF"/>
                </a:solidFill>
                <a:ln w="9525">
                  <a:solidFill>
                    <a:srgbClr val="6C63FF"/>
                  </a:solidFill>
                </a:ln>
                <a:effectLst/>
              </c:spPr>
            </c:marker>
            <c:bubble3D val="0"/>
            <c:spPr>
              <a:ln w="28575" cap="rnd">
                <a:solidFill>
                  <a:srgbClr val="6C63FF"/>
                </a:solidFill>
                <a:round/>
              </a:ln>
              <a:effectLst/>
            </c:spPr>
            <c:extLst>
              <c:ext xmlns:c16="http://schemas.microsoft.com/office/drawing/2014/chart" uri="{C3380CC4-5D6E-409C-BE32-E72D297353CC}">
                <c16:uniqueId val="{0000000E-88F3-4C77-942D-D9B33EDD3FA6}"/>
              </c:ext>
            </c:extLst>
          </c:dPt>
          <c:dPt>
            <c:idx val="6"/>
            <c:marker>
              <c:symbol val="circle"/>
              <c:size val="5"/>
              <c:spPr>
                <a:solidFill>
                  <a:srgbClr val="6C63FF"/>
                </a:solidFill>
                <a:ln w="9525">
                  <a:solidFill>
                    <a:srgbClr val="6C63FF"/>
                  </a:solidFill>
                </a:ln>
                <a:effectLst/>
              </c:spPr>
            </c:marker>
            <c:bubble3D val="0"/>
            <c:spPr>
              <a:ln w="28575" cap="rnd">
                <a:solidFill>
                  <a:srgbClr val="6C63FF"/>
                </a:solidFill>
                <a:prstDash val="dash"/>
                <a:round/>
              </a:ln>
              <a:effectLst/>
            </c:spPr>
            <c:extLst>
              <c:ext xmlns:c16="http://schemas.microsoft.com/office/drawing/2014/chart" uri="{C3380CC4-5D6E-409C-BE32-E72D297353CC}">
                <c16:uniqueId val="{00000010-88F3-4C77-942D-D9B33EDD3FA6}"/>
              </c:ext>
            </c:extLst>
          </c:dPt>
          <c:cat>
            <c:multiLvlStrRef>
              <c:f>'טבלאות תרשים 1'!$A$5:$A$14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1'!$C$5:$C$14</c:f>
              <c:numCache>
                <c:formatCode>General</c:formatCode>
                <c:ptCount val="7"/>
                <c:pt idx="0">
                  <c:v>-33.353123244700178</c:v>
                </c:pt>
                <c:pt idx="1">
                  <c:v>0</c:v>
                </c:pt>
                <c:pt idx="2">
                  <c:v>0</c:v>
                </c:pt>
                <c:pt idx="3">
                  <c:v>0.54262305339565897</c:v>
                </c:pt>
                <c:pt idx="4">
                  <c:v>-25.643322936823068</c:v>
                </c:pt>
                <c:pt idx="5">
                  <c:v>29.102099511116407</c:v>
                </c:pt>
                <c:pt idx="6">
                  <c:v>11.41733429104567</c:v>
                </c:pt>
              </c:numCache>
            </c:numRef>
          </c:val>
          <c:smooth val="0"/>
          <c:extLst>
            <c:ext xmlns:c16="http://schemas.microsoft.com/office/drawing/2014/chart" uri="{C3380CC4-5D6E-409C-BE32-E72D297353CC}">
              <c16:uniqueId val="{00000011-88F3-4C77-942D-D9B33EDD3FA6}"/>
            </c:ext>
          </c:extLst>
        </c:ser>
        <c:ser>
          <c:idx val="2"/>
          <c:order val="2"/>
          <c:tx>
            <c:strRef>
              <c:f>'טבלאות תרשים 1'!$D$3:$D$4</c:f>
              <c:strCache>
                <c:ptCount val="1"/>
                <c:pt idx="0">
                  <c:v>צרכני</c:v>
                </c:pt>
              </c:strCache>
            </c:strRef>
          </c:tx>
          <c:spPr>
            <a:ln w="28575" cap="rnd">
              <a:solidFill>
                <a:srgbClr val="D98D25"/>
              </a:solidFill>
              <a:round/>
            </a:ln>
            <a:effectLst/>
          </c:spPr>
          <c:marker>
            <c:symbol val="circle"/>
            <c:size val="5"/>
            <c:spPr>
              <a:solidFill>
                <a:srgbClr val="D98D25"/>
              </a:solidFill>
              <a:ln w="9525">
                <a:solidFill>
                  <a:srgbClr val="D98D25"/>
                </a:solidFill>
              </a:ln>
              <a:effectLst/>
            </c:spPr>
          </c:marker>
          <c:dPt>
            <c:idx val="2"/>
            <c:marker>
              <c:symbol val="circle"/>
              <c:size val="5"/>
              <c:spPr>
                <a:solidFill>
                  <a:srgbClr val="D98D25"/>
                </a:solidFill>
                <a:ln w="9525">
                  <a:solidFill>
                    <a:srgbClr val="D98D25"/>
                  </a:solidFill>
                </a:ln>
                <a:effectLst/>
              </c:spPr>
            </c:marker>
            <c:bubble3D val="0"/>
            <c:spPr>
              <a:ln w="28575" cap="rnd">
                <a:solidFill>
                  <a:srgbClr val="D98D25"/>
                </a:solidFill>
                <a:prstDash val="solid"/>
                <a:round/>
              </a:ln>
              <a:effectLst/>
            </c:spPr>
            <c:extLst>
              <c:ext xmlns:c16="http://schemas.microsoft.com/office/drawing/2014/chart" uri="{C3380CC4-5D6E-409C-BE32-E72D297353CC}">
                <c16:uniqueId val="{00000013-88F3-4C77-942D-D9B33EDD3FA6}"/>
              </c:ext>
            </c:extLst>
          </c:dPt>
          <c:dPt>
            <c:idx val="3"/>
            <c:marker>
              <c:symbol val="circle"/>
              <c:size val="5"/>
              <c:spPr>
                <a:solidFill>
                  <a:srgbClr val="D98D25"/>
                </a:solidFill>
                <a:ln w="9525">
                  <a:solidFill>
                    <a:srgbClr val="D98D25"/>
                  </a:solidFill>
                </a:ln>
                <a:effectLst/>
              </c:spPr>
            </c:marker>
            <c:bubble3D val="0"/>
            <c:spPr>
              <a:ln w="28575" cap="rnd">
                <a:solidFill>
                  <a:srgbClr val="D98D25"/>
                </a:solidFill>
                <a:prstDash val="solid"/>
                <a:round/>
              </a:ln>
              <a:effectLst/>
            </c:spPr>
            <c:extLst>
              <c:ext xmlns:c16="http://schemas.microsoft.com/office/drawing/2014/chart" uri="{C3380CC4-5D6E-409C-BE32-E72D297353CC}">
                <c16:uniqueId val="{00000015-88F3-4C77-942D-D9B33EDD3FA6}"/>
              </c:ext>
            </c:extLst>
          </c:dPt>
          <c:dPt>
            <c:idx val="4"/>
            <c:marker>
              <c:symbol val="circle"/>
              <c:size val="5"/>
              <c:spPr>
                <a:solidFill>
                  <a:srgbClr val="D98D25"/>
                </a:solidFill>
                <a:ln w="9525">
                  <a:solidFill>
                    <a:srgbClr val="D98D25"/>
                  </a:solidFill>
                </a:ln>
                <a:effectLst/>
              </c:spPr>
            </c:marker>
            <c:bubble3D val="0"/>
            <c:spPr>
              <a:ln w="28575" cap="rnd">
                <a:solidFill>
                  <a:srgbClr val="D98D25"/>
                </a:solidFill>
                <a:round/>
              </a:ln>
              <a:effectLst/>
            </c:spPr>
            <c:extLst>
              <c:ext xmlns:c16="http://schemas.microsoft.com/office/drawing/2014/chart" uri="{C3380CC4-5D6E-409C-BE32-E72D297353CC}">
                <c16:uniqueId val="{00000017-88F3-4C77-942D-D9B33EDD3FA6}"/>
              </c:ext>
            </c:extLst>
          </c:dPt>
          <c:dPt>
            <c:idx val="6"/>
            <c:marker>
              <c:symbol val="circle"/>
              <c:size val="5"/>
              <c:spPr>
                <a:solidFill>
                  <a:srgbClr val="D98D25"/>
                </a:solidFill>
                <a:ln w="9525">
                  <a:solidFill>
                    <a:srgbClr val="D98D25"/>
                  </a:solidFill>
                </a:ln>
                <a:effectLst/>
              </c:spPr>
            </c:marker>
            <c:bubble3D val="0"/>
            <c:spPr>
              <a:ln w="28575" cap="rnd">
                <a:solidFill>
                  <a:srgbClr val="D98D25"/>
                </a:solidFill>
                <a:prstDash val="dash"/>
                <a:round/>
              </a:ln>
              <a:effectLst/>
            </c:spPr>
            <c:extLst>
              <c:ext xmlns:c16="http://schemas.microsoft.com/office/drawing/2014/chart" uri="{C3380CC4-5D6E-409C-BE32-E72D297353CC}">
                <c16:uniqueId val="{00000019-88F3-4C77-942D-D9B33EDD3FA6}"/>
              </c:ext>
            </c:extLst>
          </c:dPt>
          <c:cat>
            <c:multiLvlStrRef>
              <c:f>'טבלאות תרשים 1'!$A$5:$A$14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1'!$D$5:$D$14</c:f>
              <c:numCache>
                <c:formatCode>General</c:formatCode>
                <c:ptCount val="7"/>
                <c:pt idx="0">
                  <c:v>33.916860796901751</c:v>
                </c:pt>
                <c:pt idx="1">
                  <c:v>-25.405358684950812</c:v>
                </c:pt>
                <c:pt idx="2">
                  <c:v>13.135229482573729</c:v>
                </c:pt>
                <c:pt idx="3">
                  <c:v>-3.0185925688909441</c:v>
                </c:pt>
                <c:pt idx="4">
                  <c:v>4.1263618851876211</c:v>
                </c:pt>
                <c:pt idx="5">
                  <c:v>24.913346598424567</c:v>
                </c:pt>
                <c:pt idx="6">
                  <c:v>30.914512449054573</c:v>
                </c:pt>
              </c:numCache>
            </c:numRef>
          </c:val>
          <c:smooth val="0"/>
          <c:extLst>
            <c:ext xmlns:c16="http://schemas.microsoft.com/office/drawing/2014/chart" uri="{C3380CC4-5D6E-409C-BE32-E72D297353CC}">
              <c16:uniqueId val="{0000001A-88F3-4C77-942D-D9B33EDD3FA6}"/>
            </c:ext>
          </c:extLst>
        </c:ser>
        <c:dLbls>
          <c:showLegendKey val="0"/>
          <c:showVal val="0"/>
          <c:showCatName val="0"/>
          <c:showSerName val="0"/>
          <c:showPercent val="0"/>
          <c:showBubbleSize val="0"/>
        </c:dLbls>
        <c:marker val="1"/>
        <c:smooth val="0"/>
        <c:axId val="765308968"/>
        <c:axId val="765309296"/>
      </c:lineChart>
      <c:catAx>
        <c:axId val="765308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ssistant" panose="00000500000000000000" pitchFamily="2" charset="-79"/>
                <a:ea typeface="+mn-ea"/>
                <a:cs typeface="Assistant" panose="00000500000000000000" pitchFamily="2" charset="-79"/>
              </a:defRPr>
            </a:pPr>
            <a:endParaRPr lang="he-IL"/>
          </a:p>
        </c:txPr>
        <c:crossAx val="765309296"/>
        <c:crossesAt val="-100"/>
        <c:auto val="1"/>
        <c:lblAlgn val="ctr"/>
        <c:lblOffset val="100"/>
        <c:noMultiLvlLbl val="0"/>
      </c:catAx>
      <c:valAx>
        <c:axId val="765309296"/>
        <c:scaling>
          <c:orientation val="minMax"/>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765308968"/>
        <c:crosses val="autoZero"/>
        <c:crossBetween val="midCat"/>
      </c:valAx>
      <c:spPr>
        <a:noFill/>
        <a:ln>
          <a:noFill/>
        </a:ln>
        <a:effectLst/>
      </c:spPr>
    </c:plotArea>
    <c:legend>
      <c:legendPos val="b"/>
      <c:layout>
        <c:manualLayout>
          <c:xMode val="edge"/>
          <c:yMode val="edge"/>
          <c:x val="1.1620518807196124E-2"/>
          <c:y val="0.87942094513879077"/>
          <c:w val="0.94877243975365411"/>
          <c:h val="9.3033582413701285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אוטומטי מעודכן.xlsx]טבלאות תרשים 1!PivotTable2</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he-IL" sz="1400">
                <a:solidFill>
                  <a:sysClr val="windowText" lastClr="000000"/>
                </a:solidFill>
                <a:latin typeface="Assistant" panose="00000500000000000000" pitchFamily="2" charset="-79"/>
                <a:cs typeface="Assistant" panose="00000500000000000000" pitchFamily="2" charset="-79"/>
              </a:rPr>
              <a:t>ב. עסקים לפי גודל עסק וענפי הבינוי והנדל"ן</a:t>
            </a:r>
            <a:endParaRPr lang="en-US" sz="1400">
              <a:solidFill>
                <a:sysClr val="windowText" lastClr="000000"/>
              </a:solidFill>
              <a:latin typeface="Assistant" panose="00000500000000000000" pitchFamily="2" charset="-79"/>
              <a:cs typeface="Assistant" panose="00000500000000000000" pitchFamily="2" charset="-79"/>
            </a:endParaRPr>
          </a:p>
        </c:rich>
      </c:tx>
      <c:layout>
        <c:manualLayout>
          <c:xMode val="edge"/>
          <c:yMode val="edge"/>
          <c:x val="0.41695058908711469"/>
          <c:y val="2.622950819672131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he-IL"/>
        </a:p>
      </c:txPr>
    </c:title>
    <c:autoTitleDeleted val="0"/>
    <c:pivotFmts>
      <c:pivotFmt>
        <c:idx val="0"/>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
        <c:spPr>
          <a:solidFill>
            <a:schemeClr val="accent1"/>
          </a:solidFill>
          <a:ln w="28575" cap="rnd">
            <a:solidFill>
              <a:srgbClr val="D87585"/>
            </a:solidFill>
            <a:prstDash val="dash"/>
            <a:round/>
          </a:ln>
          <a:effectLst/>
        </c:spPr>
        <c:marker>
          <c:symbol val="circle"/>
          <c:size val="5"/>
          <c:spPr>
            <a:solidFill>
              <a:srgbClr val="D87585"/>
            </a:solidFill>
            <a:ln w="9525">
              <a:solidFill>
                <a:srgbClr val="D87585"/>
              </a:solidFill>
            </a:ln>
            <a:effectLst/>
          </c:spPr>
        </c:marker>
      </c:pivotFmt>
      <c:pivotFmt>
        <c:idx val="2"/>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3"/>
        <c:spPr>
          <a:solidFill>
            <a:schemeClr val="accent1"/>
          </a:solidFill>
          <a:ln w="28575" cap="rnd">
            <a:solidFill>
              <a:srgbClr val="6C63FF"/>
            </a:solidFill>
            <a:prstDash val="dash"/>
            <a:round/>
          </a:ln>
          <a:effectLst/>
        </c:spPr>
        <c:marker>
          <c:symbol val="circle"/>
          <c:size val="5"/>
          <c:spPr>
            <a:solidFill>
              <a:srgbClr val="6C63FF"/>
            </a:solidFill>
            <a:ln w="9525">
              <a:solidFill>
                <a:srgbClr val="6C63FF"/>
              </a:solidFill>
              <a:prstDash val="dash"/>
            </a:ln>
            <a:effectLst/>
          </c:spPr>
        </c:marker>
      </c:pivotFmt>
      <c:pivotFmt>
        <c:idx val="4"/>
        <c:spPr>
          <a:solidFill>
            <a:schemeClr val="accent1"/>
          </a:solidFill>
          <a:ln w="28575" cap="rnd">
            <a:solidFill>
              <a:srgbClr val="357C32"/>
            </a:solidFill>
            <a:round/>
          </a:ln>
          <a:effectLst/>
        </c:spPr>
        <c:marker>
          <c:symbol val="circle"/>
          <c:size val="5"/>
          <c:spPr>
            <a:solidFill>
              <a:srgbClr val="357C32"/>
            </a:solidFill>
            <a:ln w="9525">
              <a:solidFill>
                <a:srgbClr val="357C32"/>
              </a:solidFill>
            </a:ln>
            <a:effectLst/>
          </c:spPr>
        </c:marker>
      </c:pivotFmt>
      <c:pivotFmt>
        <c:idx val="5"/>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prstDash val="dash"/>
            </a:ln>
            <a:effectLst/>
          </c:spPr>
        </c:marker>
      </c:pivotFmt>
      <c:pivotFmt>
        <c:idx val="6"/>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7"/>
        <c:spPr>
          <a:solidFill>
            <a:schemeClr val="accent1"/>
          </a:solidFill>
          <a:ln w="28575" cap="rnd">
            <a:solidFill>
              <a:srgbClr val="D98D25"/>
            </a:solidFill>
            <a:prstDash val="solid"/>
            <a:round/>
          </a:ln>
          <a:effectLst/>
        </c:spPr>
        <c:marker>
          <c:symbol val="circle"/>
          <c:size val="5"/>
        </c:marker>
      </c:pivotFmt>
      <c:pivotFmt>
        <c:idx val="8"/>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9"/>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10"/>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1"/>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12"/>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13"/>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14"/>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ln>
            <a:effectLst/>
          </c:spPr>
        </c:marker>
      </c:pivotFmt>
      <c:pivotFmt>
        <c:idx val="15"/>
        <c:spPr>
          <a:solidFill>
            <a:schemeClr val="accent1"/>
          </a:solidFill>
          <a:ln w="28575" cap="rnd">
            <a:solidFill>
              <a:srgbClr val="002060"/>
            </a:solidFill>
            <a:prstDash val="solid"/>
            <a:round/>
          </a:ln>
          <a:effectLst/>
        </c:spPr>
        <c:marker>
          <c:symbol val="circle"/>
          <c:size val="5"/>
          <c:spPr>
            <a:solidFill>
              <a:srgbClr val="002060"/>
            </a:solidFill>
            <a:ln w="9525">
              <a:solidFill>
                <a:srgbClr val="002060"/>
              </a:solidFill>
            </a:ln>
            <a:effectLst/>
          </c:spPr>
        </c:marker>
      </c:pivotFmt>
      <c:pivotFmt>
        <c:idx val="16"/>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17"/>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18"/>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9"/>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20"/>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21"/>
        <c:spPr>
          <a:solidFill>
            <a:schemeClr val="accent1"/>
          </a:solidFill>
          <a:ln w="28575" cap="rnd">
            <a:solidFill>
              <a:srgbClr val="357C32"/>
            </a:solidFill>
            <a:round/>
          </a:ln>
          <a:effectLst/>
        </c:spPr>
        <c:marker>
          <c:symbol val="circle"/>
          <c:size val="5"/>
          <c:spPr>
            <a:solidFill>
              <a:srgbClr val="357C32"/>
            </a:solidFill>
            <a:ln w="9525">
              <a:solidFill>
                <a:srgbClr val="357C32"/>
              </a:solidFill>
            </a:ln>
            <a:effectLst/>
          </c:spPr>
        </c:marker>
      </c:pivotFmt>
      <c:pivotFmt>
        <c:idx val="22"/>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23"/>
        <c:spPr>
          <a:solidFill>
            <a:schemeClr val="accent1"/>
          </a:solidFill>
          <a:ln w="28575" cap="rnd">
            <a:solidFill>
              <a:srgbClr val="002060"/>
            </a:solidFill>
            <a:prstDash val="dash"/>
            <a:round/>
          </a:ln>
          <a:effectLst/>
        </c:spPr>
        <c:marker>
          <c:symbol val="circle"/>
          <c:size val="5"/>
          <c:spPr>
            <a:solidFill>
              <a:srgbClr val="002060"/>
            </a:solidFill>
            <a:ln w="9525">
              <a:solidFill>
                <a:srgbClr val="002060"/>
              </a:solidFill>
            </a:ln>
            <a:effectLst/>
          </c:spPr>
        </c:marker>
      </c:pivotFmt>
      <c:pivotFmt>
        <c:idx val="24"/>
        <c:spPr>
          <a:solidFill>
            <a:schemeClr val="accent1"/>
          </a:solidFill>
          <a:ln w="28575" cap="rnd">
            <a:solidFill>
              <a:srgbClr val="357C32"/>
            </a:solidFill>
            <a:prstDash val="dash"/>
            <a:round/>
          </a:ln>
          <a:effectLst/>
        </c:spPr>
        <c:marker>
          <c:symbol val="circle"/>
          <c:size val="5"/>
          <c:spPr>
            <a:solidFill>
              <a:srgbClr val="357C32"/>
            </a:solidFill>
            <a:ln w="9525">
              <a:solidFill>
                <a:srgbClr val="357C32"/>
              </a:solidFill>
            </a:ln>
            <a:effectLst/>
          </c:spPr>
        </c:marker>
      </c:pivotFmt>
      <c:pivotFmt>
        <c:idx val="25"/>
        <c:spPr>
          <a:solidFill>
            <a:schemeClr val="accent1"/>
          </a:solidFill>
          <a:ln w="28575" cap="rnd">
            <a:solidFill>
              <a:srgbClr val="D98D25"/>
            </a:solidFill>
            <a:prstDash val="dash"/>
            <a:round/>
          </a:ln>
          <a:effectLst/>
        </c:spPr>
        <c:marker>
          <c:symbol val="circle"/>
          <c:size val="5"/>
          <c:spPr>
            <a:solidFill>
              <a:srgbClr val="D98D25"/>
            </a:solidFill>
            <a:ln w="9525">
              <a:solidFill>
                <a:srgbClr val="D98D25"/>
              </a:solidFill>
            </a:ln>
            <a:effectLst/>
          </c:spPr>
        </c:marker>
      </c:pivotFmt>
      <c:pivotFmt>
        <c:idx val="26"/>
        <c:spPr>
          <a:solidFill>
            <a:schemeClr val="accent1"/>
          </a:solidFill>
          <a:ln w="28575" cap="rnd">
            <a:solidFill>
              <a:srgbClr val="008DA3"/>
            </a:solidFill>
            <a:prstDash val="dash"/>
            <a:round/>
          </a:ln>
          <a:effectLst/>
        </c:spPr>
        <c:marker>
          <c:symbol val="circle"/>
          <c:size val="5"/>
          <c:spPr>
            <a:solidFill>
              <a:srgbClr val="008DA3"/>
            </a:solidFill>
            <a:ln w="9525">
              <a:solidFill>
                <a:srgbClr val="008DA3"/>
              </a:solidFill>
            </a:ln>
            <a:effectLst/>
          </c:spPr>
        </c:marker>
      </c:pivotFmt>
      <c:pivotFmt>
        <c:idx val="27"/>
        <c:spPr>
          <a:solidFill>
            <a:schemeClr val="accent1"/>
          </a:solidFill>
          <a:ln w="28575" cap="rnd">
            <a:solidFill>
              <a:srgbClr val="D87585"/>
            </a:solidFill>
            <a:prstDash val="dash"/>
            <a:round/>
          </a:ln>
          <a:effectLst/>
        </c:spPr>
        <c:marker>
          <c:symbol val="circle"/>
          <c:size val="5"/>
          <c:spPr>
            <a:solidFill>
              <a:srgbClr val="D87585"/>
            </a:solidFill>
            <a:ln w="9525">
              <a:solidFill>
                <a:srgbClr val="D87585"/>
              </a:solidFill>
            </a:ln>
            <a:effectLst/>
          </c:spPr>
        </c:marker>
      </c:pivotFmt>
      <c:pivotFmt>
        <c:idx val="28"/>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29"/>
        <c:spPr>
          <a:solidFill>
            <a:schemeClr val="accent1"/>
          </a:solidFill>
          <a:ln w="28575" cap="rnd">
            <a:solidFill>
              <a:srgbClr val="D87585"/>
            </a:solidFill>
            <a:prstDash val="dash"/>
            <a:round/>
          </a:ln>
          <a:effectLst/>
        </c:spPr>
        <c:marker>
          <c:symbol val="circle"/>
          <c:size val="5"/>
          <c:spPr>
            <a:solidFill>
              <a:srgbClr val="D87585"/>
            </a:solidFill>
            <a:ln w="9525">
              <a:solidFill>
                <a:srgbClr val="D87585"/>
              </a:solidFill>
            </a:ln>
            <a:effectLst/>
          </c:spPr>
        </c:marker>
      </c:pivotFmt>
      <c:pivotFmt>
        <c:idx val="30"/>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31"/>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32"/>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33"/>
        <c:spPr>
          <a:solidFill>
            <a:schemeClr val="accent1"/>
          </a:solidFill>
          <a:ln w="28575" cap="rnd">
            <a:solidFill>
              <a:srgbClr val="D87585"/>
            </a:solidFill>
            <a:prstDash val="dash"/>
            <a:round/>
          </a:ln>
          <a:effectLst/>
        </c:spPr>
        <c:marker>
          <c:symbol val="circle"/>
          <c:size val="5"/>
          <c:spPr>
            <a:solidFill>
              <a:srgbClr val="D87585"/>
            </a:solidFill>
            <a:ln w="9525">
              <a:solidFill>
                <a:srgbClr val="D87585"/>
              </a:solidFill>
            </a:ln>
            <a:effectLst/>
          </c:spPr>
        </c:marker>
      </c:pivotFmt>
      <c:pivotFmt>
        <c:idx val="34"/>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35"/>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36"/>
        <c:spPr>
          <a:solidFill>
            <a:schemeClr val="accent1"/>
          </a:solidFill>
          <a:ln w="28575" cap="rnd">
            <a:solidFill>
              <a:srgbClr val="002060"/>
            </a:solidFill>
            <a:prstDash val="solid"/>
            <a:round/>
          </a:ln>
          <a:effectLst/>
        </c:spPr>
        <c:marker>
          <c:symbol val="circle"/>
          <c:size val="5"/>
          <c:spPr>
            <a:solidFill>
              <a:srgbClr val="002060"/>
            </a:solidFill>
            <a:ln w="9525">
              <a:solidFill>
                <a:srgbClr val="002060"/>
              </a:solidFill>
            </a:ln>
            <a:effectLst/>
          </c:spPr>
        </c:marker>
      </c:pivotFmt>
      <c:pivotFmt>
        <c:idx val="37"/>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38"/>
        <c:spPr>
          <a:solidFill>
            <a:schemeClr val="accent1"/>
          </a:solidFill>
          <a:ln w="28575" cap="rnd">
            <a:solidFill>
              <a:srgbClr val="002060"/>
            </a:solidFill>
            <a:prstDash val="dash"/>
            <a:round/>
          </a:ln>
          <a:effectLst/>
        </c:spPr>
        <c:marker>
          <c:symbol val="circle"/>
          <c:size val="5"/>
          <c:spPr>
            <a:solidFill>
              <a:srgbClr val="002060"/>
            </a:solidFill>
            <a:ln w="9525">
              <a:solidFill>
                <a:srgbClr val="002060"/>
              </a:solidFill>
            </a:ln>
            <a:effectLst/>
          </c:spPr>
        </c:marker>
      </c:pivotFmt>
      <c:pivotFmt>
        <c:idx val="39"/>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40"/>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41"/>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42"/>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43"/>
        <c:spPr>
          <a:solidFill>
            <a:schemeClr val="accent1"/>
          </a:solidFill>
          <a:ln w="28575" cap="rnd">
            <a:solidFill>
              <a:srgbClr val="008DA3"/>
            </a:solidFill>
            <a:prstDash val="dash"/>
            <a:round/>
          </a:ln>
          <a:effectLst/>
        </c:spPr>
        <c:marker>
          <c:symbol val="circle"/>
          <c:size val="5"/>
          <c:spPr>
            <a:solidFill>
              <a:srgbClr val="008DA3"/>
            </a:solidFill>
            <a:ln w="9525">
              <a:solidFill>
                <a:srgbClr val="008DA3"/>
              </a:solidFill>
            </a:ln>
            <a:effectLst/>
          </c:spPr>
        </c:marker>
      </c:pivotFmt>
      <c:pivotFmt>
        <c:idx val="44"/>
        <c:spPr>
          <a:solidFill>
            <a:schemeClr val="accent1"/>
          </a:solidFill>
          <a:ln w="28575" cap="rnd">
            <a:solidFill>
              <a:srgbClr val="357C32"/>
            </a:solidFill>
            <a:round/>
          </a:ln>
          <a:effectLst/>
        </c:spPr>
        <c:marker>
          <c:symbol val="circle"/>
          <c:size val="5"/>
          <c:spPr>
            <a:solidFill>
              <a:srgbClr val="357C32"/>
            </a:solidFill>
            <a:ln w="9525">
              <a:solidFill>
                <a:srgbClr val="357C32"/>
              </a:solidFill>
            </a:ln>
            <a:effectLst/>
          </c:spPr>
        </c:marker>
      </c:pivotFmt>
      <c:pivotFmt>
        <c:idx val="45"/>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prstDash val="dash"/>
            </a:ln>
            <a:effectLst/>
          </c:spPr>
        </c:marker>
      </c:pivotFmt>
      <c:pivotFmt>
        <c:idx val="46"/>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ln>
            <a:effectLst/>
          </c:spPr>
        </c:marker>
      </c:pivotFmt>
      <c:pivotFmt>
        <c:idx val="47"/>
        <c:spPr>
          <a:solidFill>
            <a:schemeClr val="accent1"/>
          </a:solidFill>
          <a:ln w="28575" cap="rnd">
            <a:solidFill>
              <a:srgbClr val="357C32"/>
            </a:solidFill>
            <a:round/>
          </a:ln>
          <a:effectLst/>
        </c:spPr>
        <c:marker>
          <c:symbol val="circle"/>
          <c:size val="5"/>
          <c:spPr>
            <a:solidFill>
              <a:srgbClr val="357C32"/>
            </a:solidFill>
            <a:ln w="9525">
              <a:solidFill>
                <a:srgbClr val="357C32"/>
              </a:solidFill>
            </a:ln>
            <a:effectLst/>
          </c:spPr>
        </c:marker>
      </c:pivotFmt>
      <c:pivotFmt>
        <c:idx val="48"/>
        <c:spPr>
          <a:solidFill>
            <a:schemeClr val="accent1"/>
          </a:solidFill>
          <a:ln w="28575" cap="rnd">
            <a:solidFill>
              <a:srgbClr val="357C32"/>
            </a:solidFill>
            <a:prstDash val="dash"/>
            <a:round/>
          </a:ln>
          <a:effectLst/>
        </c:spPr>
        <c:marker>
          <c:symbol val="circle"/>
          <c:size val="5"/>
          <c:spPr>
            <a:solidFill>
              <a:srgbClr val="357C32"/>
            </a:solidFill>
            <a:ln w="9525">
              <a:solidFill>
                <a:srgbClr val="357C32"/>
              </a:solidFill>
            </a:ln>
            <a:effectLst/>
          </c:spPr>
        </c:marker>
      </c:pivotFmt>
      <c:pivotFmt>
        <c:idx val="49"/>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50"/>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51"/>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52"/>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53"/>
        <c:spPr>
          <a:solidFill>
            <a:schemeClr val="accent1"/>
          </a:solidFill>
          <a:ln w="28575" cap="rnd">
            <a:solidFill>
              <a:srgbClr val="D98D25"/>
            </a:solidFill>
            <a:prstDash val="dash"/>
            <a:round/>
          </a:ln>
          <a:effectLst/>
        </c:spPr>
        <c:marker>
          <c:symbol val="circle"/>
          <c:size val="5"/>
          <c:spPr>
            <a:solidFill>
              <a:srgbClr val="D98D25"/>
            </a:solidFill>
            <a:ln w="9525">
              <a:solidFill>
                <a:srgbClr val="D98D25"/>
              </a:solidFill>
            </a:ln>
            <a:effectLst/>
          </c:spPr>
        </c:marker>
      </c:pivotFmt>
      <c:pivotFmt>
        <c:idx val="54"/>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55"/>
        <c:spPr>
          <a:solidFill>
            <a:schemeClr val="accent1"/>
          </a:solidFill>
          <a:ln w="28575" cap="rnd">
            <a:solidFill>
              <a:srgbClr val="D87585"/>
            </a:solidFill>
            <a:prstDash val="dash"/>
            <a:round/>
          </a:ln>
          <a:effectLst/>
        </c:spPr>
        <c:marker>
          <c:symbol val="circle"/>
          <c:size val="5"/>
          <c:spPr>
            <a:solidFill>
              <a:srgbClr val="D87585"/>
            </a:solidFill>
            <a:ln w="9525">
              <a:solidFill>
                <a:srgbClr val="D87585"/>
              </a:solidFill>
            </a:ln>
            <a:effectLst/>
          </c:spPr>
        </c:marker>
      </c:pivotFmt>
      <c:pivotFmt>
        <c:idx val="56"/>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57"/>
        <c:spPr>
          <a:solidFill>
            <a:schemeClr val="accent1"/>
          </a:solidFill>
          <a:ln w="28575" cap="rnd">
            <a:solidFill>
              <a:srgbClr val="D87585"/>
            </a:solidFill>
            <a:prstDash val="solid"/>
            <a:round/>
          </a:ln>
          <a:effectLst/>
        </c:spPr>
        <c:marker>
          <c:symbol val="circle"/>
          <c:size val="5"/>
          <c:spPr>
            <a:solidFill>
              <a:srgbClr val="D87585"/>
            </a:solidFill>
            <a:ln w="9525">
              <a:solidFill>
                <a:srgbClr val="D87585"/>
              </a:solidFill>
            </a:ln>
            <a:effectLst/>
          </c:spPr>
        </c:marker>
      </c:pivotFmt>
      <c:pivotFmt>
        <c:idx val="58"/>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59"/>
        <c:spPr>
          <a:solidFill>
            <a:schemeClr val="accent1"/>
          </a:solidFill>
          <a:ln w="28575" cap="rnd">
            <a:solidFill>
              <a:srgbClr val="D87585"/>
            </a:solidFill>
            <a:prstDash val="dash"/>
            <a:round/>
          </a:ln>
          <a:effectLst/>
        </c:spPr>
        <c:marker>
          <c:symbol val="circle"/>
          <c:size val="5"/>
          <c:spPr>
            <a:solidFill>
              <a:srgbClr val="D87585"/>
            </a:solidFill>
            <a:ln w="9525">
              <a:solidFill>
                <a:srgbClr val="D87585"/>
              </a:solidFill>
            </a:ln>
            <a:effectLst/>
          </c:spPr>
        </c:marker>
      </c:pivotFmt>
      <c:pivotFmt>
        <c:idx val="60"/>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61"/>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62"/>
        <c:spPr>
          <a:solidFill>
            <a:schemeClr val="accent1"/>
          </a:solidFill>
          <a:ln w="28575" cap="rnd">
            <a:solidFill>
              <a:srgbClr val="002060"/>
            </a:solidFill>
            <a:prstDash val="solid"/>
            <a:round/>
          </a:ln>
          <a:effectLst/>
        </c:spPr>
        <c:marker>
          <c:symbol val="circle"/>
          <c:size val="5"/>
          <c:spPr>
            <a:solidFill>
              <a:srgbClr val="002060"/>
            </a:solidFill>
            <a:ln w="9525">
              <a:solidFill>
                <a:srgbClr val="002060"/>
              </a:solidFill>
            </a:ln>
            <a:effectLst/>
          </c:spPr>
        </c:marker>
      </c:pivotFmt>
      <c:pivotFmt>
        <c:idx val="63"/>
        <c:spPr>
          <a:solidFill>
            <a:schemeClr val="accent1"/>
          </a:solidFill>
          <a:ln w="28575" cap="rnd">
            <a:solidFill>
              <a:srgbClr val="002060"/>
            </a:solidFill>
            <a:round/>
          </a:ln>
          <a:effectLst/>
        </c:spPr>
        <c:marker>
          <c:symbol val="circle"/>
          <c:size val="5"/>
          <c:spPr>
            <a:solidFill>
              <a:srgbClr val="002060"/>
            </a:solidFill>
            <a:ln w="9525">
              <a:solidFill>
                <a:srgbClr val="002060"/>
              </a:solidFill>
            </a:ln>
            <a:effectLst/>
          </c:spPr>
        </c:marker>
      </c:pivotFmt>
      <c:pivotFmt>
        <c:idx val="64"/>
        <c:spPr>
          <a:solidFill>
            <a:schemeClr val="accent1"/>
          </a:solidFill>
          <a:ln w="28575" cap="rnd">
            <a:solidFill>
              <a:srgbClr val="002060"/>
            </a:solidFill>
            <a:prstDash val="dash"/>
            <a:round/>
          </a:ln>
          <a:effectLst/>
        </c:spPr>
        <c:marker>
          <c:symbol val="circle"/>
          <c:size val="5"/>
          <c:spPr>
            <a:solidFill>
              <a:srgbClr val="002060"/>
            </a:solidFill>
            <a:ln w="9525">
              <a:solidFill>
                <a:srgbClr val="002060"/>
              </a:solidFill>
            </a:ln>
            <a:effectLst/>
          </c:spPr>
        </c:marker>
      </c:pivotFmt>
      <c:pivotFmt>
        <c:idx val="65"/>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66"/>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67"/>
        <c:spPr>
          <a:solidFill>
            <a:schemeClr val="accent1"/>
          </a:solidFill>
          <a:ln w="28575" cap="rnd">
            <a:solidFill>
              <a:srgbClr val="008DA3"/>
            </a:solidFill>
            <a:prstDash val="solid"/>
            <a:round/>
          </a:ln>
          <a:effectLst/>
        </c:spPr>
        <c:marker>
          <c:symbol val="circle"/>
          <c:size val="5"/>
          <c:spPr>
            <a:solidFill>
              <a:srgbClr val="008DA3"/>
            </a:solidFill>
            <a:ln w="9525">
              <a:solidFill>
                <a:srgbClr val="008DA3"/>
              </a:solidFill>
            </a:ln>
            <a:effectLst/>
          </c:spPr>
        </c:marker>
      </c:pivotFmt>
      <c:pivotFmt>
        <c:idx val="68"/>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69"/>
        <c:spPr>
          <a:solidFill>
            <a:schemeClr val="accent1"/>
          </a:solidFill>
          <a:ln w="28575" cap="rnd">
            <a:solidFill>
              <a:srgbClr val="008DA3"/>
            </a:solidFill>
            <a:prstDash val="dash"/>
            <a:round/>
          </a:ln>
          <a:effectLst/>
        </c:spPr>
        <c:marker>
          <c:symbol val="circle"/>
          <c:size val="5"/>
          <c:spPr>
            <a:solidFill>
              <a:srgbClr val="008DA3"/>
            </a:solidFill>
            <a:ln w="9525">
              <a:solidFill>
                <a:srgbClr val="008DA3"/>
              </a:solidFill>
            </a:ln>
            <a:effectLst/>
          </c:spPr>
        </c:marker>
      </c:pivotFmt>
      <c:pivotFmt>
        <c:idx val="70"/>
        <c:spPr>
          <a:solidFill>
            <a:schemeClr val="accent1"/>
          </a:solidFill>
          <a:ln w="28575" cap="rnd">
            <a:solidFill>
              <a:srgbClr val="357C32"/>
            </a:solidFill>
            <a:round/>
          </a:ln>
          <a:effectLst/>
        </c:spPr>
        <c:marker>
          <c:symbol val="circle"/>
          <c:size val="5"/>
          <c:spPr>
            <a:solidFill>
              <a:srgbClr val="357C32"/>
            </a:solidFill>
            <a:ln w="9525">
              <a:solidFill>
                <a:srgbClr val="357C32"/>
              </a:solidFill>
            </a:ln>
            <a:effectLst/>
          </c:spPr>
        </c:marker>
      </c:pivotFmt>
      <c:pivotFmt>
        <c:idx val="71"/>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prstDash val="dash"/>
            </a:ln>
            <a:effectLst/>
          </c:spPr>
        </c:marker>
      </c:pivotFmt>
      <c:pivotFmt>
        <c:idx val="72"/>
        <c:spPr>
          <a:solidFill>
            <a:schemeClr val="accent1"/>
          </a:solidFill>
          <a:ln w="28575" cap="rnd">
            <a:solidFill>
              <a:srgbClr val="357C32"/>
            </a:solidFill>
            <a:prstDash val="solid"/>
            <a:round/>
          </a:ln>
          <a:effectLst/>
        </c:spPr>
        <c:marker>
          <c:symbol val="circle"/>
          <c:size val="5"/>
          <c:spPr>
            <a:solidFill>
              <a:srgbClr val="357C32"/>
            </a:solidFill>
            <a:ln w="9525">
              <a:solidFill>
                <a:srgbClr val="357C32"/>
              </a:solidFill>
            </a:ln>
            <a:effectLst/>
          </c:spPr>
        </c:marker>
      </c:pivotFmt>
      <c:pivotFmt>
        <c:idx val="73"/>
        <c:spPr>
          <a:solidFill>
            <a:schemeClr val="accent1"/>
          </a:solidFill>
          <a:ln w="28575" cap="rnd">
            <a:solidFill>
              <a:srgbClr val="357C32"/>
            </a:solidFill>
            <a:round/>
          </a:ln>
          <a:effectLst/>
        </c:spPr>
        <c:marker>
          <c:symbol val="circle"/>
          <c:size val="5"/>
          <c:spPr>
            <a:solidFill>
              <a:srgbClr val="357C32"/>
            </a:solidFill>
            <a:ln w="9525">
              <a:solidFill>
                <a:srgbClr val="357C32"/>
              </a:solidFill>
            </a:ln>
            <a:effectLst/>
          </c:spPr>
        </c:marker>
      </c:pivotFmt>
      <c:pivotFmt>
        <c:idx val="74"/>
        <c:spPr>
          <a:solidFill>
            <a:schemeClr val="accent1"/>
          </a:solidFill>
          <a:ln w="28575" cap="rnd">
            <a:solidFill>
              <a:srgbClr val="357C32"/>
            </a:solidFill>
            <a:prstDash val="dash"/>
            <a:round/>
          </a:ln>
          <a:effectLst/>
        </c:spPr>
        <c:marker>
          <c:symbol val="circle"/>
          <c:size val="5"/>
          <c:spPr>
            <a:solidFill>
              <a:srgbClr val="357C32"/>
            </a:solidFill>
            <a:ln w="9525">
              <a:solidFill>
                <a:srgbClr val="357C32"/>
              </a:solidFill>
            </a:ln>
            <a:effectLst/>
          </c:spPr>
        </c:marker>
      </c:pivotFmt>
      <c:pivotFmt>
        <c:idx val="75"/>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76"/>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77"/>
        <c:spPr>
          <a:solidFill>
            <a:schemeClr val="accent1"/>
          </a:solidFill>
          <a:ln w="28575" cap="rnd">
            <a:solidFill>
              <a:srgbClr val="D98D25"/>
            </a:solidFill>
            <a:prstDash val="solid"/>
            <a:round/>
          </a:ln>
          <a:effectLst/>
        </c:spPr>
        <c:marker>
          <c:symbol val="circle"/>
          <c:size val="5"/>
          <c:spPr>
            <a:solidFill>
              <a:srgbClr val="D98D25"/>
            </a:solidFill>
            <a:ln w="9525">
              <a:solidFill>
                <a:srgbClr val="D98D25"/>
              </a:solidFill>
            </a:ln>
            <a:effectLst/>
          </c:spPr>
        </c:marker>
      </c:pivotFmt>
      <c:pivotFmt>
        <c:idx val="78"/>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79"/>
        <c:spPr>
          <a:solidFill>
            <a:schemeClr val="accent1"/>
          </a:solidFill>
          <a:ln w="28575" cap="rnd">
            <a:solidFill>
              <a:srgbClr val="D98D25"/>
            </a:solidFill>
            <a:prstDash val="dash"/>
            <a:round/>
          </a:ln>
          <a:effectLst/>
        </c:spPr>
        <c:marker>
          <c:symbol val="circle"/>
          <c:size val="5"/>
          <c:spPr>
            <a:solidFill>
              <a:srgbClr val="D98D25"/>
            </a:solidFill>
            <a:ln w="9525">
              <a:solidFill>
                <a:srgbClr val="D98D25"/>
              </a:solidFill>
            </a:ln>
            <a:effectLst/>
          </c:spPr>
        </c:marker>
      </c:pivotFmt>
    </c:pivotFmts>
    <c:plotArea>
      <c:layout>
        <c:manualLayout>
          <c:layoutTarget val="inner"/>
          <c:xMode val="edge"/>
          <c:yMode val="edge"/>
          <c:x val="9.1772679482459971E-2"/>
          <c:y val="0.12758331503382794"/>
          <c:w val="0.86695722152967347"/>
          <c:h val="0.5548367323649761"/>
        </c:manualLayout>
      </c:layout>
      <c:lineChart>
        <c:grouping val="standard"/>
        <c:varyColors val="0"/>
        <c:ser>
          <c:idx val="0"/>
          <c:order val="0"/>
          <c:tx>
            <c:strRef>
              <c:f>'טבלאות תרשים 1'!$G$3:$G$4</c:f>
              <c:strCache>
                <c:ptCount val="1"/>
                <c:pt idx="0">
                  <c:v>אשראי לענף הבינוי</c:v>
                </c:pt>
              </c:strCache>
            </c:strRef>
          </c:tx>
          <c:spPr>
            <a:ln w="28575" cap="rnd">
              <a:solidFill>
                <a:srgbClr val="D87585"/>
              </a:solidFill>
              <a:round/>
            </a:ln>
            <a:effectLst/>
          </c:spPr>
          <c:marker>
            <c:symbol val="circle"/>
            <c:size val="5"/>
            <c:spPr>
              <a:solidFill>
                <a:srgbClr val="D87585"/>
              </a:solidFill>
              <a:ln w="9525">
                <a:solidFill>
                  <a:srgbClr val="D87585"/>
                </a:solidFill>
              </a:ln>
              <a:effectLst/>
            </c:spPr>
          </c:marker>
          <c:dPt>
            <c:idx val="0"/>
            <c:marker>
              <c:symbol val="circle"/>
              <c:size val="5"/>
              <c:spPr>
                <a:solidFill>
                  <a:srgbClr val="D87585"/>
                </a:solidFill>
                <a:ln w="9525">
                  <a:solidFill>
                    <a:srgbClr val="D87585"/>
                  </a:solidFill>
                </a:ln>
                <a:effectLst/>
              </c:spPr>
            </c:marker>
            <c:bubble3D val="0"/>
            <c:spPr>
              <a:ln w="28575" cap="rnd">
                <a:solidFill>
                  <a:srgbClr val="D87585"/>
                </a:solidFill>
                <a:prstDash val="dash"/>
                <a:round/>
              </a:ln>
              <a:effectLst/>
            </c:spPr>
            <c:extLst>
              <c:ext xmlns:c16="http://schemas.microsoft.com/office/drawing/2014/chart" uri="{C3380CC4-5D6E-409C-BE32-E72D297353CC}">
                <c16:uniqueId val="{00000001-F4B5-4353-9721-DA4C33619959}"/>
              </c:ext>
            </c:extLst>
          </c:dPt>
          <c:dPt>
            <c:idx val="2"/>
            <c:marker>
              <c:symbol val="circle"/>
              <c:size val="5"/>
              <c:spPr>
                <a:solidFill>
                  <a:srgbClr val="D87585"/>
                </a:solidFill>
                <a:ln w="9525">
                  <a:solidFill>
                    <a:srgbClr val="D87585"/>
                  </a:solidFill>
                </a:ln>
                <a:effectLst/>
              </c:spPr>
            </c:marker>
            <c:bubble3D val="0"/>
            <c:spPr>
              <a:ln w="28575" cap="rnd">
                <a:solidFill>
                  <a:srgbClr val="D87585"/>
                </a:solidFill>
                <a:prstDash val="solid"/>
                <a:round/>
              </a:ln>
              <a:effectLst/>
            </c:spPr>
            <c:extLst>
              <c:ext xmlns:c16="http://schemas.microsoft.com/office/drawing/2014/chart" uri="{C3380CC4-5D6E-409C-BE32-E72D297353CC}">
                <c16:uniqueId val="{00000003-F4B5-4353-9721-DA4C33619959}"/>
              </c:ext>
            </c:extLst>
          </c:dPt>
          <c:dPt>
            <c:idx val="3"/>
            <c:marker>
              <c:symbol val="circle"/>
              <c:size val="5"/>
              <c:spPr>
                <a:solidFill>
                  <a:srgbClr val="D87585"/>
                </a:solidFill>
                <a:ln w="9525">
                  <a:solidFill>
                    <a:srgbClr val="D87585"/>
                  </a:solidFill>
                </a:ln>
                <a:effectLst/>
              </c:spPr>
            </c:marker>
            <c:bubble3D val="0"/>
            <c:spPr>
              <a:ln w="28575" cap="rnd">
                <a:solidFill>
                  <a:srgbClr val="D87585"/>
                </a:solidFill>
                <a:prstDash val="solid"/>
                <a:round/>
              </a:ln>
              <a:effectLst/>
            </c:spPr>
            <c:extLst>
              <c:ext xmlns:c16="http://schemas.microsoft.com/office/drawing/2014/chart" uri="{C3380CC4-5D6E-409C-BE32-E72D297353CC}">
                <c16:uniqueId val="{00000005-F4B5-4353-9721-DA4C33619959}"/>
              </c:ext>
            </c:extLst>
          </c:dPt>
          <c:dPt>
            <c:idx val="4"/>
            <c:marker>
              <c:symbol val="circle"/>
              <c:size val="5"/>
              <c:spPr>
                <a:solidFill>
                  <a:srgbClr val="D87585"/>
                </a:solidFill>
                <a:ln w="9525">
                  <a:solidFill>
                    <a:srgbClr val="D87585"/>
                  </a:solidFill>
                </a:ln>
                <a:effectLst/>
              </c:spPr>
            </c:marker>
            <c:bubble3D val="0"/>
            <c:spPr>
              <a:ln w="28575" cap="rnd">
                <a:solidFill>
                  <a:srgbClr val="D87585"/>
                </a:solidFill>
                <a:round/>
              </a:ln>
              <a:effectLst/>
            </c:spPr>
            <c:extLst>
              <c:ext xmlns:c16="http://schemas.microsoft.com/office/drawing/2014/chart" uri="{C3380CC4-5D6E-409C-BE32-E72D297353CC}">
                <c16:uniqueId val="{00000007-F4B5-4353-9721-DA4C33619959}"/>
              </c:ext>
            </c:extLst>
          </c:dPt>
          <c:dPt>
            <c:idx val="6"/>
            <c:marker>
              <c:symbol val="circle"/>
              <c:size val="5"/>
              <c:spPr>
                <a:solidFill>
                  <a:srgbClr val="D87585"/>
                </a:solidFill>
                <a:ln w="9525">
                  <a:solidFill>
                    <a:srgbClr val="D87585"/>
                  </a:solidFill>
                </a:ln>
                <a:effectLst/>
              </c:spPr>
            </c:marker>
            <c:bubble3D val="0"/>
            <c:spPr>
              <a:ln w="28575" cap="rnd">
                <a:solidFill>
                  <a:srgbClr val="D87585"/>
                </a:solidFill>
                <a:prstDash val="dash"/>
                <a:round/>
              </a:ln>
              <a:effectLst/>
            </c:spPr>
            <c:extLst>
              <c:ext xmlns:c16="http://schemas.microsoft.com/office/drawing/2014/chart" uri="{C3380CC4-5D6E-409C-BE32-E72D297353CC}">
                <c16:uniqueId val="{00000009-F4B5-4353-9721-DA4C33619959}"/>
              </c:ext>
            </c:extLst>
          </c:dPt>
          <c:cat>
            <c:multiLvlStrRef>
              <c:f>'טבלאות תרשים 1'!$F$5:$F$14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1'!$G$5:$G$14</c:f>
              <c:numCache>
                <c:formatCode>General</c:formatCode>
                <c:ptCount val="7"/>
                <c:pt idx="0">
                  <c:v>-7.3938900949778184</c:v>
                </c:pt>
                <c:pt idx="1">
                  <c:v>28.337336286999999</c:v>
                </c:pt>
                <c:pt idx="2">
                  <c:v>48.124578623855626</c:v>
                </c:pt>
                <c:pt idx="3">
                  <c:v>0</c:v>
                </c:pt>
                <c:pt idx="4">
                  <c:v>-28.749985218172501</c:v>
                </c:pt>
                <c:pt idx="5">
                  <c:v>34.587427588996235</c:v>
                </c:pt>
                <c:pt idx="6">
                  <c:v>0</c:v>
                </c:pt>
              </c:numCache>
            </c:numRef>
          </c:val>
          <c:smooth val="0"/>
          <c:extLst>
            <c:ext xmlns:c16="http://schemas.microsoft.com/office/drawing/2014/chart" uri="{C3380CC4-5D6E-409C-BE32-E72D297353CC}">
              <c16:uniqueId val="{0000000A-F4B5-4353-9721-DA4C33619959}"/>
            </c:ext>
          </c:extLst>
        </c:ser>
        <c:ser>
          <c:idx val="1"/>
          <c:order val="1"/>
          <c:tx>
            <c:strRef>
              <c:f>'טבלאות תרשים 1'!$H$3:$H$4</c:f>
              <c:strCache>
                <c:ptCount val="1"/>
                <c:pt idx="0">
                  <c:v>אשראי לענף הנדל"ן</c:v>
                </c:pt>
              </c:strCache>
            </c:strRef>
          </c:tx>
          <c:spPr>
            <a:ln w="28575" cap="rnd">
              <a:solidFill>
                <a:srgbClr val="002060"/>
              </a:solidFill>
              <a:round/>
            </a:ln>
            <a:effectLst/>
          </c:spPr>
          <c:marker>
            <c:symbol val="circle"/>
            <c:size val="5"/>
            <c:spPr>
              <a:solidFill>
                <a:srgbClr val="002060"/>
              </a:solidFill>
              <a:ln w="9525">
                <a:solidFill>
                  <a:srgbClr val="002060"/>
                </a:solidFill>
              </a:ln>
              <a:effectLst/>
            </c:spPr>
          </c:marker>
          <c:dPt>
            <c:idx val="2"/>
            <c:marker>
              <c:symbol val="circle"/>
              <c:size val="5"/>
              <c:spPr>
                <a:solidFill>
                  <a:srgbClr val="002060"/>
                </a:solidFill>
                <a:ln w="9525">
                  <a:solidFill>
                    <a:srgbClr val="002060"/>
                  </a:solidFill>
                </a:ln>
                <a:effectLst/>
              </c:spPr>
            </c:marker>
            <c:bubble3D val="0"/>
            <c:spPr>
              <a:ln w="28575" cap="rnd">
                <a:solidFill>
                  <a:srgbClr val="002060"/>
                </a:solidFill>
                <a:round/>
              </a:ln>
              <a:effectLst/>
            </c:spPr>
            <c:extLst>
              <c:ext xmlns:c16="http://schemas.microsoft.com/office/drawing/2014/chart" uri="{C3380CC4-5D6E-409C-BE32-E72D297353CC}">
                <c16:uniqueId val="{0000000C-F4B5-4353-9721-DA4C33619959}"/>
              </c:ext>
            </c:extLst>
          </c:dPt>
          <c:dPt>
            <c:idx val="3"/>
            <c:marker>
              <c:symbol val="circle"/>
              <c:size val="5"/>
              <c:spPr>
                <a:solidFill>
                  <a:srgbClr val="002060"/>
                </a:solidFill>
                <a:ln w="9525">
                  <a:solidFill>
                    <a:srgbClr val="002060"/>
                  </a:solidFill>
                </a:ln>
                <a:effectLst/>
              </c:spPr>
            </c:marker>
            <c:bubble3D val="0"/>
            <c:spPr>
              <a:ln w="28575" cap="rnd">
                <a:solidFill>
                  <a:srgbClr val="002060"/>
                </a:solidFill>
                <a:prstDash val="solid"/>
                <a:round/>
              </a:ln>
              <a:effectLst/>
            </c:spPr>
            <c:extLst>
              <c:ext xmlns:c16="http://schemas.microsoft.com/office/drawing/2014/chart" uri="{C3380CC4-5D6E-409C-BE32-E72D297353CC}">
                <c16:uniqueId val="{0000000E-F4B5-4353-9721-DA4C33619959}"/>
              </c:ext>
            </c:extLst>
          </c:dPt>
          <c:dPt>
            <c:idx val="4"/>
            <c:marker>
              <c:symbol val="circle"/>
              <c:size val="5"/>
              <c:spPr>
                <a:solidFill>
                  <a:srgbClr val="002060"/>
                </a:solidFill>
                <a:ln w="9525">
                  <a:solidFill>
                    <a:srgbClr val="002060"/>
                  </a:solidFill>
                </a:ln>
                <a:effectLst/>
              </c:spPr>
            </c:marker>
            <c:bubble3D val="0"/>
            <c:spPr>
              <a:ln w="28575" cap="rnd">
                <a:solidFill>
                  <a:srgbClr val="002060"/>
                </a:solidFill>
                <a:round/>
              </a:ln>
              <a:effectLst/>
            </c:spPr>
            <c:extLst>
              <c:ext xmlns:c16="http://schemas.microsoft.com/office/drawing/2014/chart" uri="{C3380CC4-5D6E-409C-BE32-E72D297353CC}">
                <c16:uniqueId val="{00000010-F4B5-4353-9721-DA4C33619959}"/>
              </c:ext>
            </c:extLst>
          </c:dPt>
          <c:dPt>
            <c:idx val="6"/>
            <c:marker>
              <c:symbol val="circle"/>
              <c:size val="5"/>
              <c:spPr>
                <a:solidFill>
                  <a:srgbClr val="002060"/>
                </a:solidFill>
                <a:ln w="9525">
                  <a:solidFill>
                    <a:srgbClr val="002060"/>
                  </a:solidFill>
                </a:ln>
                <a:effectLst/>
              </c:spPr>
            </c:marker>
            <c:bubble3D val="0"/>
            <c:spPr>
              <a:ln w="28575" cap="rnd">
                <a:solidFill>
                  <a:srgbClr val="002060"/>
                </a:solidFill>
                <a:prstDash val="dash"/>
                <a:round/>
              </a:ln>
              <a:effectLst/>
            </c:spPr>
            <c:extLst>
              <c:ext xmlns:c16="http://schemas.microsoft.com/office/drawing/2014/chart" uri="{C3380CC4-5D6E-409C-BE32-E72D297353CC}">
                <c16:uniqueId val="{00000012-F4B5-4353-9721-DA4C33619959}"/>
              </c:ext>
            </c:extLst>
          </c:dPt>
          <c:cat>
            <c:multiLvlStrRef>
              <c:f>'טבלאות תרשים 1'!$F$5:$F$14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1'!$H$5:$H$14</c:f>
              <c:numCache>
                <c:formatCode>General</c:formatCode>
                <c:ptCount val="7"/>
                <c:pt idx="0">
                  <c:v>-40.600966908162405</c:v>
                </c:pt>
                <c:pt idx="1">
                  <c:v>0</c:v>
                </c:pt>
                <c:pt idx="2">
                  <c:v>3.7403553282074808</c:v>
                </c:pt>
                <c:pt idx="3">
                  <c:v>-36.911376615910733</c:v>
                </c:pt>
                <c:pt idx="4">
                  <c:v>-30.668856992184015</c:v>
                </c:pt>
                <c:pt idx="5">
                  <c:v>0</c:v>
                </c:pt>
                <c:pt idx="6">
                  <c:v>0</c:v>
                </c:pt>
              </c:numCache>
            </c:numRef>
          </c:val>
          <c:smooth val="0"/>
          <c:extLst>
            <c:ext xmlns:c16="http://schemas.microsoft.com/office/drawing/2014/chart" uri="{C3380CC4-5D6E-409C-BE32-E72D297353CC}">
              <c16:uniqueId val="{00000013-F4B5-4353-9721-DA4C33619959}"/>
            </c:ext>
          </c:extLst>
        </c:ser>
        <c:ser>
          <c:idx val="2"/>
          <c:order val="2"/>
          <c:tx>
            <c:strRef>
              <c:f>'טבלאות תרשים 1'!$I$3:$I$4</c:f>
              <c:strCache>
                <c:ptCount val="1"/>
                <c:pt idx="0">
                  <c:v>אשראי לעסקים בינוניים</c:v>
                </c:pt>
              </c:strCache>
            </c:strRef>
          </c:tx>
          <c:spPr>
            <a:ln w="28575" cap="rnd">
              <a:solidFill>
                <a:srgbClr val="008DA3"/>
              </a:solidFill>
              <a:round/>
            </a:ln>
            <a:effectLst/>
          </c:spPr>
          <c:marker>
            <c:symbol val="circle"/>
            <c:size val="5"/>
            <c:spPr>
              <a:solidFill>
                <a:srgbClr val="008DA3"/>
              </a:solidFill>
              <a:ln w="9525">
                <a:solidFill>
                  <a:srgbClr val="008DA3"/>
                </a:solidFill>
              </a:ln>
              <a:effectLst/>
            </c:spPr>
          </c:marker>
          <c:dPt>
            <c:idx val="2"/>
            <c:marker>
              <c:symbol val="circle"/>
              <c:size val="5"/>
              <c:spPr>
                <a:solidFill>
                  <a:srgbClr val="008DA3"/>
                </a:solidFill>
                <a:ln w="9525">
                  <a:solidFill>
                    <a:srgbClr val="008DA3"/>
                  </a:solidFill>
                </a:ln>
                <a:effectLst/>
              </c:spPr>
            </c:marker>
            <c:bubble3D val="0"/>
            <c:spPr>
              <a:ln w="28575" cap="rnd">
                <a:solidFill>
                  <a:srgbClr val="008DA3"/>
                </a:solidFill>
                <a:prstDash val="solid"/>
                <a:round/>
              </a:ln>
              <a:effectLst/>
            </c:spPr>
            <c:extLst>
              <c:ext xmlns:c16="http://schemas.microsoft.com/office/drawing/2014/chart" uri="{C3380CC4-5D6E-409C-BE32-E72D297353CC}">
                <c16:uniqueId val="{00000015-F4B5-4353-9721-DA4C33619959}"/>
              </c:ext>
            </c:extLst>
          </c:dPt>
          <c:dPt>
            <c:idx val="3"/>
            <c:marker>
              <c:symbol val="circle"/>
              <c:size val="5"/>
              <c:spPr>
                <a:solidFill>
                  <a:srgbClr val="008DA3"/>
                </a:solidFill>
                <a:ln w="9525">
                  <a:solidFill>
                    <a:srgbClr val="008DA3"/>
                  </a:solidFill>
                </a:ln>
                <a:effectLst/>
              </c:spPr>
            </c:marker>
            <c:bubble3D val="0"/>
            <c:spPr>
              <a:ln w="28575" cap="rnd">
                <a:solidFill>
                  <a:srgbClr val="008DA3"/>
                </a:solidFill>
                <a:prstDash val="solid"/>
                <a:round/>
              </a:ln>
              <a:effectLst/>
            </c:spPr>
            <c:extLst>
              <c:ext xmlns:c16="http://schemas.microsoft.com/office/drawing/2014/chart" uri="{C3380CC4-5D6E-409C-BE32-E72D297353CC}">
                <c16:uniqueId val="{00000017-F4B5-4353-9721-DA4C33619959}"/>
              </c:ext>
            </c:extLst>
          </c:dPt>
          <c:dPt>
            <c:idx val="4"/>
            <c:marker>
              <c:symbol val="circle"/>
              <c:size val="5"/>
              <c:spPr>
                <a:solidFill>
                  <a:srgbClr val="008DA3"/>
                </a:solidFill>
                <a:ln w="9525">
                  <a:solidFill>
                    <a:srgbClr val="008DA3"/>
                  </a:solidFill>
                </a:ln>
                <a:effectLst/>
              </c:spPr>
            </c:marker>
            <c:bubble3D val="0"/>
            <c:spPr>
              <a:ln w="28575" cap="rnd">
                <a:solidFill>
                  <a:srgbClr val="008DA3"/>
                </a:solidFill>
                <a:round/>
              </a:ln>
              <a:effectLst/>
            </c:spPr>
            <c:extLst>
              <c:ext xmlns:c16="http://schemas.microsoft.com/office/drawing/2014/chart" uri="{C3380CC4-5D6E-409C-BE32-E72D297353CC}">
                <c16:uniqueId val="{00000019-F4B5-4353-9721-DA4C33619959}"/>
              </c:ext>
            </c:extLst>
          </c:dPt>
          <c:dPt>
            <c:idx val="6"/>
            <c:marker>
              <c:symbol val="circle"/>
              <c:size val="5"/>
              <c:spPr>
                <a:solidFill>
                  <a:srgbClr val="008DA3"/>
                </a:solidFill>
                <a:ln w="9525">
                  <a:solidFill>
                    <a:srgbClr val="008DA3"/>
                  </a:solidFill>
                </a:ln>
                <a:effectLst/>
              </c:spPr>
            </c:marker>
            <c:bubble3D val="0"/>
            <c:spPr>
              <a:ln w="28575" cap="rnd">
                <a:solidFill>
                  <a:srgbClr val="008DA3"/>
                </a:solidFill>
                <a:prstDash val="dash"/>
                <a:round/>
              </a:ln>
              <a:effectLst/>
            </c:spPr>
            <c:extLst>
              <c:ext xmlns:c16="http://schemas.microsoft.com/office/drawing/2014/chart" uri="{C3380CC4-5D6E-409C-BE32-E72D297353CC}">
                <c16:uniqueId val="{0000001B-F4B5-4353-9721-DA4C33619959}"/>
              </c:ext>
            </c:extLst>
          </c:dPt>
          <c:cat>
            <c:multiLvlStrRef>
              <c:f>'טבלאות תרשים 1'!$F$5:$F$14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1'!$I$5:$I$14</c:f>
              <c:numCache>
                <c:formatCode>General</c:formatCode>
                <c:ptCount val="7"/>
                <c:pt idx="0">
                  <c:v>-32.983328747967015</c:v>
                </c:pt>
                <c:pt idx="1">
                  <c:v>34.783672077965214</c:v>
                </c:pt>
                <c:pt idx="2">
                  <c:v>35.081598319350817</c:v>
                </c:pt>
                <c:pt idx="3">
                  <c:v>3.3786240640067571</c:v>
                </c:pt>
                <c:pt idx="4">
                  <c:v>0</c:v>
                </c:pt>
                <c:pt idx="5">
                  <c:v>0</c:v>
                </c:pt>
                <c:pt idx="6">
                  <c:v>12.101437257951595</c:v>
                </c:pt>
              </c:numCache>
            </c:numRef>
          </c:val>
          <c:smooth val="0"/>
          <c:extLst>
            <c:ext xmlns:c16="http://schemas.microsoft.com/office/drawing/2014/chart" uri="{C3380CC4-5D6E-409C-BE32-E72D297353CC}">
              <c16:uniqueId val="{0000001C-F4B5-4353-9721-DA4C33619959}"/>
            </c:ext>
          </c:extLst>
        </c:ser>
        <c:ser>
          <c:idx val="3"/>
          <c:order val="3"/>
          <c:tx>
            <c:strRef>
              <c:f>'טבלאות תרשים 1'!$J$3:$J$4</c:f>
              <c:strCache>
                <c:ptCount val="1"/>
                <c:pt idx="0">
                  <c:v>אשראי לעסקים גדולים</c:v>
                </c:pt>
              </c:strCache>
            </c:strRef>
          </c:tx>
          <c:spPr>
            <a:ln w="28575" cap="rnd">
              <a:solidFill>
                <a:srgbClr val="357C32"/>
              </a:solidFill>
              <a:round/>
            </a:ln>
            <a:effectLst/>
          </c:spPr>
          <c:marker>
            <c:symbol val="circle"/>
            <c:size val="5"/>
            <c:spPr>
              <a:solidFill>
                <a:srgbClr val="357C32"/>
              </a:solidFill>
              <a:ln w="9525">
                <a:solidFill>
                  <a:srgbClr val="357C32"/>
                </a:solidFill>
              </a:ln>
              <a:effectLst/>
            </c:spPr>
          </c:marker>
          <c:dPt>
            <c:idx val="2"/>
            <c:marker>
              <c:symbol val="circle"/>
              <c:size val="5"/>
              <c:spPr>
                <a:solidFill>
                  <a:srgbClr val="357C32"/>
                </a:solidFill>
                <a:ln w="9525">
                  <a:solidFill>
                    <a:srgbClr val="357C32"/>
                  </a:solidFill>
                  <a:prstDash val="dash"/>
                </a:ln>
                <a:effectLst/>
              </c:spPr>
            </c:marker>
            <c:bubble3D val="0"/>
            <c:spPr>
              <a:ln w="28575" cap="rnd">
                <a:solidFill>
                  <a:srgbClr val="357C32"/>
                </a:solidFill>
                <a:prstDash val="solid"/>
                <a:round/>
              </a:ln>
              <a:effectLst/>
            </c:spPr>
            <c:extLst>
              <c:ext xmlns:c16="http://schemas.microsoft.com/office/drawing/2014/chart" uri="{C3380CC4-5D6E-409C-BE32-E72D297353CC}">
                <c16:uniqueId val="{0000001E-F4B5-4353-9721-DA4C33619959}"/>
              </c:ext>
            </c:extLst>
          </c:dPt>
          <c:dPt>
            <c:idx val="3"/>
            <c:marker>
              <c:symbol val="circle"/>
              <c:size val="5"/>
              <c:spPr>
                <a:solidFill>
                  <a:srgbClr val="357C32"/>
                </a:solidFill>
                <a:ln w="9525">
                  <a:solidFill>
                    <a:srgbClr val="357C32"/>
                  </a:solidFill>
                </a:ln>
                <a:effectLst/>
              </c:spPr>
            </c:marker>
            <c:bubble3D val="0"/>
            <c:spPr>
              <a:ln w="28575" cap="rnd">
                <a:solidFill>
                  <a:srgbClr val="357C32"/>
                </a:solidFill>
                <a:prstDash val="solid"/>
                <a:round/>
              </a:ln>
              <a:effectLst/>
            </c:spPr>
            <c:extLst>
              <c:ext xmlns:c16="http://schemas.microsoft.com/office/drawing/2014/chart" uri="{C3380CC4-5D6E-409C-BE32-E72D297353CC}">
                <c16:uniqueId val="{00000020-F4B5-4353-9721-DA4C33619959}"/>
              </c:ext>
            </c:extLst>
          </c:dPt>
          <c:dPt>
            <c:idx val="4"/>
            <c:marker>
              <c:symbol val="circle"/>
              <c:size val="5"/>
              <c:spPr>
                <a:solidFill>
                  <a:srgbClr val="357C32"/>
                </a:solidFill>
                <a:ln w="9525">
                  <a:solidFill>
                    <a:srgbClr val="357C32"/>
                  </a:solidFill>
                </a:ln>
                <a:effectLst/>
              </c:spPr>
            </c:marker>
            <c:bubble3D val="0"/>
            <c:spPr>
              <a:ln w="28575" cap="rnd">
                <a:solidFill>
                  <a:srgbClr val="357C32"/>
                </a:solidFill>
                <a:round/>
              </a:ln>
              <a:effectLst/>
            </c:spPr>
            <c:extLst>
              <c:ext xmlns:c16="http://schemas.microsoft.com/office/drawing/2014/chart" uri="{C3380CC4-5D6E-409C-BE32-E72D297353CC}">
                <c16:uniqueId val="{00000022-F4B5-4353-9721-DA4C33619959}"/>
              </c:ext>
            </c:extLst>
          </c:dPt>
          <c:dPt>
            <c:idx val="6"/>
            <c:marker>
              <c:symbol val="circle"/>
              <c:size val="5"/>
              <c:spPr>
                <a:solidFill>
                  <a:srgbClr val="357C32"/>
                </a:solidFill>
                <a:ln w="9525">
                  <a:solidFill>
                    <a:srgbClr val="357C32"/>
                  </a:solidFill>
                </a:ln>
                <a:effectLst/>
              </c:spPr>
            </c:marker>
            <c:bubble3D val="0"/>
            <c:spPr>
              <a:ln w="28575" cap="rnd">
                <a:solidFill>
                  <a:srgbClr val="357C32"/>
                </a:solidFill>
                <a:prstDash val="dash"/>
                <a:round/>
              </a:ln>
              <a:effectLst/>
            </c:spPr>
            <c:extLst>
              <c:ext xmlns:c16="http://schemas.microsoft.com/office/drawing/2014/chart" uri="{C3380CC4-5D6E-409C-BE32-E72D297353CC}">
                <c16:uniqueId val="{00000024-F4B5-4353-9721-DA4C33619959}"/>
              </c:ext>
            </c:extLst>
          </c:dPt>
          <c:cat>
            <c:multiLvlStrRef>
              <c:f>'טבלאות תרשים 1'!$F$5:$F$14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1'!$J$5:$J$14</c:f>
              <c:numCache>
                <c:formatCode>General</c:formatCode>
                <c:ptCount val="7"/>
                <c:pt idx="0">
                  <c:v>-52.700357952258102</c:v>
                </c:pt>
                <c:pt idx="1">
                  <c:v>0</c:v>
                </c:pt>
                <c:pt idx="2">
                  <c:v>1.4931210104955206</c:v>
                </c:pt>
                <c:pt idx="3">
                  <c:v>0</c:v>
                </c:pt>
                <c:pt idx="4">
                  <c:v>-29.393707080735457</c:v>
                </c:pt>
                <c:pt idx="5">
                  <c:v>38.450974301638453</c:v>
                </c:pt>
                <c:pt idx="6">
                  <c:v>9.4252038936094245</c:v>
                </c:pt>
              </c:numCache>
            </c:numRef>
          </c:val>
          <c:smooth val="0"/>
          <c:extLst>
            <c:ext xmlns:c16="http://schemas.microsoft.com/office/drawing/2014/chart" uri="{C3380CC4-5D6E-409C-BE32-E72D297353CC}">
              <c16:uniqueId val="{00000025-F4B5-4353-9721-DA4C33619959}"/>
            </c:ext>
          </c:extLst>
        </c:ser>
        <c:ser>
          <c:idx val="4"/>
          <c:order val="4"/>
          <c:tx>
            <c:strRef>
              <c:f>'טבלאות תרשים 1'!$K$3:$K$4</c:f>
              <c:strCache>
                <c:ptCount val="1"/>
                <c:pt idx="0">
                  <c:v>אשראי לעסקים זעירים וקטנים</c:v>
                </c:pt>
              </c:strCache>
            </c:strRef>
          </c:tx>
          <c:spPr>
            <a:ln w="28575" cap="rnd">
              <a:solidFill>
                <a:srgbClr val="D98D25"/>
              </a:solidFill>
              <a:round/>
            </a:ln>
            <a:effectLst/>
          </c:spPr>
          <c:marker>
            <c:symbol val="circle"/>
            <c:size val="5"/>
            <c:spPr>
              <a:solidFill>
                <a:srgbClr val="D98D25"/>
              </a:solidFill>
              <a:ln w="9525">
                <a:solidFill>
                  <a:srgbClr val="D98D25"/>
                </a:solidFill>
              </a:ln>
              <a:effectLst/>
            </c:spPr>
          </c:marker>
          <c:dPt>
            <c:idx val="2"/>
            <c:marker>
              <c:symbol val="circle"/>
              <c:size val="5"/>
              <c:spPr>
                <a:solidFill>
                  <a:srgbClr val="D98D25"/>
                </a:solidFill>
                <a:ln w="9525">
                  <a:solidFill>
                    <a:srgbClr val="D98D25"/>
                  </a:solidFill>
                </a:ln>
                <a:effectLst/>
              </c:spPr>
            </c:marker>
            <c:bubble3D val="0"/>
            <c:spPr>
              <a:ln w="28575" cap="rnd">
                <a:solidFill>
                  <a:srgbClr val="D98D25"/>
                </a:solidFill>
                <a:prstDash val="solid"/>
                <a:round/>
              </a:ln>
              <a:effectLst/>
            </c:spPr>
            <c:extLst>
              <c:ext xmlns:c16="http://schemas.microsoft.com/office/drawing/2014/chart" uri="{C3380CC4-5D6E-409C-BE32-E72D297353CC}">
                <c16:uniqueId val="{00000027-F4B5-4353-9721-DA4C33619959}"/>
              </c:ext>
            </c:extLst>
          </c:dPt>
          <c:dPt>
            <c:idx val="3"/>
            <c:marker>
              <c:symbol val="circle"/>
              <c:size val="5"/>
              <c:spPr>
                <a:solidFill>
                  <a:srgbClr val="D98D25"/>
                </a:solidFill>
                <a:ln w="9525">
                  <a:solidFill>
                    <a:srgbClr val="D98D25"/>
                  </a:solidFill>
                </a:ln>
                <a:effectLst/>
              </c:spPr>
            </c:marker>
            <c:bubble3D val="0"/>
            <c:spPr>
              <a:ln w="28575" cap="rnd">
                <a:solidFill>
                  <a:srgbClr val="D98D25"/>
                </a:solidFill>
                <a:prstDash val="solid"/>
                <a:round/>
              </a:ln>
              <a:effectLst/>
            </c:spPr>
            <c:extLst>
              <c:ext xmlns:c16="http://schemas.microsoft.com/office/drawing/2014/chart" uri="{C3380CC4-5D6E-409C-BE32-E72D297353CC}">
                <c16:uniqueId val="{00000029-F4B5-4353-9721-DA4C33619959}"/>
              </c:ext>
            </c:extLst>
          </c:dPt>
          <c:dPt>
            <c:idx val="4"/>
            <c:marker>
              <c:symbol val="circle"/>
              <c:size val="5"/>
              <c:spPr>
                <a:solidFill>
                  <a:srgbClr val="D98D25"/>
                </a:solidFill>
                <a:ln w="9525">
                  <a:solidFill>
                    <a:srgbClr val="D98D25"/>
                  </a:solidFill>
                </a:ln>
                <a:effectLst/>
              </c:spPr>
            </c:marker>
            <c:bubble3D val="0"/>
            <c:spPr>
              <a:ln w="28575" cap="rnd">
                <a:solidFill>
                  <a:srgbClr val="D98D25"/>
                </a:solidFill>
                <a:round/>
              </a:ln>
              <a:effectLst/>
            </c:spPr>
            <c:extLst>
              <c:ext xmlns:c16="http://schemas.microsoft.com/office/drawing/2014/chart" uri="{C3380CC4-5D6E-409C-BE32-E72D297353CC}">
                <c16:uniqueId val="{0000002B-F4B5-4353-9721-DA4C33619959}"/>
              </c:ext>
            </c:extLst>
          </c:dPt>
          <c:dPt>
            <c:idx val="6"/>
            <c:marker>
              <c:symbol val="circle"/>
              <c:size val="5"/>
              <c:spPr>
                <a:solidFill>
                  <a:srgbClr val="D98D25"/>
                </a:solidFill>
                <a:ln w="9525">
                  <a:solidFill>
                    <a:srgbClr val="D98D25"/>
                  </a:solidFill>
                </a:ln>
                <a:effectLst/>
              </c:spPr>
            </c:marker>
            <c:bubble3D val="0"/>
            <c:spPr>
              <a:ln w="28575" cap="rnd">
                <a:solidFill>
                  <a:srgbClr val="D98D25"/>
                </a:solidFill>
                <a:prstDash val="dash"/>
                <a:round/>
              </a:ln>
              <a:effectLst/>
            </c:spPr>
            <c:extLst>
              <c:ext xmlns:c16="http://schemas.microsoft.com/office/drawing/2014/chart" uri="{C3380CC4-5D6E-409C-BE32-E72D297353CC}">
                <c16:uniqueId val="{0000002D-F4B5-4353-9721-DA4C33619959}"/>
              </c:ext>
            </c:extLst>
          </c:dPt>
          <c:cat>
            <c:multiLvlStrRef>
              <c:f>'טבלאות תרשים 1'!$F$5:$F$14</c:f>
              <c:multiLvlStrCache>
                <c:ptCount val="7"/>
                <c:lvl>
                  <c:pt idx="0">
                    <c:v>Q3</c:v>
                  </c:pt>
                  <c:pt idx="1">
                    <c:v>Q4</c:v>
                  </c:pt>
                  <c:pt idx="2">
                    <c:v>Q1</c:v>
                  </c:pt>
                  <c:pt idx="3">
                    <c:v>Q2</c:v>
                  </c:pt>
                  <c:pt idx="4">
                    <c:v>Q3</c:v>
                  </c:pt>
                  <c:pt idx="5">
                    <c:v>Q4</c:v>
                  </c:pt>
                  <c:pt idx="6">
                    <c:v>Q1</c:v>
                  </c:pt>
                </c:lvl>
                <c:lvl>
                  <c:pt idx="0">
                    <c:v>2024</c:v>
                  </c:pt>
                  <c:pt idx="2">
                    <c:v>2025</c:v>
                  </c:pt>
                  <c:pt idx="6">
                    <c:v>2026</c:v>
                  </c:pt>
                </c:lvl>
              </c:multiLvlStrCache>
            </c:multiLvlStrRef>
          </c:cat>
          <c:val>
            <c:numRef>
              <c:f>'טבלאות תרשים 1'!$K$5:$K$14</c:f>
              <c:numCache>
                <c:formatCode>General</c:formatCode>
                <c:ptCount val="7"/>
                <c:pt idx="0">
                  <c:v>29.569823856954837</c:v>
                </c:pt>
                <c:pt idx="1">
                  <c:v>56.930939943172277</c:v>
                </c:pt>
                <c:pt idx="2">
                  <c:v>8.7490614426825015</c:v>
                </c:pt>
                <c:pt idx="3">
                  <c:v>14.450496214741044</c:v>
                </c:pt>
                <c:pt idx="4">
                  <c:v>31.675195576126701</c:v>
                </c:pt>
                <c:pt idx="5">
                  <c:v>43.506506428756495</c:v>
                </c:pt>
                <c:pt idx="6">
                  <c:v>21.705452470778294</c:v>
                </c:pt>
              </c:numCache>
            </c:numRef>
          </c:val>
          <c:smooth val="0"/>
          <c:extLst>
            <c:ext xmlns:c16="http://schemas.microsoft.com/office/drawing/2014/chart" uri="{C3380CC4-5D6E-409C-BE32-E72D297353CC}">
              <c16:uniqueId val="{0000002E-F4B5-4353-9721-DA4C33619959}"/>
            </c:ext>
          </c:extLst>
        </c:ser>
        <c:dLbls>
          <c:showLegendKey val="0"/>
          <c:showVal val="0"/>
          <c:showCatName val="0"/>
          <c:showSerName val="0"/>
          <c:showPercent val="0"/>
          <c:showBubbleSize val="0"/>
        </c:dLbls>
        <c:marker val="1"/>
        <c:smooth val="0"/>
        <c:axId val="771717416"/>
        <c:axId val="771717744"/>
      </c:lineChart>
      <c:catAx>
        <c:axId val="771717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Assistant" panose="00000500000000000000" pitchFamily="2" charset="-79"/>
                <a:ea typeface="+mn-ea"/>
                <a:cs typeface="Assistant" panose="00000500000000000000" pitchFamily="2" charset="-79"/>
              </a:defRPr>
            </a:pPr>
            <a:endParaRPr lang="he-IL"/>
          </a:p>
        </c:txPr>
        <c:crossAx val="771717744"/>
        <c:crossesAt val="-100"/>
        <c:auto val="0"/>
        <c:lblAlgn val="ctr"/>
        <c:lblOffset val="100"/>
        <c:noMultiLvlLbl val="0"/>
      </c:catAx>
      <c:valAx>
        <c:axId val="771717744"/>
        <c:scaling>
          <c:orientation val="minMax"/>
          <c:max val="100"/>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771717416"/>
        <c:crosses val="autoZero"/>
        <c:crossBetween val="midCat"/>
      </c:valAx>
      <c:spPr>
        <a:noFill/>
        <a:ln>
          <a:noFill/>
        </a:ln>
        <a:effectLst/>
      </c:spPr>
    </c:plotArea>
    <c:legend>
      <c:legendPos val="l"/>
      <c:layout>
        <c:manualLayout>
          <c:xMode val="edge"/>
          <c:yMode val="edge"/>
          <c:x val="0"/>
          <c:y val="0.8754367710012072"/>
          <c:w val="1"/>
          <c:h val="0.1163470055903566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אוטומטי מעודכן.xlsx]טבלאות תרשים 2!גרף 2 א 1</c:name>
    <c:fmtId val="-1"/>
  </c:pivotSource>
  <c:chart>
    <c:autoTitleDeleted val="1"/>
    <c:pivotFmts>
      <c:pivotFmt>
        <c:idx val="0"/>
        <c:spPr>
          <a:solidFill>
            <a:srgbClr val="008DA3"/>
          </a:solidFill>
          <a:ln>
            <a:noFill/>
          </a:ln>
          <a:effectLst/>
        </c:spPr>
        <c:marker>
          <c:symbol val="none"/>
        </c:marker>
      </c:pivotFmt>
      <c:pivotFmt>
        <c:idx val="1"/>
        <c:spPr>
          <a:solidFill>
            <a:srgbClr val="6C63FF"/>
          </a:solidFill>
          <a:ln>
            <a:noFill/>
          </a:ln>
          <a:effectLst/>
        </c:spPr>
        <c:marker>
          <c:symbol val="none"/>
        </c:marker>
      </c:pivotFmt>
      <c:pivotFmt>
        <c:idx val="2"/>
        <c:spPr>
          <a:solidFill>
            <a:srgbClr val="D98D25"/>
          </a:solidFill>
          <a:ln>
            <a:noFill/>
          </a:ln>
          <a:effectLst/>
        </c:spPr>
        <c:marker>
          <c:symbol val="none"/>
        </c:marker>
      </c:pivotFmt>
      <c:pivotFmt>
        <c:idx val="3"/>
        <c:spPr>
          <a:solidFill>
            <a:schemeClr val="accent1"/>
          </a:solidFill>
          <a:ln w="28575" cap="rnd">
            <a:solidFill>
              <a:srgbClr val="000000"/>
            </a:solidFill>
            <a:round/>
          </a:ln>
          <a:effectLst/>
        </c:spPr>
        <c:marker>
          <c:spPr>
            <a:noFill/>
            <a:ln w="9525">
              <a:noFill/>
            </a:ln>
            <a:effectLst/>
          </c:spPr>
        </c:marker>
      </c:pivotFmt>
      <c:pivotFmt>
        <c:idx val="4"/>
        <c:spPr>
          <a:solidFill>
            <a:schemeClr val="accent1"/>
          </a:solidFill>
          <a:ln>
            <a:noFill/>
          </a:ln>
          <a:effectLst/>
        </c:spPr>
        <c:marker>
          <c:symbol val="none"/>
        </c:marker>
      </c:pivotFmt>
      <c:pivotFmt>
        <c:idx val="5"/>
        <c:spPr>
          <a:solidFill>
            <a:srgbClr val="D87585"/>
          </a:solidFill>
          <a:ln>
            <a:noFill/>
          </a:ln>
          <a:effectLst/>
        </c:spPr>
        <c:marker>
          <c:symbol val="none"/>
        </c:marker>
      </c:pivotFmt>
      <c:pivotFmt>
        <c:idx val="6"/>
        <c:marker>
          <c:symbol val="none"/>
        </c:marker>
      </c:pivotFmt>
      <c:pivotFmt>
        <c:idx val="7"/>
        <c:spPr>
          <a:solidFill>
            <a:schemeClr val="accent1"/>
          </a:solidFill>
          <a:ln w="28575" cap="rnd">
            <a:solidFill>
              <a:srgbClr val="000000"/>
            </a:solidFill>
            <a:round/>
          </a:ln>
          <a:effectLst/>
        </c:spPr>
        <c:marker>
          <c:symbol val="none"/>
        </c:marker>
      </c:pivotFmt>
      <c:pivotFmt>
        <c:idx val="8"/>
        <c:spPr>
          <a:solidFill>
            <a:srgbClr val="008DA3"/>
          </a:solidFill>
          <a:ln>
            <a:noFill/>
          </a:ln>
          <a:effectLst/>
        </c:spPr>
        <c:marker>
          <c:symbol val="none"/>
        </c:marker>
      </c:pivotFmt>
      <c:pivotFmt>
        <c:idx val="9"/>
        <c:spPr>
          <a:solidFill>
            <a:srgbClr val="6C63FF"/>
          </a:solidFill>
          <a:ln>
            <a:noFill/>
          </a:ln>
          <a:effectLst/>
        </c:spPr>
        <c:marker>
          <c:symbol val="none"/>
        </c:marker>
      </c:pivotFmt>
      <c:pivotFmt>
        <c:idx val="10"/>
        <c:spPr>
          <a:solidFill>
            <a:srgbClr val="D98D25"/>
          </a:solidFill>
          <a:ln>
            <a:noFill/>
          </a:ln>
          <a:effectLst/>
        </c:spPr>
        <c:marker>
          <c:symbol val="none"/>
        </c:marker>
      </c:pivotFmt>
      <c:pivotFmt>
        <c:idx val="11"/>
        <c:spPr>
          <a:solidFill>
            <a:srgbClr val="D87585"/>
          </a:solidFill>
          <a:ln>
            <a:noFill/>
          </a:ln>
          <a:effectLst/>
        </c:spPr>
        <c:marker>
          <c:symbol val="none"/>
        </c:marker>
      </c:pivotFmt>
      <c:pivotFmt>
        <c:idx val="12"/>
        <c:spPr>
          <a:solidFill>
            <a:srgbClr val="008DA3"/>
          </a:solidFill>
          <a:ln>
            <a:noFill/>
          </a:ln>
          <a:effectLst/>
        </c:spPr>
        <c:marker>
          <c:symbol val="none"/>
        </c:marker>
      </c:pivotFmt>
      <c:pivotFmt>
        <c:idx val="13"/>
        <c:spPr>
          <a:solidFill>
            <a:srgbClr val="6C63FF"/>
          </a:solidFill>
          <a:ln>
            <a:noFill/>
          </a:ln>
          <a:effectLst/>
        </c:spPr>
        <c:marker>
          <c:symbol val="none"/>
        </c:marker>
      </c:pivotFmt>
      <c:pivotFmt>
        <c:idx val="14"/>
        <c:spPr>
          <a:solidFill>
            <a:srgbClr val="D98D25"/>
          </a:solidFill>
          <a:ln>
            <a:noFill/>
          </a:ln>
          <a:effectLst/>
        </c:spPr>
        <c:marker>
          <c:symbol val="none"/>
        </c:marker>
      </c:pivotFmt>
      <c:pivotFmt>
        <c:idx val="15"/>
        <c:spPr>
          <a:solidFill>
            <a:srgbClr val="D87585"/>
          </a:solidFill>
          <a:ln>
            <a:noFill/>
          </a:ln>
          <a:effectLst/>
        </c:spPr>
        <c:marker>
          <c:symbol val="none"/>
        </c:marker>
      </c:pivotFmt>
      <c:pivotFmt>
        <c:idx val="16"/>
        <c:spPr>
          <a:solidFill>
            <a:schemeClr val="accent1"/>
          </a:solidFill>
          <a:ln w="28575" cap="rnd">
            <a:solidFill>
              <a:srgbClr val="000000"/>
            </a:solidFill>
            <a:round/>
          </a:ln>
          <a:effectLst/>
        </c:spPr>
        <c:marker>
          <c:symbol val="none"/>
        </c:marker>
      </c:pivotFmt>
      <c:pivotFmt>
        <c:idx val="17"/>
        <c:spPr>
          <a:solidFill>
            <a:srgbClr val="008DA3"/>
          </a:solidFill>
          <a:ln>
            <a:noFill/>
          </a:ln>
          <a:effectLst/>
        </c:spPr>
        <c:marker>
          <c:symbol val="none"/>
        </c:marker>
      </c:pivotFmt>
      <c:pivotFmt>
        <c:idx val="18"/>
        <c:spPr>
          <a:solidFill>
            <a:srgbClr val="6C63FF"/>
          </a:solidFill>
          <a:ln>
            <a:noFill/>
          </a:ln>
          <a:effectLst/>
        </c:spPr>
        <c:marker>
          <c:symbol val="none"/>
        </c:marker>
      </c:pivotFmt>
      <c:pivotFmt>
        <c:idx val="19"/>
        <c:spPr>
          <a:solidFill>
            <a:srgbClr val="D98D25"/>
          </a:solidFill>
          <a:ln>
            <a:noFill/>
          </a:ln>
          <a:effectLst/>
        </c:spPr>
        <c:marker>
          <c:symbol val="none"/>
        </c:marker>
      </c:pivotFmt>
      <c:pivotFmt>
        <c:idx val="20"/>
        <c:spPr>
          <a:solidFill>
            <a:srgbClr val="D87585"/>
          </a:solidFill>
          <a:ln>
            <a:noFill/>
          </a:ln>
          <a:effectLst/>
        </c:spPr>
        <c:marker>
          <c:symbol val="none"/>
        </c:marker>
      </c:pivotFmt>
      <c:pivotFmt>
        <c:idx val="21"/>
        <c:spPr>
          <a:solidFill>
            <a:schemeClr val="accent1"/>
          </a:solidFill>
          <a:ln w="28575" cap="rnd">
            <a:solidFill>
              <a:srgbClr val="000000"/>
            </a:solidFill>
            <a:round/>
          </a:ln>
          <a:effectLst/>
        </c:spPr>
        <c:marker>
          <c:symbol val="none"/>
        </c:marker>
      </c:pivotFmt>
    </c:pivotFmts>
    <c:plotArea>
      <c:layout>
        <c:manualLayout>
          <c:layoutTarget val="inner"/>
          <c:xMode val="edge"/>
          <c:yMode val="edge"/>
          <c:x val="9.3376076537656949E-2"/>
          <c:y val="8.3250330888126153E-2"/>
          <c:w val="0.91686650846239826"/>
          <c:h val="0.63624415154627412"/>
        </c:manualLayout>
      </c:layout>
      <c:barChart>
        <c:barDir val="col"/>
        <c:grouping val="stacked"/>
        <c:varyColors val="0"/>
        <c:ser>
          <c:idx val="1"/>
          <c:order val="1"/>
          <c:tx>
            <c:strRef>
              <c:f>'טבלאות תרשים 2'!$U$3:$U$4</c:f>
              <c:strCache>
                <c:ptCount val="1"/>
                <c:pt idx="0">
                  <c:v>מטרת האשראי או המניע לאשראי</c:v>
                </c:pt>
              </c:strCache>
            </c:strRef>
          </c:tx>
          <c:spPr>
            <a:solidFill>
              <a:srgbClr val="008DA3"/>
            </a:solidFill>
            <a:ln>
              <a:noFill/>
            </a:ln>
            <a:effectLst/>
          </c:spPr>
          <c:invertIfNegative val="0"/>
          <c:cat>
            <c:multiLvlStrRef>
              <c:f>'טבלאות תרשים 2'!$S$5:$S$12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2'!$U$5:$U$12</c:f>
              <c:numCache>
                <c:formatCode>General</c:formatCode>
                <c:ptCount val="6"/>
                <c:pt idx="0">
                  <c:v>14.771314634017255</c:v>
                </c:pt>
                <c:pt idx="1">
                  <c:v>0.84897133963660409</c:v>
                </c:pt>
                <c:pt idx="2">
                  <c:v>14.726132104190548</c:v>
                </c:pt>
                <c:pt idx="3">
                  <c:v>12.772119113839507</c:v>
                </c:pt>
                <c:pt idx="4">
                  <c:v>-1.1099093383044396</c:v>
                </c:pt>
                <c:pt idx="5">
                  <c:v>6.3200924592736802</c:v>
                </c:pt>
              </c:numCache>
            </c:numRef>
          </c:val>
          <c:extLst>
            <c:ext xmlns:c16="http://schemas.microsoft.com/office/drawing/2014/chart" uri="{C3380CC4-5D6E-409C-BE32-E72D297353CC}">
              <c16:uniqueId val="{00000000-666D-4F7D-95F2-E3A31FD4FD16}"/>
            </c:ext>
          </c:extLst>
        </c:ser>
        <c:ser>
          <c:idx val="2"/>
          <c:order val="2"/>
          <c:tx>
            <c:strRef>
              <c:f>'טבלאות תרשים 2'!$V$3:$V$4</c:f>
              <c:strCache>
                <c:ptCount val="1"/>
                <c:pt idx="0">
                  <c:v>רמת הריבית</c:v>
                </c:pt>
              </c:strCache>
            </c:strRef>
          </c:tx>
          <c:spPr>
            <a:solidFill>
              <a:srgbClr val="6C63FF"/>
            </a:solidFill>
            <a:ln>
              <a:noFill/>
            </a:ln>
            <a:effectLst/>
          </c:spPr>
          <c:invertIfNegative val="0"/>
          <c:cat>
            <c:multiLvlStrRef>
              <c:f>'טבלאות תרשים 2'!$S$5:$S$12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2'!$V$5:$V$12</c:f>
              <c:numCache>
                <c:formatCode>General</c:formatCode>
                <c:ptCount val="6"/>
                <c:pt idx="0">
                  <c:v>-26.845903585922152</c:v>
                </c:pt>
                <c:pt idx="1">
                  <c:v>-7.9728417619681089</c:v>
                </c:pt>
                <c:pt idx="2">
                  <c:v>4.1942509904916117</c:v>
                </c:pt>
                <c:pt idx="3">
                  <c:v>-14.382842026341789</c:v>
                </c:pt>
                <c:pt idx="4">
                  <c:v>0</c:v>
                </c:pt>
                <c:pt idx="5">
                  <c:v>0</c:v>
                </c:pt>
              </c:numCache>
            </c:numRef>
          </c:val>
          <c:extLst>
            <c:ext xmlns:c16="http://schemas.microsoft.com/office/drawing/2014/chart" uri="{C3380CC4-5D6E-409C-BE32-E72D297353CC}">
              <c16:uniqueId val="{00000001-666D-4F7D-95F2-E3A31FD4FD16}"/>
            </c:ext>
          </c:extLst>
        </c:ser>
        <c:ser>
          <c:idx val="3"/>
          <c:order val="3"/>
          <c:tx>
            <c:strRef>
              <c:f>'טבלאות תרשים 2'!$W$3:$W$4</c:f>
              <c:strCache>
                <c:ptCount val="1"/>
                <c:pt idx="0">
                  <c:v>שימוש בחלופות מימון</c:v>
                </c:pt>
              </c:strCache>
            </c:strRef>
          </c:tx>
          <c:spPr>
            <a:solidFill>
              <a:srgbClr val="D98D25"/>
            </a:solidFill>
            <a:ln>
              <a:noFill/>
            </a:ln>
            <a:effectLst/>
          </c:spPr>
          <c:invertIfNegative val="0"/>
          <c:cat>
            <c:multiLvlStrRef>
              <c:f>'טבלאות תרשים 2'!$S$5:$S$12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2'!$W$5:$W$12</c:f>
              <c:numCache>
                <c:formatCode>General</c:formatCode>
                <c:ptCount val="6"/>
                <c:pt idx="0">
                  <c:v>-16.097905765818176</c:v>
                </c:pt>
                <c:pt idx="1">
                  <c:v>-3.6841858183852634</c:v>
                </c:pt>
                <c:pt idx="2">
                  <c:v>-1.9631981336210735</c:v>
                </c:pt>
                <c:pt idx="3">
                  <c:v>-8.2575308782341672</c:v>
                </c:pt>
                <c:pt idx="4">
                  <c:v>0</c:v>
                </c:pt>
                <c:pt idx="5">
                  <c:v>-8.0562649689919432</c:v>
                </c:pt>
              </c:numCache>
            </c:numRef>
          </c:val>
          <c:extLst>
            <c:ext xmlns:c16="http://schemas.microsoft.com/office/drawing/2014/chart" uri="{C3380CC4-5D6E-409C-BE32-E72D297353CC}">
              <c16:uniqueId val="{00000002-666D-4F7D-95F2-E3A31FD4FD16}"/>
            </c:ext>
          </c:extLst>
        </c:ser>
        <c:ser>
          <c:idx val="4"/>
          <c:order val="4"/>
          <c:tx>
            <c:strRef>
              <c:f>'טבלאות תרשים 2'!$X$3:$X$4</c:f>
              <c:strCache>
                <c:ptCount val="1"/>
                <c:pt idx="0">
                  <c:v>מלאי והון חוזר</c:v>
                </c:pt>
              </c:strCache>
            </c:strRef>
          </c:tx>
          <c:spPr>
            <a:solidFill>
              <a:srgbClr val="D87585"/>
            </a:solidFill>
            <a:ln>
              <a:noFill/>
            </a:ln>
            <a:effectLst/>
          </c:spPr>
          <c:invertIfNegative val="0"/>
          <c:cat>
            <c:multiLvlStrRef>
              <c:f>'טבלאות תרשים 2'!$S$5:$S$12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2'!$X$5:$X$12</c:f>
              <c:numCache>
                <c:formatCode>General</c:formatCode>
                <c:ptCount val="6"/>
                <c:pt idx="0">
                  <c:v>64.945700292679348</c:v>
                </c:pt>
                <c:pt idx="1">
                  <c:v>18.859653665524561</c:v>
                </c:pt>
                <c:pt idx="2">
                  <c:v>18.708931020162581</c:v>
                </c:pt>
                <c:pt idx="3">
                  <c:v>34.283940279822879</c:v>
                </c:pt>
                <c:pt idx="4">
                  <c:v>6.5348728305261394</c:v>
                </c:pt>
                <c:pt idx="5">
                  <c:v>6.5768454627934227</c:v>
                </c:pt>
              </c:numCache>
            </c:numRef>
          </c:val>
          <c:extLst>
            <c:ext xmlns:c16="http://schemas.microsoft.com/office/drawing/2014/chart" uri="{C3380CC4-5D6E-409C-BE32-E72D297353CC}">
              <c16:uniqueId val="{00000003-666D-4F7D-95F2-E3A31FD4FD16}"/>
            </c:ext>
          </c:extLst>
        </c:ser>
        <c:dLbls>
          <c:showLegendKey val="0"/>
          <c:showVal val="0"/>
          <c:showCatName val="0"/>
          <c:showSerName val="0"/>
          <c:showPercent val="0"/>
          <c:showBubbleSize val="0"/>
        </c:dLbls>
        <c:gapWidth val="150"/>
        <c:overlap val="100"/>
        <c:axId val="935468432"/>
        <c:axId val="935465480"/>
      </c:barChart>
      <c:lineChart>
        <c:grouping val="standard"/>
        <c:varyColors val="0"/>
        <c:ser>
          <c:idx val="0"/>
          <c:order val="0"/>
          <c:tx>
            <c:strRef>
              <c:f>'טבלאות תרשים 2'!$T$3:$T$4</c:f>
              <c:strCache>
                <c:ptCount val="1"/>
                <c:pt idx="0">
                  <c:v>השינוי שחל בביקוש לאשראי</c:v>
                </c:pt>
              </c:strCache>
            </c:strRef>
          </c:tx>
          <c:spPr>
            <a:ln w="28575" cap="rnd">
              <a:solidFill>
                <a:srgbClr val="000000"/>
              </a:solidFill>
              <a:round/>
            </a:ln>
            <a:effectLst/>
          </c:spPr>
          <c:marker>
            <c:symbol val="none"/>
          </c:marker>
          <c:cat>
            <c:multiLvlStrRef>
              <c:f>'טבלאות תרשים 2'!$S$5:$S$12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2'!$T$5:$T$12</c:f>
              <c:numCache>
                <c:formatCode>General</c:formatCode>
                <c:ptCount val="6"/>
                <c:pt idx="0">
                  <c:v>29.569823856954837</c:v>
                </c:pt>
                <c:pt idx="1">
                  <c:v>56.930939943172277</c:v>
                </c:pt>
                <c:pt idx="2">
                  <c:v>8.7490614426825015</c:v>
                </c:pt>
                <c:pt idx="3">
                  <c:v>14.450496214741044</c:v>
                </c:pt>
                <c:pt idx="4">
                  <c:v>31.675195576126701</c:v>
                </c:pt>
                <c:pt idx="5">
                  <c:v>43.506506428756495</c:v>
                </c:pt>
              </c:numCache>
            </c:numRef>
          </c:val>
          <c:smooth val="0"/>
          <c:extLst>
            <c:ext xmlns:c16="http://schemas.microsoft.com/office/drawing/2014/chart" uri="{C3380CC4-5D6E-409C-BE32-E72D297353CC}">
              <c16:uniqueId val="{00000004-666D-4F7D-95F2-E3A31FD4FD16}"/>
            </c:ext>
          </c:extLst>
        </c:ser>
        <c:dLbls>
          <c:showLegendKey val="0"/>
          <c:showVal val="0"/>
          <c:showCatName val="0"/>
          <c:showSerName val="0"/>
          <c:showPercent val="0"/>
          <c:showBubbleSize val="0"/>
        </c:dLbls>
        <c:marker val="1"/>
        <c:smooth val="0"/>
        <c:axId val="935468432"/>
        <c:axId val="935465480"/>
      </c:lineChart>
      <c:catAx>
        <c:axId val="9354684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Assistant" panose="00000500000000000000" pitchFamily="2" charset="-79"/>
                <a:ea typeface="+mn-ea"/>
                <a:cs typeface="Assistant" panose="00000500000000000000" pitchFamily="2" charset="-79"/>
              </a:defRPr>
            </a:pPr>
            <a:endParaRPr lang="he-IL"/>
          </a:p>
        </c:txPr>
        <c:crossAx val="935465480"/>
        <c:crosses val="autoZero"/>
        <c:auto val="1"/>
        <c:lblAlgn val="ctr"/>
        <c:lblOffset val="100"/>
        <c:noMultiLvlLbl val="0"/>
      </c:catAx>
      <c:valAx>
        <c:axId val="935465480"/>
        <c:scaling>
          <c:orientation val="minMax"/>
          <c:max val="200"/>
          <c:min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935468432"/>
        <c:crosses val="autoZero"/>
        <c:crossBetween val="between"/>
      </c:valAx>
      <c:spPr>
        <a:noFill/>
        <a:ln>
          <a:noFill/>
        </a:ln>
        <a:effectLst/>
      </c:spPr>
    </c:plotArea>
    <c:legend>
      <c:legendPos val="b"/>
      <c:layout>
        <c:manualLayout>
          <c:xMode val="edge"/>
          <c:yMode val="edge"/>
          <c:x val="0"/>
          <c:y val="0.87536859522994404"/>
          <c:w val="0.99966509710390239"/>
          <c:h val="0.1246312947023528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אוטומטי מעודכן.xlsx]טבלאות תרשים 3!גרף 3 א</c:name>
    <c:fmtId val="-1"/>
  </c:pivotSource>
  <c:chart>
    <c:title>
      <c:tx>
        <c:rich>
          <a:bodyPr rot="0" spcFirstLastPara="1" vertOverflow="ellipsis" vert="horz" wrap="square" anchor="ctr" anchorCtr="1"/>
          <a:lstStyle/>
          <a:p>
            <a:pPr>
              <a:defRPr sz="1200" b="0" i="0" u="none" strike="noStrike" kern="1200" spc="0" baseline="0">
                <a:solidFill>
                  <a:sysClr val="windowText" lastClr="000000"/>
                </a:solidFill>
                <a:latin typeface="Assistant" panose="00000500000000000000" pitchFamily="2" charset="-79"/>
                <a:ea typeface="+mn-ea"/>
                <a:cs typeface="Assistant" panose="00000500000000000000" pitchFamily="2" charset="-79"/>
              </a:defRPr>
            </a:pPr>
            <a:r>
              <a:rPr lang="he-IL" sz="1200">
                <a:solidFill>
                  <a:sysClr val="windowText" lastClr="000000"/>
                </a:solidFill>
                <a:latin typeface="Assistant" panose="00000500000000000000" pitchFamily="2" charset="-79"/>
                <a:cs typeface="Assistant" panose="00000500000000000000" pitchFamily="2" charset="-79"/>
              </a:rPr>
              <a:t>א. מרווחים ברמת סיכון</a:t>
            </a:r>
            <a:r>
              <a:rPr lang="he-IL" sz="1200" baseline="0">
                <a:solidFill>
                  <a:sysClr val="windowText" lastClr="000000"/>
                </a:solidFill>
                <a:latin typeface="Assistant" panose="00000500000000000000" pitchFamily="2" charset="-79"/>
                <a:cs typeface="Assistant" panose="00000500000000000000" pitchFamily="2" charset="-79"/>
              </a:rPr>
              <a:t> לא גבוהה</a:t>
            </a:r>
            <a:endParaRPr lang="en-US" sz="1200">
              <a:solidFill>
                <a:sysClr val="windowText" lastClr="000000"/>
              </a:solidFill>
              <a:latin typeface="Assistant" panose="00000500000000000000" pitchFamily="2" charset="-79"/>
              <a:cs typeface="Assistant" panose="00000500000000000000" pitchFamily="2" charset="-79"/>
            </a:endParaRPr>
          </a:p>
        </c:rich>
      </c:tx>
      <c:layout>
        <c:manualLayout>
          <c:xMode val="edge"/>
          <c:yMode val="edge"/>
          <c:x val="0.63109459317585304"/>
          <c:y val="1.9608839217678431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Assistant" panose="00000500000000000000" pitchFamily="2" charset="-79"/>
              <a:ea typeface="+mn-ea"/>
              <a:cs typeface="Assistant" panose="00000500000000000000" pitchFamily="2" charset="-79"/>
            </a:defRPr>
          </a:pPr>
          <a:endParaRPr lang="he-IL"/>
        </a:p>
      </c:txPr>
    </c:title>
    <c:autoTitleDeleted val="0"/>
    <c:pivotFmts>
      <c:pivotFmt>
        <c:idx val="0"/>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
        <c:spPr>
          <a:solidFill>
            <a:schemeClr val="accent1"/>
          </a:solidFill>
          <a:ln w="28575" cap="rnd">
            <a:solidFill>
              <a:srgbClr val="6C63FF"/>
            </a:solidFill>
            <a:round/>
          </a:ln>
          <a:effectLst/>
        </c:spPr>
        <c:marker>
          <c:symbol val="circle"/>
          <c:size val="5"/>
          <c:spPr>
            <a:solidFill>
              <a:srgbClr val="6C63FF"/>
            </a:solidFill>
            <a:ln w="9525">
              <a:solidFill>
                <a:schemeClr val="accent3"/>
              </a:solidFill>
            </a:ln>
            <a:effectLst/>
          </c:spPr>
        </c:marker>
      </c:pivotFmt>
      <c:pivotFmt>
        <c:idx val="4"/>
        <c:spPr>
          <a:solidFill>
            <a:schemeClr val="accent1"/>
          </a:solidFill>
          <a:ln w="28575" cap="rnd">
            <a:solidFill>
              <a:srgbClr val="6C63FF"/>
            </a:solidFill>
            <a:round/>
          </a:ln>
          <a:effectLst/>
        </c:spPr>
        <c:marker>
          <c:symbol val="circle"/>
          <c:size val="5"/>
          <c:spPr>
            <a:solidFill>
              <a:srgbClr val="6C63FF"/>
            </a:solidFill>
            <a:ln w="9525">
              <a:solidFill>
                <a:schemeClr val="accent1"/>
              </a:solidFill>
            </a:ln>
            <a:effectLst/>
          </c:spPr>
        </c:marker>
      </c:pivotFmt>
      <c:pivotFmt>
        <c:idx val="5"/>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6"/>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3"/>
        <c:spPr>
          <a:solidFill>
            <a:schemeClr val="accent1"/>
          </a:solidFill>
          <a:ln w="28575" cap="rnd">
            <a:solidFill>
              <a:srgbClr val="6C63FF"/>
            </a:solidFill>
            <a:round/>
          </a:ln>
          <a:effectLst/>
        </c:spPr>
        <c:marker>
          <c:symbol val="circle"/>
          <c:size val="5"/>
          <c:spPr>
            <a:solidFill>
              <a:srgbClr val="6C63FF"/>
            </a:solidFill>
            <a:ln w="9525">
              <a:solidFill>
                <a:schemeClr val="accent3"/>
              </a:solidFill>
            </a:ln>
            <a:effectLst/>
          </c:spPr>
        </c:marker>
      </c:pivotFmt>
      <c:pivotFmt>
        <c:idx val="14"/>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15"/>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18"/>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0"/>
        <c:spPr>
          <a:solidFill>
            <a:schemeClr val="accent1"/>
          </a:solidFill>
          <a:ln w="28575" cap="rnd">
            <a:solidFill>
              <a:srgbClr val="6C63FF"/>
            </a:solidFill>
            <a:round/>
          </a:ln>
          <a:effectLst/>
        </c:spPr>
        <c:marker>
          <c:symbol val="circle"/>
          <c:size val="5"/>
          <c:spPr>
            <a:solidFill>
              <a:srgbClr val="6C63FF"/>
            </a:solidFill>
            <a:ln w="9525">
              <a:solidFill>
                <a:schemeClr val="accent3"/>
              </a:solidFill>
            </a:ln>
            <a:effectLst/>
          </c:spPr>
        </c:marker>
      </c:pivotFmt>
      <c:pivotFmt>
        <c:idx val="21"/>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22"/>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s>
    <c:plotArea>
      <c:layout>
        <c:manualLayout>
          <c:layoutTarget val="inner"/>
          <c:xMode val="edge"/>
          <c:yMode val="edge"/>
          <c:x val="8.1872335958005249E-2"/>
          <c:y val="0.10431276598899712"/>
          <c:w val="0.85948010498687677"/>
          <c:h val="0.56705280484007292"/>
        </c:manualLayout>
      </c:layout>
      <c:lineChart>
        <c:grouping val="standard"/>
        <c:varyColors val="0"/>
        <c:ser>
          <c:idx val="0"/>
          <c:order val="0"/>
          <c:tx>
            <c:strRef>
              <c:f>'טבלאות תרשים 3'!$B$3:$B$4</c:f>
              <c:strCache>
                <c:ptCount val="1"/>
                <c:pt idx="0">
                  <c:v>בינוי</c:v>
                </c:pt>
              </c:strCache>
            </c:strRef>
          </c:tx>
          <c:spPr>
            <a:ln w="28575" cap="rnd">
              <a:solidFill>
                <a:srgbClr val="D87585"/>
              </a:solidFill>
              <a:round/>
            </a:ln>
            <a:effectLst/>
          </c:spPr>
          <c:marker>
            <c:symbol val="circle"/>
            <c:size val="5"/>
            <c:spPr>
              <a:solidFill>
                <a:srgbClr val="D87585"/>
              </a:solidFill>
              <a:ln w="9525">
                <a:solidFill>
                  <a:srgbClr val="D87585"/>
                </a:solidFill>
              </a:ln>
              <a:effectLst/>
            </c:spPr>
          </c:marker>
          <c:cat>
            <c:multiLvlStrRef>
              <c:f>'טבלאות תרשים 3'!$A$5:$A$12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3'!$B$5:$B$12</c:f>
              <c:numCache>
                <c:formatCode>General</c:formatCode>
                <c:ptCount val="6"/>
                <c:pt idx="0">
                  <c:v>-66.090939345601726</c:v>
                </c:pt>
                <c:pt idx="1">
                  <c:v>-79.580551563</c:v>
                </c:pt>
                <c:pt idx="2">
                  <c:v>-94.450527062516642</c:v>
                </c:pt>
                <c:pt idx="3">
                  <c:v>-78.647516114293239</c:v>
                </c:pt>
                <c:pt idx="4">
                  <c:v>-43.78019288336268</c:v>
                </c:pt>
                <c:pt idx="5">
                  <c:v>-41.765474357874702</c:v>
                </c:pt>
              </c:numCache>
            </c:numRef>
          </c:val>
          <c:smooth val="0"/>
          <c:extLst>
            <c:ext xmlns:c16="http://schemas.microsoft.com/office/drawing/2014/chart" uri="{C3380CC4-5D6E-409C-BE32-E72D297353CC}">
              <c16:uniqueId val="{00000000-6782-42FA-B884-D14AA4338A05}"/>
            </c:ext>
          </c:extLst>
        </c:ser>
        <c:ser>
          <c:idx val="1"/>
          <c:order val="1"/>
          <c:tx>
            <c:strRef>
              <c:f>'טבלאות תרשים 3'!$C$3:$C$4</c:f>
              <c:strCache>
                <c:ptCount val="1"/>
                <c:pt idx="0">
                  <c:v>דיור</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'טבלאות תרשים 3'!$A$5:$A$12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3'!$C$5:$C$12</c:f>
              <c:numCache>
                <c:formatCode>General</c:formatCode>
                <c:ptCount val="6"/>
                <c:pt idx="0">
                  <c:v>-58.796929473517594</c:v>
                </c:pt>
                <c:pt idx="1">
                  <c:v>-63.531385119572938</c:v>
                </c:pt>
                <c:pt idx="2">
                  <c:v>4.8901452272706587</c:v>
                </c:pt>
                <c:pt idx="3">
                  <c:v>-7.715854731707716</c:v>
                </c:pt>
                <c:pt idx="4">
                  <c:v>43.354522974056643</c:v>
                </c:pt>
                <c:pt idx="5">
                  <c:v>20.758312942283034</c:v>
                </c:pt>
              </c:numCache>
            </c:numRef>
          </c:val>
          <c:smooth val="0"/>
          <c:extLst>
            <c:ext xmlns:c16="http://schemas.microsoft.com/office/drawing/2014/chart" uri="{C3380CC4-5D6E-409C-BE32-E72D297353CC}">
              <c16:uniqueId val="{00000001-6782-42FA-B884-D14AA4338A05}"/>
            </c:ext>
          </c:extLst>
        </c:ser>
        <c:ser>
          <c:idx val="2"/>
          <c:order val="2"/>
          <c:tx>
            <c:strRef>
              <c:f>'טבלאות תרשים 3'!$D$3:$D$4</c:f>
              <c:strCache>
                <c:ptCount val="1"/>
                <c:pt idx="0">
                  <c:v>נדל"ן</c:v>
                </c:pt>
              </c:strCache>
            </c:strRef>
          </c:tx>
          <c:spPr>
            <a:ln w="28575" cap="rnd">
              <a:solidFill>
                <a:srgbClr val="6C63FF"/>
              </a:solidFill>
              <a:round/>
            </a:ln>
            <a:effectLst/>
          </c:spPr>
          <c:marker>
            <c:symbol val="circle"/>
            <c:size val="5"/>
            <c:spPr>
              <a:solidFill>
                <a:srgbClr val="6C63FF"/>
              </a:solidFill>
              <a:ln w="9525">
                <a:solidFill>
                  <a:schemeClr val="accent3"/>
                </a:solidFill>
              </a:ln>
              <a:effectLst/>
            </c:spPr>
          </c:marker>
          <c:cat>
            <c:multiLvlStrRef>
              <c:f>'טבלאות תרשים 3'!$A$5:$A$12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3'!$D$5:$D$12</c:f>
              <c:numCache>
                <c:formatCode>General</c:formatCode>
                <c:ptCount val="6"/>
                <c:pt idx="0">
                  <c:v>-91.242610371264973</c:v>
                </c:pt>
                <c:pt idx="1">
                  <c:v>-79.838715352179833</c:v>
                </c:pt>
                <c:pt idx="2">
                  <c:v>-93.983683746187964</c:v>
                </c:pt>
                <c:pt idx="3">
                  <c:v>-85.744179676257232</c:v>
                </c:pt>
                <c:pt idx="4">
                  <c:v>-45.2001184380712</c:v>
                </c:pt>
                <c:pt idx="5">
                  <c:v>-44.979466643434939</c:v>
                </c:pt>
              </c:numCache>
            </c:numRef>
          </c:val>
          <c:smooth val="0"/>
          <c:extLst>
            <c:ext xmlns:c16="http://schemas.microsoft.com/office/drawing/2014/chart" uri="{C3380CC4-5D6E-409C-BE32-E72D297353CC}">
              <c16:uniqueId val="{00000002-6782-42FA-B884-D14AA4338A05}"/>
            </c:ext>
          </c:extLst>
        </c:ser>
        <c:ser>
          <c:idx val="3"/>
          <c:order val="3"/>
          <c:tx>
            <c:strRef>
              <c:f>'טבלאות תרשים 3'!$E$3:$E$4</c:f>
              <c:strCache>
                <c:ptCount val="1"/>
                <c:pt idx="0">
                  <c:v>עסקים בינוניים</c:v>
                </c:pt>
              </c:strCache>
            </c:strRef>
          </c:tx>
          <c:spPr>
            <a:ln w="28575" cap="rnd">
              <a:solidFill>
                <a:srgbClr val="D98D25"/>
              </a:solidFill>
              <a:round/>
            </a:ln>
            <a:effectLst/>
          </c:spPr>
          <c:marker>
            <c:symbol val="circle"/>
            <c:size val="5"/>
            <c:spPr>
              <a:solidFill>
                <a:srgbClr val="D98D25"/>
              </a:solidFill>
              <a:ln w="9525">
                <a:solidFill>
                  <a:srgbClr val="D98D25"/>
                </a:solidFill>
              </a:ln>
              <a:effectLst/>
            </c:spPr>
          </c:marker>
          <c:cat>
            <c:multiLvlStrRef>
              <c:f>'טבלאות תרשים 3'!$A$5:$A$12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3'!$E$5:$E$12</c:f>
              <c:numCache>
                <c:formatCode>General</c:formatCode>
                <c:ptCount val="6"/>
                <c:pt idx="0">
                  <c:v>-67.060992417932937</c:v>
                </c:pt>
                <c:pt idx="1">
                  <c:v>-73.533776930326468</c:v>
                </c:pt>
                <c:pt idx="2">
                  <c:v>-44.693977485946938</c:v>
                </c:pt>
                <c:pt idx="3">
                  <c:v>-94.407862908888816</c:v>
                </c:pt>
                <c:pt idx="4">
                  <c:v>-56.880553362244953</c:v>
                </c:pt>
                <c:pt idx="5">
                  <c:v>-57.625351631669496</c:v>
                </c:pt>
              </c:numCache>
            </c:numRef>
          </c:val>
          <c:smooth val="0"/>
          <c:extLst>
            <c:ext xmlns:c16="http://schemas.microsoft.com/office/drawing/2014/chart" uri="{C3380CC4-5D6E-409C-BE32-E72D297353CC}">
              <c16:uniqueId val="{00000003-6782-42FA-B884-D14AA4338A05}"/>
            </c:ext>
          </c:extLst>
        </c:ser>
        <c:ser>
          <c:idx val="4"/>
          <c:order val="4"/>
          <c:tx>
            <c:strRef>
              <c:f>'טבלאות תרשים 3'!$F$3:$F$4</c:f>
              <c:strCache>
                <c:ptCount val="1"/>
                <c:pt idx="0">
                  <c:v>עסקים גדולים</c:v>
                </c:pt>
              </c:strCache>
            </c:strRef>
          </c:tx>
          <c:spPr>
            <a:ln w="28575" cap="rnd">
              <a:solidFill>
                <a:srgbClr val="008DA3"/>
              </a:solidFill>
              <a:round/>
            </a:ln>
            <a:effectLst/>
          </c:spPr>
          <c:marker>
            <c:symbol val="circle"/>
            <c:size val="5"/>
            <c:spPr>
              <a:solidFill>
                <a:srgbClr val="008DA3"/>
              </a:solidFill>
              <a:ln w="9525">
                <a:solidFill>
                  <a:srgbClr val="008DA3"/>
                </a:solidFill>
              </a:ln>
              <a:effectLst/>
            </c:spPr>
          </c:marker>
          <c:cat>
            <c:multiLvlStrRef>
              <c:f>'טבלאות תרשים 3'!$A$5:$A$12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3'!$F$5:$F$12</c:f>
              <c:numCache>
                <c:formatCode>General</c:formatCode>
                <c:ptCount val="6"/>
                <c:pt idx="0">
                  <c:v>-81.333262546244001</c:v>
                </c:pt>
                <c:pt idx="1">
                  <c:v>-81.278122288756165</c:v>
                </c:pt>
                <c:pt idx="2">
                  <c:v>-82.366098035252904</c:v>
                </c:pt>
                <c:pt idx="3">
                  <c:v>-90.923836095154613</c:v>
                </c:pt>
                <c:pt idx="4">
                  <c:v>-46.395600701482437</c:v>
                </c:pt>
                <c:pt idx="5">
                  <c:v>-44.622633559044623</c:v>
                </c:pt>
              </c:numCache>
            </c:numRef>
          </c:val>
          <c:smooth val="0"/>
          <c:extLst>
            <c:ext xmlns:c16="http://schemas.microsoft.com/office/drawing/2014/chart" uri="{C3380CC4-5D6E-409C-BE32-E72D297353CC}">
              <c16:uniqueId val="{00000004-6782-42FA-B884-D14AA4338A05}"/>
            </c:ext>
          </c:extLst>
        </c:ser>
        <c:ser>
          <c:idx val="5"/>
          <c:order val="5"/>
          <c:tx>
            <c:strRef>
              <c:f>'טבלאות תרשים 3'!$G$3:$G$4</c:f>
              <c:strCache>
                <c:ptCount val="1"/>
                <c:pt idx="0">
                  <c:v>עסקים קטנים וזעירים</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'טבלאות תרשים 3'!$A$5:$A$12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3'!$G$5:$G$12</c:f>
              <c:numCache>
                <c:formatCode>General</c:formatCode>
                <c:ptCount val="6"/>
                <c:pt idx="0">
                  <c:v>-76.969999666023639</c:v>
                </c:pt>
                <c:pt idx="1">
                  <c:v>-59.69195148536123</c:v>
                </c:pt>
                <c:pt idx="2">
                  <c:v>-34.28655054213143</c:v>
                </c:pt>
                <c:pt idx="3">
                  <c:v>-75.1175800023737</c:v>
                </c:pt>
                <c:pt idx="4">
                  <c:v>25.14032274560056</c:v>
                </c:pt>
                <c:pt idx="5">
                  <c:v>-11.281446552788719</c:v>
                </c:pt>
              </c:numCache>
            </c:numRef>
          </c:val>
          <c:smooth val="0"/>
          <c:extLst>
            <c:ext xmlns:c16="http://schemas.microsoft.com/office/drawing/2014/chart" uri="{C3380CC4-5D6E-409C-BE32-E72D297353CC}">
              <c16:uniqueId val="{00000005-6782-42FA-B884-D14AA4338A05}"/>
            </c:ext>
          </c:extLst>
        </c:ser>
        <c:ser>
          <c:idx val="6"/>
          <c:order val="6"/>
          <c:tx>
            <c:strRef>
              <c:f>'טבלאות תרשים 3'!$H$3:$H$4</c:f>
              <c:strCache>
                <c:ptCount val="1"/>
                <c:pt idx="0">
                  <c:v>צרכני</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'טבלאות תרשים 3'!$A$5:$A$12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3'!$H$5:$H$12</c:f>
              <c:numCache>
                <c:formatCode>General</c:formatCode>
                <c:ptCount val="6"/>
                <c:pt idx="0">
                  <c:v>-66.581487750299743</c:v>
                </c:pt>
                <c:pt idx="1">
                  <c:v>-58.388926487116777</c:v>
                </c:pt>
                <c:pt idx="2">
                  <c:v>-35.375446285729247</c:v>
                </c:pt>
                <c:pt idx="3">
                  <c:v>-25.139798099224581</c:v>
                </c:pt>
                <c:pt idx="4">
                  <c:v>-34.252416531197241</c:v>
                </c:pt>
                <c:pt idx="5">
                  <c:v>-11.768582368058842</c:v>
                </c:pt>
              </c:numCache>
            </c:numRef>
          </c:val>
          <c:smooth val="0"/>
          <c:extLst>
            <c:ext xmlns:c16="http://schemas.microsoft.com/office/drawing/2014/chart" uri="{C3380CC4-5D6E-409C-BE32-E72D297353CC}">
              <c16:uniqueId val="{00000006-6782-42FA-B884-D14AA4338A05}"/>
            </c:ext>
          </c:extLst>
        </c:ser>
        <c:dLbls>
          <c:showLegendKey val="0"/>
          <c:showVal val="0"/>
          <c:showCatName val="0"/>
          <c:showSerName val="0"/>
          <c:showPercent val="0"/>
          <c:showBubbleSize val="0"/>
        </c:dLbls>
        <c:marker val="1"/>
        <c:smooth val="0"/>
        <c:axId val="935424480"/>
        <c:axId val="935421528"/>
        <c:extLst/>
      </c:lineChart>
      <c:catAx>
        <c:axId val="9354244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935421528"/>
        <c:crosses val="autoZero"/>
        <c:auto val="1"/>
        <c:lblAlgn val="ctr"/>
        <c:lblOffset val="100"/>
        <c:noMultiLvlLbl val="0"/>
      </c:catAx>
      <c:valAx>
        <c:axId val="935421528"/>
        <c:scaling>
          <c:orientation val="minMax"/>
          <c:max val="100"/>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935424480"/>
        <c:crosses val="autoZero"/>
        <c:crossBetween val="between"/>
      </c:valAx>
      <c:spPr>
        <a:noFill/>
        <a:ln>
          <a:noFill/>
        </a:ln>
        <a:effectLst/>
      </c:spPr>
    </c:plotArea>
    <c:legend>
      <c:legendPos val="b"/>
      <c:layout>
        <c:manualLayout>
          <c:xMode val="edge"/>
          <c:yMode val="edge"/>
          <c:x val="5.450708661417324E-3"/>
          <c:y val="0.84199949582573363"/>
          <c:w val="0.99454929133858272"/>
          <c:h val="0.1580005041742663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אוטומטי מעודכן.xlsx]טבלאות תרשים 3!גרף 3 ב</c:name>
    <c:fmtId val="-1"/>
  </c:pivotSource>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he-IL" sz="1200">
                <a:solidFill>
                  <a:sysClr val="windowText" lastClr="000000"/>
                </a:solidFill>
                <a:latin typeface="Assistant" panose="00000500000000000000" pitchFamily="2" charset="-79"/>
                <a:cs typeface="Assistant" panose="00000500000000000000" pitchFamily="2" charset="-79"/>
              </a:rPr>
              <a:t>ב. מרווחים ברמת סיכון גבוהה</a:t>
            </a:r>
            <a:endParaRPr lang="en-US" sz="1200">
              <a:solidFill>
                <a:sysClr val="windowText" lastClr="000000"/>
              </a:solidFill>
              <a:latin typeface="Assistant" panose="00000500000000000000" pitchFamily="2" charset="-79"/>
              <a:cs typeface="Assistant" panose="00000500000000000000" pitchFamily="2" charset="-79"/>
            </a:endParaRPr>
          </a:p>
        </c:rich>
      </c:tx>
      <c:layout>
        <c:manualLayout>
          <c:xMode val="edge"/>
          <c:yMode val="edge"/>
          <c:x val="0.62937270877950069"/>
          <c:y val="3.291120867956022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he-IL"/>
        </a:p>
      </c:txPr>
    </c:title>
    <c:autoTitleDeleted val="0"/>
    <c:pivotFmts>
      <c:pivotFmt>
        <c:idx val="0"/>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3"/>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4"/>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5"/>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2"/>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13"/>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14"/>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
        <c:idx val="17"/>
        <c:spPr>
          <a:solidFill>
            <a:schemeClr val="accent1"/>
          </a:solidFill>
          <a:ln w="28575" cap="rnd">
            <a:solidFill>
              <a:srgbClr val="D87585"/>
            </a:solidFill>
            <a:round/>
          </a:ln>
          <a:effectLst/>
        </c:spPr>
        <c:marker>
          <c:symbol val="circle"/>
          <c:size val="5"/>
          <c:spPr>
            <a:solidFill>
              <a:srgbClr val="D87585"/>
            </a:solidFill>
            <a:ln w="9525">
              <a:solidFill>
                <a:srgbClr val="D87585"/>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rgbClr val="6C63FF"/>
            </a:solidFill>
            <a:round/>
          </a:ln>
          <a:effectLst/>
        </c:spPr>
        <c:marker>
          <c:symbol val="circle"/>
          <c:size val="5"/>
          <c:spPr>
            <a:solidFill>
              <a:srgbClr val="6C63FF"/>
            </a:solidFill>
            <a:ln w="9525">
              <a:solidFill>
                <a:srgbClr val="6C63FF"/>
              </a:solidFill>
            </a:ln>
            <a:effectLst/>
          </c:spPr>
        </c:marker>
      </c:pivotFmt>
      <c:pivotFmt>
        <c:idx val="20"/>
        <c:spPr>
          <a:solidFill>
            <a:schemeClr val="accent1"/>
          </a:solidFill>
          <a:ln w="28575" cap="rnd">
            <a:solidFill>
              <a:srgbClr val="D98D25"/>
            </a:solidFill>
            <a:round/>
          </a:ln>
          <a:effectLst/>
        </c:spPr>
        <c:marker>
          <c:symbol val="circle"/>
          <c:size val="5"/>
          <c:spPr>
            <a:solidFill>
              <a:srgbClr val="D98D25"/>
            </a:solidFill>
            <a:ln w="9525">
              <a:solidFill>
                <a:srgbClr val="D98D25"/>
              </a:solidFill>
            </a:ln>
            <a:effectLst/>
          </c:spPr>
        </c:marker>
      </c:pivotFmt>
      <c:pivotFmt>
        <c:idx val="21"/>
        <c:spPr>
          <a:solidFill>
            <a:schemeClr val="accent1"/>
          </a:solidFill>
          <a:ln w="28575" cap="rnd">
            <a:solidFill>
              <a:srgbClr val="008DA3"/>
            </a:solidFill>
            <a:round/>
          </a:ln>
          <a:effectLst/>
        </c:spPr>
        <c:marker>
          <c:symbol val="circle"/>
          <c:size val="5"/>
          <c:spPr>
            <a:solidFill>
              <a:srgbClr val="008DA3"/>
            </a:solidFill>
            <a:ln w="9525">
              <a:solidFill>
                <a:srgbClr val="008DA3"/>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pivotFmt>
    </c:pivotFmts>
    <c:plotArea>
      <c:layout>
        <c:manualLayout>
          <c:layoutTarget val="inner"/>
          <c:xMode val="edge"/>
          <c:yMode val="edge"/>
          <c:x val="7.6521515707885249E-2"/>
          <c:y val="0.10431276598899712"/>
          <c:w val="0.84580482504268883"/>
          <c:h val="0.58965167489657011"/>
        </c:manualLayout>
      </c:layout>
      <c:lineChart>
        <c:grouping val="standard"/>
        <c:varyColors val="0"/>
        <c:ser>
          <c:idx val="0"/>
          <c:order val="0"/>
          <c:tx>
            <c:strRef>
              <c:f>'טבלאות תרשים 3'!$L$3:$L$4</c:f>
              <c:strCache>
                <c:ptCount val="1"/>
                <c:pt idx="0">
                  <c:v>בינוי</c:v>
                </c:pt>
              </c:strCache>
            </c:strRef>
          </c:tx>
          <c:spPr>
            <a:ln w="28575" cap="rnd">
              <a:solidFill>
                <a:srgbClr val="D87585"/>
              </a:solidFill>
              <a:round/>
            </a:ln>
            <a:effectLst/>
          </c:spPr>
          <c:marker>
            <c:symbol val="circle"/>
            <c:size val="5"/>
            <c:spPr>
              <a:solidFill>
                <a:srgbClr val="D87585"/>
              </a:solidFill>
              <a:ln w="9525">
                <a:solidFill>
                  <a:srgbClr val="D87585"/>
                </a:solidFill>
              </a:ln>
              <a:effectLst/>
            </c:spPr>
          </c:marker>
          <c:cat>
            <c:multiLvlStrRef>
              <c:f>'טבלאות תרשים 3'!$K$5:$K$12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3'!$L$5:$L$12</c:f>
              <c:numCache>
                <c:formatCode>General</c:formatCode>
                <c:ptCount val="6"/>
                <c:pt idx="0">
                  <c:v>2.184679518793446</c:v>
                </c:pt>
                <c:pt idx="1">
                  <c:v>0</c:v>
                </c:pt>
                <c:pt idx="2">
                  <c:v>0</c:v>
                </c:pt>
                <c:pt idx="3">
                  <c:v>0</c:v>
                </c:pt>
                <c:pt idx="4">
                  <c:v>0</c:v>
                </c:pt>
                <c:pt idx="5">
                  <c:v>-12.837426259961488</c:v>
                </c:pt>
              </c:numCache>
            </c:numRef>
          </c:val>
          <c:smooth val="0"/>
          <c:extLst>
            <c:ext xmlns:c16="http://schemas.microsoft.com/office/drawing/2014/chart" uri="{C3380CC4-5D6E-409C-BE32-E72D297353CC}">
              <c16:uniqueId val="{00000000-69DD-46E8-811E-C6213574AD57}"/>
            </c:ext>
          </c:extLst>
        </c:ser>
        <c:ser>
          <c:idx val="1"/>
          <c:order val="1"/>
          <c:tx>
            <c:strRef>
              <c:f>'טבלאות תרשים 3'!$M$3:$M$4</c:f>
              <c:strCache>
                <c:ptCount val="1"/>
                <c:pt idx="0">
                  <c:v>דיור</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'טבלאות תרשים 3'!$K$5:$K$12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3'!$M$5:$M$12</c:f>
              <c:numCache>
                <c:formatCode>General</c:formatCode>
                <c:ptCount val="6"/>
                <c:pt idx="0">
                  <c:v>13.1497960314263</c:v>
                </c:pt>
                <c:pt idx="1">
                  <c:v>21.27471974885745</c:v>
                </c:pt>
                <c:pt idx="2">
                  <c:v>40.095033866059431</c:v>
                </c:pt>
                <c:pt idx="3">
                  <c:v>14.838501792314839</c:v>
                </c:pt>
                <c:pt idx="4">
                  <c:v>20.803049915079196</c:v>
                </c:pt>
                <c:pt idx="5">
                  <c:v>0</c:v>
                </c:pt>
              </c:numCache>
            </c:numRef>
          </c:val>
          <c:smooth val="0"/>
          <c:extLst>
            <c:ext xmlns:c16="http://schemas.microsoft.com/office/drawing/2014/chart" uri="{C3380CC4-5D6E-409C-BE32-E72D297353CC}">
              <c16:uniqueId val="{00000001-69DD-46E8-811E-C6213574AD57}"/>
            </c:ext>
          </c:extLst>
        </c:ser>
        <c:ser>
          <c:idx val="2"/>
          <c:order val="2"/>
          <c:tx>
            <c:strRef>
              <c:f>'טבלאות תרשים 3'!$N$3:$N$4</c:f>
              <c:strCache>
                <c:ptCount val="1"/>
                <c:pt idx="0">
                  <c:v>נדל"ן</c:v>
                </c:pt>
              </c:strCache>
            </c:strRef>
          </c:tx>
          <c:spPr>
            <a:ln w="28575" cap="rnd">
              <a:solidFill>
                <a:srgbClr val="6C63FF"/>
              </a:solidFill>
              <a:round/>
            </a:ln>
            <a:effectLst/>
          </c:spPr>
          <c:marker>
            <c:symbol val="circle"/>
            <c:size val="5"/>
            <c:spPr>
              <a:solidFill>
                <a:srgbClr val="6C63FF"/>
              </a:solidFill>
              <a:ln w="9525">
                <a:solidFill>
                  <a:srgbClr val="6C63FF"/>
                </a:solidFill>
              </a:ln>
              <a:effectLst/>
            </c:spPr>
          </c:marker>
          <c:cat>
            <c:multiLvlStrRef>
              <c:f>'טבלאות תרשים 3'!$K$5:$K$12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3'!$N$5:$N$12</c:f>
              <c:numCache>
                <c:formatCode>General</c:formatCode>
                <c:ptCount val="6"/>
                <c:pt idx="0">
                  <c:v>0</c:v>
                </c:pt>
                <c:pt idx="1">
                  <c:v>0</c:v>
                </c:pt>
                <c:pt idx="2">
                  <c:v>0</c:v>
                </c:pt>
                <c:pt idx="3">
                  <c:v>0</c:v>
                </c:pt>
                <c:pt idx="4">
                  <c:v>0</c:v>
                </c:pt>
                <c:pt idx="5">
                  <c:v>0</c:v>
                </c:pt>
              </c:numCache>
            </c:numRef>
          </c:val>
          <c:smooth val="0"/>
          <c:extLst>
            <c:ext xmlns:c16="http://schemas.microsoft.com/office/drawing/2014/chart" uri="{C3380CC4-5D6E-409C-BE32-E72D297353CC}">
              <c16:uniqueId val="{00000002-69DD-46E8-811E-C6213574AD57}"/>
            </c:ext>
          </c:extLst>
        </c:ser>
        <c:ser>
          <c:idx val="3"/>
          <c:order val="3"/>
          <c:tx>
            <c:strRef>
              <c:f>'טבלאות תרשים 3'!$O$3:$O$4</c:f>
              <c:strCache>
                <c:ptCount val="1"/>
                <c:pt idx="0">
                  <c:v>עסקים בינוניים</c:v>
                </c:pt>
              </c:strCache>
            </c:strRef>
          </c:tx>
          <c:spPr>
            <a:ln w="28575" cap="rnd">
              <a:solidFill>
                <a:srgbClr val="D98D25"/>
              </a:solidFill>
              <a:round/>
            </a:ln>
            <a:effectLst/>
          </c:spPr>
          <c:marker>
            <c:symbol val="circle"/>
            <c:size val="5"/>
            <c:spPr>
              <a:solidFill>
                <a:srgbClr val="D98D25"/>
              </a:solidFill>
              <a:ln w="9525">
                <a:solidFill>
                  <a:srgbClr val="D98D25"/>
                </a:solidFill>
              </a:ln>
              <a:effectLst/>
            </c:spPr>
          </c:marker>
          <c:cat>
            <c:multiLvlStrRef>
              <c:f>'טבלאות תרשים 3'!$K$5:$K$12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3'!$O$5:$O$12</c:f>
              <c:numCache>
                <c:formatCode>General</c:formatCode>
                <c:ptCount val="6"/>
                <c:pt idx="0">
                  <c:v>49.84993038145015</c:v>
                </c:pt>
                <c:pt idx="1">
                  <c:v>43.145480247956854</c:v>
                </c:pt>
                <c:pt idx="2">
                  <c:v>0</c:v>
                </c:pt>
                <c:pt idx="3">
                  <c:v>0</c:v>
                </c:pt>
                <c:pt idx="4">
                  <c:v>0</c:v>
                </c:pt>
                <c:pt idx="5">
                  <c:v>0</c:v>
                </c:pt>
              </c:numCache>
            </c:numRef>
          </c:val>
          <c:smooth val="0"/>
          <c:extLst>
            <c:ext xmlns:c16="http://schemas.microsoft.com/office/drawing/2014/chart" uri="{C3380CC4-5D6E-409C-BE32-E72D297353CC}">
              <c16:uniqueId val="{00000003-69DD-46E8-811E-C6213574AD57}"/>
            </c:ext>
          </c:extLst>
        </c:ser>
        <c:ser>
          <c:idx val="4"/>
          <c:order val="4"/>
          <c:tx>
            <c:strRef>
              <c:f>'טבלאות תרשים 3'!$P$3:$P$4</c:f>
              <c:strCache>
                <c:ptCount val="1"/>
                <c:pt idx="0">
                  <c:v>עסקים גדולים</c:v>
                </c:pt>
              </c:strCache>
            </c:strRef>
          </c:tx>
          <c:spPr>
            <a:ln w="28575" cap="rnd">
              <a:solidFill>
                <a:srgbClr val="008DA3"/>
              </a:solidFill>
              <a:round/>
            </a:ln>
            <a:effectLst/>
          </c:spPr>
          <c:marker>
            <c:symbol val="circle"/>
            <c:size val="5"/>
            <c:spPr>
              <a:solidFill>
                <a:srgbClr val="008DA3"/>
              </a:solidFill>
              <a:ln w="9525">
                <a:solidFill>
                  <a:srgbClr val="008DA3"/>
                </a:solidFill>
              </a:ln>
              <a:effectLst/>
            </c:spPr>
          </c:marker>
          <c:cat>
            <c:multiLvlStrRef>
              <c:f>'טבלאות תרשים 3'!$K$5:$K$12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3'!$P$5:$P$12</c:f>
              <c:numCache>
                <c:formatCode>General</c:formatCode>
                <c:ptCount val="6"/>
                <c:pt idx="0">
                  <c:v>10.375200383531126</c:v>
                </c:pt>
                <c:pt idx="1">
                  <c:v>8.9104081618732689</c:v>
                </c:pt>
                <c:pt idx="2">
                  <c:v>-15.425582625953723</c:v>
                </c:pt>
                <c:pt idx="3">
                  <c:v>1.4845305248074228</c:v>
                </c:pt>
                <c:pt idx="4">
                  <c:v>0</c:v>
                </c:pt>
                <c:pt idx="5">
                  <c:v>0</c:v>
                </c:pt>
              </c:numCache>
            </c:numRef>
          </c:val>
          <c:smooth val="0"/>
          <c:extLst>
            <c:ext xmlns:c16="http://schemas.microsoft.com/office/drawing/2014/chart" uri="{C3380CC4-5D6E-409C-BE32-E72D297353CC}">
              <c16:uniqueId val="{00000004-69DD-46E8-811E-C6213574AD57}"/>
            </c:ext>
          </c:extLst>
        </c:ser>
        <c:ser>
          <c:idx val="5"/>
          <c:order val="5"/>
          <c:tx>
            <c:strRef>
              <c:f>'טבלאות תרשים 3'!$Q$3:$Q$4</c:f>
              <c:strCache>
                <c:ptCount val="1"/>
                <c:pt idx="0">
                  <c:v>עסקים קטנים וזעירים</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multiLvlStrRef>
              <c:f>'טבלאות תרשים 3'!$K$5:$K$12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3'!$Q$5:$Q$12</c:f>
              <c:numCache>
                <c:formatCode>General</c:formatCode>
                <c:ptCount val="6"/>
                <c:pt idx="0">
                  <c:v>-23.958981049387507</c:v>
                </c:pt>
                <c:pt idx="1">
                  <c:v>-25.501608870897993</c:v>
                </c:pt>
                <c:pt idx="2">
                  <c:v>0</c:v>
                </c:pt>
                <c:pt idx="3">
                  <c:v>18.647281486594881</c:v>
                </c:pt>
                <c:pt idx="4">
                  <c:v>31.675195576126701</c:v>
                </c:pt>
                <c:pt idx="5">
                  <c:v>32.225059875967773</c:v>
                </c:pt>
              </c:numCache>
            </c:numRef>
          </c:val>
          <c:smooth val="0"/>
          <c:extLst>
            <c:ext xmlns:c16="http://schemas.microsoft.com/office/drawing/2014/chart" uri="{C3380CC4-5D6E-409C-BE32-E72D297353CC}">
              <c16:uniqueId val="{00000005-69DD-46E8-811E-C6213574AD57}"/>
            </c:ext>
          </c:extLst>
        </c:ser>
        <c:ser>
          <c:idx val="6"/>
          <c:order val="6"/>
          <c:tx>
            <c:strRef>
              <c:f>'טבלאות תרשים 3'!$R$3:$R$4</c:f>
              <c:strCache>
                <c:ptCount val="1"/>
                <c:pt idx="0">
                  <c:v>צרכני</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multiLvlStrRef>
              <c:f>'טבלאות תרשים 3'!$K$5:$K$12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3'!$R$5:$R$12</c:f>
              <c:numCache>
                <c:formatCode>General</c:formatCode>
                <c:ptCount val="6"/>
                <c:pt idx="0">
                  <c:v>-13.927856785941783</c:v>
                </c:pt>
                <c:pt idx="1">
                  <c:v>-17.22493632453445</c:v>
                </c:pt>
                <c:pt idx="2">
                  <c:v>-8.3245190163833502</c:v>
                </c:pt>
                <c:pt idx="3">
                  <c:v>-12.140218356263579</c:v>
                </c:pt>
                <c:pt idx="4">
                  <c:v>-8.1520906022755444</c:v>
                </c:pt>
                <c:pt idx="5">
                  <c:v>-7.8307229613391538</c:v>
                </c:pt>
              </c:numCache>
            </c:numRef>
          </c:val>
          <c:smooth val="0"/>
          <c:extLst>
            <c:ext xmlns:c16="http://schemas.microsoft.com/office/drawing/2014/chart" uri="{C3380CC4-5D6E-409C-BE32-E72D297353CC}">
              <c16:uniqueId val="{00000006-69DD-46E8-811E-C6213574AD57}"/>
            </c:ext>
          </c:extLst>
        </c:ser>
        <c:dLbls>
          <c:showLegendKey val="0"/>
          <c:showVal val="0"/>
          <c:showCatName val="0"/>
          <c:showSerName val="0"/>
          <c:showPercent val="0"/>
          <c:showBubbleSize val="0"/>
        </c:dLbls>
        <c:marker val="1"/>
        <c:smooth val="0"/>
        <c:axId val="935473352"/>
        <c:axId val="935472368"/>
      </c:lineChart>
      <c:catAx>
        <c:axId val="9354733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935472368"/>
        <c:crosses val="autoZero"/>
        <c:auto val="1"/>
        <c:lblAlgn val="ctr"/>
        <c:lblOffset val="100"/>
        <c:noMultiLvlLbl val="0"/>
      </c:catAx>
      <c:valAx>
        <c:axId val="935472368"/>
        <c:scaling>
          <c:orientation val="minMax"/>
          <c:max val="100"/>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935473352"/>
        <c:crosses val="autoZero"/>
        <c:crossBetween val="between"/>
      </c:valAx>
      <c:spPr>
        <a:noFill/>
        <a:ln>
          <a:noFill/>
        </a:ln>
        <a:effectLst/>
      </c:spPr>
    </c:plotArea>
    <c:legend>
      <c:legendPos val="b"/>
      <c:layout>
        <c:manualLayout>
          <c:xMode val="edge"/>
          <c:yMode val="edge"/>
          <c:x val="8.6896100012814944E-3"/>
          <c:y val="0.86083188753948126"/>
          <c:w val="0.99131032916263995"/>
          <c:h val="0.1391681124605187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אוטומטי מעודכן.xlsx]טבלאות תרשים 5!PivotTable29</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Assistant" panose="00000500000000000000" pitchFamily="2" charset="-79"/>
                <a:ea typeface="+mn-ea"/>
                <a:cs typeface="Assistant" panose="00000500000000000000" pitchFamily="2" charset="-79"/>
              </a:defRPr>
            </a:pPr>
            <a:r>
              <a:rPr lang="he-IL" sz="1400">
                <a:solidFill>
                  <a:sysClr val="windowText" lastClr="000000"/>
                </a:solidFill>
                <a:latin typeface="Assistant" panose="00000500000000000000" pitchFamily="2" charset="-79"/>
                <a:cs typeface="Assistant" panose="00000500000000000000" pitchFamily="2" charset="-79"/>
              </a:rPr>
              <a:t>א.</a:t>
            </a:r>
            <a:r>
              <a:rPr lang="he-IL" sz="1400" baseline="0">
                <a:solidFill>
                  <a:sysClr val="windowText" lastClr="000000"/>
                </a:solidFill>
                <a:latin typeface="Assistant" panose="00000500000000000000" pitchFamily="2" charset="-79"/>
                <a:cs typeface="Assistant" panose="00000500000000000000" pitchFamily="2" charset="-79"/>
              </a:rPr>
              <a:t> אשראי לעסקים</a:t>
            </a:r>
            <a:endParaRPr lang="en-US" sz="1400">
              <a:solidFill>
                <a:sysClr val="windowText" lastClr="000000"/>
              </a:solidFill>
              <a:latin typeface="Assistant" panose="00000500000000000000" pitchFamily="2" charset="-79"/>
              <a:cs typeface="Assistant" panose="00000500000000000000" pitchFamily="2" charset="-79"/>
            </a:endParaRPr>
          </a:p>
        </c:rich>
      </c:tx>
      <c:layout>
        <c:manualLayout>
          <c:xMode val="edge"/>
          <c:yMode val="edge"/>
          <c:x val="0.75029678982434889"/>
          <c:y val="4.2858167319249039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ssistant" panose="00000500000000000000" pitchFamily="2" charset="-79"/>
              <a:ea typeface="+mn-ea"/>
              <a:cs typeface="Assistant" panose="00000500000000000000" pitchFamily="2" charset="-79"/>
            </a:defRPr>
          </a:pPr>
          <a:endParaRPr lang="he-IL"/>
        </a:p>
      </c:txPr>
    </c:title>
    <c:autoTitleDeleted val="0"/>
    <c:pivotFmts>
      <c:pivotFmt>
        <c:idx val="0"/>
        <c:spPr>
          <a:solidFill>
            <a:srgbClr val="D98D25"/>
          </a:solidFill>
          <a:ln>
            <a:noFill/>
          </a:ln>
          <a:effectLst/>
        </c:spPr>
        <c:marker>
          <c:symbol val="none"/>
        </c:marker>
      </c:pivotFmt>
      <c:pivotFmt>
        <c:idx val="1"/>
        <c:spPr>
          <a:solidFill>
            <a:srgbClr val="008DA3"/>
          </a:solidFill>
          <a:ln>
            <a:noFill/>
          </a:ln>
          <a:effectLst/>
        </c:spPr>
        <c:marker>
          <c:symbol val="none"/>
        </c:marker>
      </c:pivotFmt>
      <c:pivotFmt>
        <c:idx val="2"/>
        <c:spPr>
          <a:solidFill>
            <a:srgbClr val="D87585"/>
          </a:solidFill>
          <a:ln>
            <a:noFill/>
          </a:ln>
          <a:effectLst/>
        </c:spPr>
        <c:marker>
          <c:symbol val="none"/>
        </c:marker>
      </c:pivotFmt>
      <c:pivotFmt>
        <c:idx val="3"/>
        <c:spPr>
          <a:solidFill>
            <a:srgbClr val="6C63FF"/>
          </a:solidFill>
          <a:ln>
            <a:noFill/>
          </a:ln>
          <a:effectLst/>
        </c:spPr>
        <c:marker>
          <c:symbol val="none"/>
        </c:marker>
      </c:pivotFmt>
      <c:pivotFmt>
        <c:idx val="4"/>
        <c:spPr>
          <a:solidFill>
            <a:schemeClr val="accent1"/>
          </a:solidFill>
          <a:ln w="28575" cap="rnd">
            <a:solidFill>
              <a:srgbClr val="000000"/>
            </a:solidFill>
            <a:round/>
          </a:ln>
          <a:effectLst/>
        </c:spPr>
        <c:marker>
          <c:symbol val="none"/>
        </c:marker>
      </c:pivotFmt>
      <c:pivotFmt>
        <c:idx val="5"/>
        <c:spPr>
          <a:solidFill>
            <a:srgbClr val="D98D25"/>
          </a:solidFill>
          <a:ln>
            <a:noFill/>
          </a:ln>
          <a:effectLst/>
        </c:spPr>
        <c:marker>
          <c:symbol val="none"/>
        </c:marker>
      </c:pivotFmt>
      <c:pivotFmt>
        <c:idx val="6"/>
        <c:spPr>
          <a:solidFill>
            <a:srgbClr val="008DA3"/>
          </a:solidFill>
          <a:ln>
            <a:noFill/>
          </a:ln>
          <a:effectLst/>
        </c:spPr>
        <c:marker>
          <c:symbol val="none"/>
        </c:marker>
      </c:pivotFmt>
      <c:pivotFmt>
        <c:idx val="7"/>
        <c:spPr>
          <a:solidFill>
            <a:srgbClr val="D87585"/>
          </a:solidFill>
          <a:ln>
            <a:noFill/>
          </a:ln>
          <a:effectLst/>
        </c:spPr>
        <c:marker>
          <c:symbol val="none"/>
        </c:marker>
      </c:pivotFmt>
      <c:pivotFmt>
        <c:idx val="8"/>
        <c:spPr>
          <a:solidFill>
            <a:srgbClr val="6C63FF"/>
          </a:solidFill>
          <a:ln>
            <a:noFill/>
          </a:ln>
          <a:effectLst/>
        </c:spPr>
        <c:marker>
          <c:symbol val="none"/>
        </c:marker>
      </c:pivotFmt>
      <c:pivotFmt>
        <c:idx val="9"/>
        <c:spPr>
          <a:solidFill>
            <a:schemeClr val="accent1"/>
          </a:solidFill>
          <a:ln w="28575" cap="rnd">
            <a:solidFill>
              <a:srgbClr val="000000"/>
            </a:solidFill>
            <a:round/>
          </a:ln>
          <a:effectLst/>
        </c:spPr>
        <c:marker>
          <c:symbol val="none"/>
        </c:marker>
      </c:pivotFmt>
      <c:pivotFmt>
        <c:idx val="10"/>
        <c:spPr>
          <a:solidFill>
            <a:srgbClr val="D98D25"/>
          </a:solidFill>
          <a:ln>
            <a:noFill/>
          </a:ln>
          <a:effectLst/>
        </c:spPr>
        <c:marker>
          <c:symbol val="none"/>
        </c:marker>
      </c:pivotFmt>
      <c:pivotFmt>
        <c:idx val="11"/>
        <c:spPr>
          <a:solidFill>
            <a:srgbClr val="008DA3"/>
          </a:solidFill>
          <a:ln>
            <a:noFill/>
          </a:ln>
          <a:effectLst/>
        </c:spPr>
        <c:marker>
          <c:symbol val="none"/>
        </c:marker>
      </c:pivotFmt>
      <c:pivotFmt>
        <c:idx val="12"/>
        <c:spPr>
          <a:solidFill>
            <a:srgbClr val="D87585"/>
          </a:solidFill>
          <a:ln>
            <a:noFill/>
          </a:ln>
          <a:effectLst/>
        </c:spPr>
        <c:marker>
          <c:symbol val="none"/>
        </c:marker>
      </c:pivotFmt>
      <c:pivotFmt>
        <c:idx val="13"/>
        <c:spPr>
          <a:solidFill>
            <a:srgbClr val="6C63FF"/>
          </a:solidFill>
          <a:ln>
            <a:noFill/>
          </a:ln>
          <a:effectLst/>
        </c:spPr>
        <c:marker>
          <c:symbol val="none"/>
        </c:marker>
      </c:pivotFmt>
      <c:pivotFmt>
        <c:idx val="14"/>
        <c:spPr>
          <a:solidFill>
            <a:schemeClr val="accent1"/>
          </a:solidFill>
          <a:ln w="28575" cap="rnd">
            <a:solidFill>
              <a:srgbClr val="000000"/>
            </a:solidFill>
            <a:round/>
          </a:ln>
          <a:effectLst/>
        </c:spPr>
        <c:marker>
          <c:symbol val="none"/>
        </c:marker>
      </c:pivotFmt>
    </c:pivotFmts>
    <c:plotArea>
      <c:layout>
        <c:manualLayout>
          <c:layoutTarget val="inner"/>
          <c:xMode val="edge"/>
          <c:yMode val="edge"/>
          <c:x val="6.8131138153185403E-2"/>
          <c:y val="0.12200435729847495"/>
          <c:w val="0.92068565974707706"/>
          <c:h val="0.58974169212454997"/>
        </c:manualLayout>
      </c:layout>
      <c:barChart>
        <c:barDir val="col"/>
        <c:grouping val="stacked"/>
        <c:varyColors val="0"/>
        <c:ser>
          <c:idx val="0"/>
          <c:order val="0"/>
          <c:tx>
            <c:strRef>
              <c:f>'טבלאות תרשים 5'!$B$3:$B$4</c:f>
              <c:strCache>
                <c:ptCount val="1"/>
                <c:pt idx="0">
                  <c:v>לחצי תחרות</c:v>
                </c:pt>
              </c:strCache>
            </c:strRef>
          </c:tx>
          <c:spPr>
            <a:solidFill>
              <a:srgbClr val="D98D25"/>
            </a:solidFill>
            <a:ln>
              <a:noFill/>
            </a:ln>
            <a:effectLst/>
          </c:spPr>
          <c:invertIfNegative val="0"/>
          <c:cat>
            <c:multiLvlStrRef>
              <c:f>'טבלאות תרשים 5'!$A$5:$A$12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5'!$B$5:$B$12</c:f>
              <c:numCache>
                <c:formatCode>General</c:formatCode>
                <c:ptCount val="6"/>
                <c:pt idx="0">
                  <c:v>-45.08382243193909</c:v>
                </c:pt>
                <c:pt idx="1">
                  <c:v>-49.428250642598854</c:v>
                </c:pt>
                <c:pt idx="2">
                  <c:v>-50.106956603384084</c:v>
                </c:pt>
                <c:pt idx="3">
                  <c:v>-62.397462791234155</c:v>
                </c:pt>
                <c:pt idx="4">
                  <c:v>-50.488305229381865</c:v>
                </c:pt>
                <c:pt idx="5">
                  <c:v>-45.682519725849396</c:v>
                </c:pt>
              </c:numCache>
            </c:numRef>
          </c:val>
          <c:extLst>
            <c:ext xmlns:c16="http://schemas.microsoft.com/office/drawing/2014/chart" uri="{C3380CC4-5D6E-409C-BE32-E72D297353CC}">
              <c16:uniqueId val="{00000000-FB69-4F1E-AFEF-17AB73F8BECD}"/>
            </c:ext>
          </c:extLst>
        </c:ser>
        <c:ser>
          <c:idx val="1"/>
          <c:order val="1"/>
          <c:tx>
            <c:strRef>
              <c:f>'טבלאות תרשים 5'!$C$3:$C$4</c:f>
              <c:strCache>
                <c:ptCount val="1"/>
                <c:pt idx="0">
                  <c:v>עלויות גיוס המקורות ומגבלות הרכב המאזן</c:v>
                </c:pt>
              </c:strCache>
            </c:strRef>
          </c:tx>
          <c:spPr>
            <a:solidFill>
              <a:srgbClr val="008DA3"/>
            </a:solidFill>
            <a:ln>
              <a:noFill/>
            </a:ln>
            <a:effectLst/>
          </c:spPr>
          <c:invertIfNegative val="0"/>
          <c:cat>
            <c:multiLvlStrRef>
              <c:f>'טבלאות תרשים 5'!$A$5:$A$12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5'!$C$5:$C$12</c:f>
              <c:numCache>
                <c:formatCode>General</c:formatCode>
                <c:ptCount val="6"/>
                <c:pt idx="0">
                  <c:v>-22.527219485869413</c:v>
                </c:pt>
                <c:pt idx="1">
                  <c:v>-18.011808378702689</c:v>
                </c:pt>
                <c:pt idx="2">
                  <c:v>-13.500200477094502</c:v>
                </c:pt>
                <c:pt idx="3">
                  <c:v>-20.962091295832302</c:v>
                </c:pt>
                <c:pt idx="4">
                  <c:v>-9.75418131630407</c:v>
                </c:pt>
                <c:pt idx="5">
                  <c:v>-9.7006998370388029</c:v>
                </c:pt>
              </c:numCache>
            </c:numRef>
          </c:val>
          <c:extLst>
            <c:ext xmlns:c16="http://schemas.microsoft.com/office/drawing/2014/chart" uri="{C3380CC4-5D6E-409C-BE32-E72D297353CC}">
              <c16:uniqueId val="{00000001-FB69-4F1E-AFEF-17AB73F8BECD}"/>
            </c:ext>
          </c:extLst>
        </c:ser>
        <c:ser>
          <c:idx val="2"/>
          <c:order val="2"/>
          <c:tx>
            <c:strRef>
              <c:f>'טבלאות תרשים 5'!$D$3:$D$4</c:f>
              <c:strCache>
                <c:ptCount val="1"/>
                <c:pt idx="0">
                  <c:v>תאבון וקיבולת לסיכון אשראי</c:v>
                </c:pt>
              </c:strCache>
            </c:strRef>
          </c:tx>
          <c:spPr>
            <a:solidFill>
              <a:srgbClr val="D87585"/>
            </a:solidFill>
            <a:ln>
              <a:noFill/>
            </a:ln>
            <a:effectLst/>
          </c:spPr>
          <c:invertIfNegative val="0"/>
          <c:cat>
            <c:multiLvlStrRef>
              <c:f>'טבלאות תרשים 5'!$A$5:$A$12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5'!$D$5:$D$12</c:f>
              <c:numCache>
                <c:formatCode>General</c:formatCode>
                <c:ptCount val="6"/>
                <c:pt idx="0">
                  <c:v>-24.533247020220799</c:v>
                </c:pt>
                <c:pt idx="1">
                  <c:v>-10.981724558021963</c:v>
                </c:pt>
                <c:pt idx="2">
                  <c:v>0</c:v>
                </c:pt>
                <c:pt idx="3">
                  <c:v>-3.6972571060704218</c:v>
                </c:pt>
                <c:pt idx="4">
                  <c:v>0</c:v>
                </c:pt>
                <c:pt idx="5">
                  <c:v>0</c:v>
                </c:pt>
              </c:numCache>
            </c:numRef>
          </c:val>
          <c:extLst>
            <c:ext xmlns:c16="http://schemas.microsoft.com/office/drawing/2014/chart" uri="{C3380CC4-5D6E-409C-BE32-E72D297353CC}">
              <c16:uniqueId val="{00000002-FB69-4F1E-AFEF-17AB73F8BECD}"/>
            </c:ext>
          </c:extLst>
        </c:ser>
        <c:ser>
          <c:idx val="3"/>
          <c:order val="3"/>
          <c:tx>
            <c:strRef>
              <c:f>'טבלאות תרשים 5'!$E$3:$E$4</c:f>
              <c:strCache>
                <c:ptCount val="1"/>
                <c:pt idx="0">
                  <c:v>תפיסת סיכון בבנק</c:v>
                </c:pt>
              </c:strCache>
            </c:strRef>
          </c:tx>
          <c:spPr>
            <a:solidFill>
              <a:srgbClr val="6C63FF"/>
            </a:solidFill>
            <a:ln>
              <a:noFill/>
            </a:ln>
            <a:effectLst/>
          </c:spPr>
          <c:invertIfNegative val="0"/>
          <c:cat>
            <c:multiLvlStrRef>
              <c:f>'טבלאות תרשים 5'!$A$5:$A$12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5'!$E$5:$E$12</c:f>
              <c:numCache>
                <c:formatCode>General</c:formatCode>
                <c:ptCount val="6"/>
                <c:pt idx="0">
                  <c:v>15.986020816877208</c:v>
                </c:pt>
                <c:pt idx="1">
                  <c:v>3.6605748526739879</c:v>
                </c:pt>
                <c:pt idx="2">
                  <c:v>0</c:v>
                </c:pt>
                <c:pt idx="3">
                  <c:v>1.2324190353568074</c:v>
                </c:pt>
                <c:pt idx="4">
                  <c:v>0</c:v>
                </c:pt>
                <c:pt idx="5">
                  <c:v>0</c:v>
                </c:pt>
              </c:numCache>
            </c:numRef>
          </c:val>
          <c:extLst>
            <c:ext xmlns:c16="http://schemas.microsoft.com/office/drawing/2014/chart" uri="{C3380CC4-5D6E-409C-BE32-E72D297353CC}">
              <c16:uniqueId val="{00000003-FB69-4F1E-AFEF-17AB73F8BECD}"/>
            </c:ext>
          </c:extLst>
        </c:ser>
        <c:dLbls>
          <c:showLegendKey val="0"/>
          <c:showVal val="0"/>
          <c:showCatName val="0"/>
          <c:showSerName val="0"/>
          <c:showPercent val="0"/>
          <c:showBubbleSize val="0"/>
        </c:dLbls>
        <c:gapWidth val="150"/>
        <c:overlap val="100"/>
        <c:axId val="1035520288"/>
        <c:axId val="1035517664"/>
      </c:barChart>
      <c:lineChart>
        <c:grouping val="standard"/>
        <c:varyColors val="0"/>
        <c:ser>
          <c:idx val="4"/>
          <c:order val="4"/>
          <c:tx>
            <c:strRef>
              <c:f>'טבלאות תרשים 5'!$F$3:$F$4</c:f>
              <c:strCache>
                <c:ptCount val="1"/>
                <c:pt idx="0">
                  <c:v>השינוי שחל במרווחים</c:v>
                </c:pt>
              </c:strCache>
            </c:strRef>
          </c:tx>
          <c:spPr>
            <a:ln w="28575" cap="rnd">
              <a:solidFill>
                <a:srgbClr val="000000"/>
              </a:solidFill>
              <a:round/>
            </a:ln>
            <a:effectLst/>
          </c:spPr>
          <c:marker>
            <c:symbol val="none"/>
          </c:marker>
          <c:cat>
            <c:multiLvlStrRef>
              <c:f>'טבלאות תרשים 5'!$A$5:$A$12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5'!$F$5:$F$12</c:f>
              <c:numCache>
                <c:formatCode>General</c:formatCode>
                <c:ptCount val="6"/>
                <c:pt idx="0">
                  <c:v>-58.966442424530698</c:v>
                </c:pt>
                <c:pt idx="1">
                  <c:v>-57.244972258864493</c:v>
                </c:pt>
                <c:pt idx="2">
                  <c:v>-45.745872862870222</c:v>
                </c:pt>
                <c:pt idx="3">
                  <c:v>-41.915636115764677</c:v>
                </c:pt>
                <c:pt idx="4">
                  <c:v>-23.198305758480405</c:v>
                </c:pt>
                <c:pt idx="5">
                  <c:v>-21.277697771085112</c:v>
                </c:pt>
              </c:numCache>
            </c:numRef>
          </c:val>
          <c:smooth val="0"/>
          <c:extLst>
            <c:ext xmlns:c16="http://schemas.microsoft.com/office/drawing/2014/chart" uri="{C3380CC4-5D6E-409C-BE32-E72D297353CC}">
              <c16:uniqueId val="{00000004-FB69-4F1E-AFEF-17AB73F8BECD}"/>
            </c:ext>
          </c:extLst>
        </c:ser>
        <c:dLbls>
          <c:showLegendKey val="0"/>
          <c:showVal val="0"/>
          <c:showCatName val="0"/>
          <c:showSerName val="0"/>
          <c:showPercent val="0"/>
          <c:showBubbleSize val="0"/>
        </c:dLbls>
        <c:marker val="1"/>
        <c:smooth val="0"/>
        <c:axId val="1035520288"/>
        <c:axId val="1035517664"/>
      </c:lineChart>
      <c:catAx>
        <c:axId val="10355202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he-IL"/>
          </a:p>
        </c:txPr>
        <c:crossAx val="1035517664"/>
        <c:crosses val="autoZero"/>
        <c:auto val="1"/>
        <c:lblAlgn val="ctr"/>
        <c:lblOffset val="100"/>
        <c:noMultiLvlLbl val="0"/>
      </c:catAx>
      <c:valAx>
        <c:axId val="1035517664"/>
        <c:scaling>
          <c:orientation val="minMax"/>
          <c:max val="200"/>
          <c:min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crossAx val="1035520288"/>
        <c:crosses val="autoZero"/>
        <c:crossBetween val="between"/>
        <c:majorUnit val="50"/>
      </c:valAx>
      <c:spPr>
        <a:noFill/>
        <a:ln>
          <a:noFill/>
        </a:ln>
        <a:effectLst/>
      </c:spPr>
    </c:plotArea>
    <c:legend>
      <c:legendPos val="b"/>
      <c:layout>
        <c:manualLayout>
          <c:xMode val="edge"/>
          <c:yMode val="edge"/>
          <c:x val="1.493014823504319E-2"/>
          <c:y val="0.85890599105237653"/>
          <c:w val="0.97413684675554169"/>
          <c:h val="0.1410940089476234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pivotSource>
    <c:name>[גרפים אוטומטי מעודכן.xlsx]טבלאות תרשים 5!PivotTable31</c:name>
    <c:fmtId val="-1"/>
  </c:pivotSource>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he-IL" sz="1400">
                <a:solidFill>
                  <a:sysClr val="windowText" lastClr="000000"/>
                </a:solidFill>
                <a:latin typeface="Assistant" panose="00000500000000000000" pitchFamily="2" charset="-79"/>
                <a:cs typeface="Assistant" panose="00000500000000000000" pitchFamily="2" charset="-79"/>
              </a:rPr>
              <a:t>ג. אשראי צרכני</a:t>
            </a:r>
            <a:endParaRPr lang="en-US" sz="1400">
              <a:solidFill>
                <a:sysClr val="windowText" lastClr="000000"/>
              </a:solidFill>
              <a:latin typeface="Assistant" panose="00000500000000000000" pitchFamily="2" charset="-79"/>
              <a:cs typeface="Assistant" panose="00000500000000000000" pitchFamily="2" charset="-79"/>
            </a:endParaRPr>
          </a:p>
        </c:rich>
      </c:tx>
      <c:layout>
        <c:manualLayout>
          <c:xMode val="edge"/>
          <c:yMode val="edge"/>
          <c:x val="0.79152579972122805"/>
          <c:y val="7.438073010956732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he-IL"/>
        </a:p>
      </c:txPr>
    </c:title>
    <c:autoTitleDeleted val="0"/>
    <c:pivotFmts>
      <c:pivotFmt>
        <c:idx val="0"/>
        <c:spPr>
          <a:solidFill>
            <a:srgbClr val="D98D25"/>
          </a:solidFill>
          <a:ln>
            <a:noFill/>
          </a:ln>
          <a:effectLst/>
        </c:spPr>
        <c:marker>
          <c:symbol val="none"/>
        </c:marker>
      </c:pivotFmt>
      <c:pivotFmt>
        <c:idx val="1"/>
        <c:spPr>
          <a:solidFill>
            <a:srgbClr val="008DA3"/>
          </a:solidFill>
          <a:ln>
            <a:noFill/>
          </a:ln>
          <a:effectLst/>
        </c:spPr>
        <c:marker>
          <c:symbol val="none"/>
        </c:marker>
      </c:pivotFmt>
      <c:pivotFmt>
        <c:idx val="2"/>
        <c:spPr>
          <a:solidFill>
            <a:srgbClr val="D87585"/>
          </a:solidFill>
          <a:ln>
            <a:noFill/>
          </a:ln>
          <a:effectLst/>
        </c:spPr>
        <c:marker>
          <c:symbol val="none"/>
        </c:marker>
      </c:pivotFmt>
      <c:pivotFmt>
        <c:idx val="3"/>
        <c:spPr>
          <a:solidFill>
            <a:srgbClr val="6C63FF"/>
          </a:solidFill>
          <a:ln>
            <a:noFill/>
          </a:ln>
          <a:effectLst/>
        </c:spPr>
        <c:marker>
          <c:symbol val="none"/>
        </c:marker>
      </c:pivotFmt>
      <c:pivotFmt>
        <c:idx val="4"/>
        <c:spPr>
          <a:solidFill>
            <a:schemeClr val="accent1"/>
          </a:solidFill>
          <a:ln w="28575" cap="rnd">
            <a:solidFill>
              <a:srgbClr val="000000"/>
            </a:solidFill>
            <a:round/>
          </a:ln>
          <a:effectLst/>
        </c:spPr>
        <c:marker>
          <c:symbol val="none"/>
        </c:marker>
      </c:pivotFmt>
      <c:pivotFmt>
        <c:idx val="5"/>
        <c:spPr>
          <a:solidFill>
            <a:srgbClr val="D98D25"/>
          </a:solidFill>
          <a:ln>
            <a:noFill/>
          </a:ln>
          <a:effectLst/>
        </c:spPr>
        <c:marker>
          <c:symbol val="none"/>
        </c:marker>
      </c:pivotFmt>
      <c:pivotFmt>
        <c:idx val="6"/>
        <c:spPr>
          <a:solidFill>
            <a:srgbClr val="008DA3"/>
          </a:solidFill>
          <a:ln>
            <a:noFill/>
          </a:ln>
          <a:effectLst/>
        </c:spPr>
        <c:marker>
          <c:symbol val="none"/>
        </c:marker>
      </c:pivotFmt>
      <c:pivotFmt>
        <c:idx val="7"/>
        <c:spPr>
          <a:solidFill>
            <a:srgbClr val="D87585"/>
          </a:solidFill>
          <a:ln>
            <a:noFill/>
          </a:ln>
          <a:effectLst/>
        </c:spPr>
        <c:marker>
          <c:symbol val="none"/>
        </c:marker>
      </c:pivotFmt>
      <c:pivotFmt>
        <c:idx val="8"/>
        <c:spPr>
          <a:solidFill>
            <a:srgbClr val="6C63FF"/>
          </a:solidFill>
          <a:ln>
            <a:noFill/>
          </a:ln>
          <a:effectLst/>
        </c:spPr>
        <c:marker>
          <c:symbol val="none"/>
        </c:marker>
      </c:pivotFmt>
      <c:pivotFmt>
        <c:idx val="9"/>
        <c:spPr>
          <a:solidFill>
            <a:schemeClr val="accent1"/>
          </a:solidFill>
          <a:ln w="28575" cap="rnd">
            <a:solidFill>
              <a:srgbClr val="000000"/>
            </a:solidFill>
            <a:round/>
          </a:ln>
          <a:effectLst/>
        </c:spPr>
        <c:marker>
          <c:symbol val="none"/>
        </c:marker>
      </c:pivotFmt>
      <c:pivotFmt>
        <c:idx val="10"/>
        <c:spPr>
          <a:solidFill>
            <a:srgbClr val="D98D25"/>
          </a:solidFill>
          <a:ln>
            <a:noFill/>
          </a:ln>
          <a:effectLst/>
        </c:spPr>
        <c:marker>
          <c:symbol val="none"/>
        </c:marker>
      </c:pivotFmt>
      <c:pivotFmt>
        <c:idx val="11"/>
        <c:spPr>
          <a:solidFill>
            <a:srgbClr val="008DA3"/>
          </a:solidFill>
          <a:ln>
            <a:noFill/>
          </a:ln>
          <a:effectLst/>
        </c:spPr>
        <c:marker>
          <c:symbol val="none"/>
        </c:marker>
      </c:pivotFmt>
      <c:pivotFmt>
        <c:idx val="12"/>
        <c:spPr>
          <a:solidFill>
            <a:srgbClr val="D87585"/>
          </a:solidFill>
          <a:ln>
            <a:noFill/>
          </a:ln>
          <a:effectLst/>
        </c:spPr>
        <c:marker>
          <c:symbol val="none"/>
        </c:marker>
      </c:pivotFmt>
      <c:pivotFmt>
        <c:idx val="13"/>
        <c:spPr>
          <a:solidFill>
            <a:srgbClr val="6C63FF"/>
          </a:solidFill>
          <a:ln>
            <a:noFill/>
          </a:ln>
          <a:effectLst/>
        </c:spPr>
        <c:marker>
          <c:symbol val="none"/>
        </c:marker>
      </c:pivotFmt>
      <c:pivotFmt>
        <c:idx val="14"/>
        <c:spPr>
          <a:solidFill>
            <a:schemeClr val="accent1"/>
          </a:solidFill>
          <a:ln w="28575" cap="rnd">
            <a:solidFill>
              <a:srgbClr val="000000"/>
            </a:solidFill>
            <a:round/>
          </a:ln>
          <a:effectLst/>
        </c:spPr>
        <c:marker>
          <c:symbol val="none"/>
        </c:marker>
      </c:pivotFmt>
    </c:pivotFmts>
    <c:plotArea>
      <c:layout>
        <c:manualLayout>
          <c:layoutTarget val="inner"/>
          <c:xMode val="edge"/>
          <c:yMode val="edge"/>
          <c:x val="6.9465942420154816E-2"/>
          <c:y val="9.3880951861626719E-2"/>
          <c:w val="0.90939100945984919"/>
          <c:h val="0.61880515628067279"/>
        </c:manualLayout>
      </c:layout>
      <c:barChart>
        <c:barDir val="col"/>
        <c:grouping val="stacked"/>
        <c:varyColors val="0"/>
        <c:ser>
          <c:idx val="1"/>
          <c:order val="1"/>
          <c:tx>
            <c:strRef>
              <c:f>'טבלאות תרשים 5'!$Q$3:$Q$4</c:f>
              <c:strCache>
                <c:ptCount val="1"/>
                <c:pt idx="0">
                  <c:v>לחצי תחרות</c:v>
                </c:pt>
              </c:strCache>
            </c:strRef>
          </c:tx>
          <c:spPr>
            <a:solidFill>
              <a:srgbClr val="D98D25"/>
            </a:solidFill>
            <a:ln>
              <a:noFill/>
            </a:ln>
            <a:effectLst/>
          </c:spPr>
          <c:invertIfNegative val="0"/>
          <c:cat>
            <c:multiLvlStrRef>
              <c:f>'טבלאות תרשים 5'!$O$5:$O$12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5'!$Q$5:$Q$12</c:f>
              <c:numCache>
                <c:formatCode>General</c:formatCode>
                <c:ptCount val="6"/>
                <c:pt idx="0">
                  <c:v>-98.665359882095999</c:v>
                </c:pt>
                <c:pt idx="1">
                  <c:v>-99.611458273799229</c:v>
                </c:pt>
                <c:pt idx="2">
                  <c:v>-50.346578741499307</c:v>
                </c:pt>
                <c:pt idx="3">
                  <c:v>-61.499653497615498</c:v>
                </c:pt>
                <c:pt idx="4">
                  <c:v>-48.409189459054772</c:v>
                </c:pt>
                <c:pt idx="5">
                  <c:v>-26.228806490031143</c:v>
                </c:pt>
              </c:numCache>
            </c:numRef>
          </c:val>
          <c:extLst>
            <c:ext xmlns:c16="http://schemas.microsoft.com/office/drawing/2014/chart" uri="{C3380CC4-5D6E-409C-BE32-E72D297353CC}">
              <c16:uniqueId val="{00000000-7CE3-4CC1-AAA3-0BA04CECE6B1}"/>
            </c:ext>
          </c:extLst>
        </c:ser>
        <c:ser>
          <c:idx val="2"/>
          <c:order val="2"/>
          <c:tx>
            <c:strRef>
              <c:f>'טבלאות תרשים 5'!$R$3:$R$4</c:f>
              <c:strCache>
                <c:ptCount val="1"/>
                <c:pt idx="0">
                  <c:v>עלויות גיוס המקורות ומגבלות הרכב המאזן</c:v>
                </c:pt>
              </c:strCache>
            </c:strRef>
          </c:tx>
          <c:spPr>
            <a:solidFill>
              <a:srgbClr val="008DA3"/>
            </a:solidFill>
            <a:ln>
              <a:noFill/>
            </a:ln>
            <a:effectLst/>
          </c:spPr>
          <c:invertIfNegative val="0"/>
          <c:cat>
            <c:multiLvlStrRef>
              <c:f>'טבלאות תרשים 5'!$O$5:$O$12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5'!$R$5:$R$12</c:f>
              <c:numCache>
                <c:formatCode>General</c:formatCode>
                <c:ptCount val="6"/>
                <c:pt idx="0">
                  <c:v>0</c:v>
                </c:pt>
                <c:pt idx="1">
                  <c:v>0</c:v>
                </c:pt>
                <c:pt idx="2">
                  <c:v>0</c:v>
                </c:pt>
                <c:pt idx="3">
                  <c:v>0</c:v>
                </c:pt>
                <c:pt idx="4">
                  <c:v>0</c:v>
                </c:pt>
                <c:pt idx="5">
                  <c:v>0.23971629020119858</c:v>
                </c:pt>
              </c:numCache>
            </c:numRef>
          </c:val>
          <c:extLst>
            <c:ext xmlns:c16="http://schemas.microsoft.com/office/drawing/2014/chart" uri="{C3380CC4-5D6E-409C-BE32-E72D297353CC}">
              <c16:uniqueId val="{00000001-7CE3-4CC1-AAA3-0BA04CECE6B1}"/>
            </c:ext>
          </c:extLst>
        </c:ser>
        <c:ser>
          <c:idx val="3"/>
          <c:order val="3"/>
          <c:tx>
            <c:strRef>
              <c:f>'טבלאות תרשים 5'!$S$3:$S$4</c:f>
              <c:strCache>
                <c:ptCount val="1"/>
                <c:pt idx="0">
                  <c:v>תאבון וקיבולת לסיכון אשראי</c:v>
                </c:pt>
              </c:strCache>
            </c:strRef>
          </c:tx>
          <c:spPr>
            <a:solidFill>
              <a:srgbClr val="D87585"/>
            </a:solidFill>
            <a:ln>
              <a:noFill/>
            </a:ln>
            <a:effectLst/>
          </c:spPr>
          <c:invertIfNegative val="0"/>
          <c:cat>
            <c:multiLvlStrRef>
              <c:f>'טבלאות תרשים 5'!$O$5:$O$12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5'!$S$5:$S$12</c:f>
              <c:numCache>
                <c:formatCode>General</c:formatCode>
                <c:ptCount val="6"/>
                <c:pt idx="0">
                  <c:v>0</c:v>
                </c:pt>
                <c:pt idx="1">
                  <c:v>-22.306118013044614</c:v>
                </c:pt>
                <c:pt idx="2">
                  <c:v>0</c:v>
                </c:pt>
                <c:pt idx="3">
                  <c:v>0</c:v>
                </c:pt>
                <c:pt idx="4">
                  <c:v>0</c:v>
                </c:pt>
                <c:pt idx="5">
                  <c:v>0</c:v>
                </c:pt>
              </c:numCache>
            </c:numRef>
          </c:val>
          <c:extLst>
            <c:ext xmlns:c16="http://schemas.microsoft.com/office/drawing/2014/chart" uri="{C3380CC4-5D6E-409C-BE32-E72D297353CC}">
              <c16:uniqueId val="{00000002-7CE3-4CC1-AAA3-0BA04CECE6B1}"/>
            </c:ext>
          </c:extLst>
        </c:ser>
        <c:ser>
          <c:idx val="4"/>
          <c:order val="4"/>
          <c:tx>
            <c:strRef>
              <c:f>'טבלאות תרשים 5'!$T$3:$T$4</c:f>
              <c:strCache>
                <c:ptCount val="1"/>
                <c:pt idx="0">
                  <c:v>תפיסת סיכון בבנק</c:v>
                </c:pt>
              </c:strCache>
            </c:strRef>
          </c:tx>
          <c:spPr>
            <a:solidFill>
              <a:srgbClr val="6C63FF"/>
            </a:solidFill>
            <a:ln>
              <a:noFill/>
            </a:ln>
            <a:effectLst/>
          </c:spPr>
          <c:invertIfNegative val="0"/>
          <c:cat>
            <c:multiLvlStrRef>
              <c:f>'טבלאות תרשים 5'!$O$5:$O$12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5'!$T$5:$T$12</c:f>
              <c:numCache>
                <c:formatCode>General</c:formatCode>
                <c:ptCount val="6"/>
                <c:pt idx="0">
                  <c:v>0.18936644820056811</c:v>
                </c:pt>
                <c:pt idx="1">
                  <c:v>0</c:v>
                </c:pt>
                <c:pt idx="2">
                  <c:v>0</c:v>
                </c:pt>
                <c:pt idx="3">
                  <c:v>-3.9022200143882935</c:v>
                </c:pt>
                <c:pt idx="4">
                  <c:v>0</c:v>
                </c:pt>
                <c:pt idx="5">
                  <c:v>-3.9378594067196895</c:v>
                </c:pt>
              </c:numCache>
            </c:numRef>
          </c:val>
          <c:extLst>
            <c:ext xmlns:c16="http://schemas.microsoft.com/office/drawing/2014/chart" uri="{C3380CC4-5D6E-409C-BE32-E72D297353CC}">
              <c16:uniqueId val="{00000003-7CE3-4CC1-AAA3-0BA04CECE6B1}"/>
            </c:ext>
          </c:extLst>
        </c:ser>
        <c:dLbls>
          <c:showLegendKey val="0"/>
          <c:showVal val="0"/>
          <c:showCatName val="0"/>
          <c:showSerName val="0"/>
          <c:showPercent val="0"/>
          <c:showBubbleSize val="0"/>
        </c:dLbls>
        <c:gapWidth val="150"/>
        <c:overlap val="100"/>
        <c:axId val="1039071736"/>
        <c:axId val="1039065176"/>
      </c:barChart>
      <c:lineChart>
        <c:grouping val="standard"/>
        <c:varyColors val="0"/>
        <c:ser>
          <c:idx val="0"/>
          <c:order val="0"/>
          <c:tx>
            <c:strRef>
              <c:f>'טבלאות תרשים 5'!$P$3:$P$4</c:f>
              <c:strCache>
                <c:ptCount val="1"/>
                <c:pt idx="0">
                  <c:v>השינוי שחל במרווחים</c:v>
                </c:pt>
              </c:strCache>
            </c:strRef>
          </c:tx>
          <c:spPr>
            <a:ln w="28575" cap="rnd">
              <a:solidFill>
                <a:srgbClr val="000000"/>
              </a:solidFill>
              <a:round/>
            </a:ln>
            <a:effectLst/>
          </c:spPr>
          <c:marker>
            <c:symbol val="none"/>
          </c:marker>
          <c:cat>
            <c:multiLvlStrRef>
              <c:f>'טבלאות תרשים 5'!$O$5:$O$12</c:f>
              <c:multiLvlStrCache>
                <c:ptCount val="6"/>
                <c:lvl>
                  <c:pt idx="0">
                    <c:v>Q3</c:v>
                  </c:pt>
                  <c:pt idx="1">
                    <c:v>Q4</c:v>
                  </c:pt>
                  <c:pt idx="2">
                    <c:v>Q1</c:v>
                  </c:pt>
                  <c:pt idx="3">
                    <c:v>Q2</c:v>
                  </c:pt>
                  <c:pt idx="4">
                    <c:v>Q3</c:v>
                  </c:pt>
                  <c:pt idx="5">
                    <c:v>Q4</c:v>
                  </c:pt>
                </c:lvl>
                <c:lvl>
                  <c:pt idx="0">
                    <c:v>2024</c:v>
                  </c:pt>
                  <c:pt idx="2">
                    <c:v>2025</c:v>
                  </c:pt>
                </c:lvl>
              </c:multiLvlStrCache>
            </c:multiLvlStrRef>
          </c:cat>
          <c:val>
            <c:numRef>
              <c:f>'טבלאות תרשים 5'!$P$5:$P$12</c:f>
              <c:numCache>
                <c:formatCode>General</c:formatCode>
                <c:ptCount val="6"/>
                <c:pt idx="0">
                  <c:v>-40.254672268120764</c:v>
                </c:pt>
                <c:pt idx="1">
                  <c:v>-37.806931405825615</c:v>
                </c:pt>
                <c:pt idx="2">
                  <c:v>-21.849982651056301</c:v>
                </c:pt>
                <c:pt idx="3">
                  <c:v>-18.64000822774408</c:v>
                </c:pt>
                <c:pt idx="4">
                  <c:v>-21.202253566736392</c:v>
                </c:pt>
                <c:pt idx="5">
                  <c:v>-9.7996526646989981</c:v>
                </c:pt>
              </c:numCache>
            </c:numRef>
          </c:val>
          <c:smooth val="0"/>
          <c:extLst>
            <c:ext xmlns:c16="http://schemas.microsoft.com/office/drawing/2014/chart" uri="{C3380CC4-5D6E-409C-BE32-E72D297353CC}">
              <c16:uniqueId val="{00000004-7CE3-4CC1-AAA3-0BA04CECE6B1}"/>
            </c:ext>
          </c:extLst>
        </c:ser>
        <c:dLbls>
          <c:showLegendKey val="0"/>
          <c:showVal val="0"/>
          <c:showCatName val="0"/>
          <c:showSerName val="0"/>
          <c:showPercent val="0"/>
          <c:showBubbleSize val="0"/>
        </c:dLbls>
        <c:marker val="1"/>
        <c:smooth val="0"/>
        <c:axId val="1039071736"/>
        <c:axId val="1039065176"/>
      </c:lineChart>
      <c:catAx>
        <c:axId val="103907173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he-IL"/>
          </a:p>
        </c:txPr>
        <c:crossAx val="1039065176"/>
        <c:crosses val="autoZero"/>
        <c:auto val="1"/>
        <c:lblAlgn val="ctr"/>
        <c:lblOffset val="100"/>
        <c:noMultiLvlLbl val="0"/>
      </c:catAx>
      <c:valAx>
        <c:axId val="1039065176"/>
        <c:scaling>
          <c:orientation val="minMax"/>
          <c:max val="200"/>
          <c:min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he-IL"/>
          </a:p>
        </c:txPr>
        <c:crossAx val="1039071736"/>
        <c:crosses val="autoZero"/>
        <c:crossBetween val="between"/>
      </c:valAx>
      <c:spPr>
        <a:noFill/>
        <a:ln>
          <a:noFill/>
        </a:ln>
        <a:effectLst/>
      </c:spPr>
    </c:plotArea>
    <c:legend>
      <c:legendPos val="b"/>
      <c:layout>
        <c:manualLayout>
          <c:xMode val="edge"/>
          <c:yMode val="edge"/>
          <c:x val="1.5658965963438343E-2"/>
          <c:y val="0.86340649226661526"/>
          <c:w val="0.97551485947670535"/>
          <c:h val="0.1365935077333847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ssistant" panose="00000500000000000000" pitchFamily="2" charset="-79"/>
              <a:ea typeface="+mn-ea"/>
              <a:cs typeface="Assistant" panose="00000500000000000000" pitchFamily="2" charset="-79"/>
            </a:defRPr>
          </a:pPr>
          <a:endParaRPr lang="he-I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448</Words>
  <Characters>2240</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2026-01-12T11:18:00Z</dcterms:created>
  <dcterms:modified xsi:type="dcterms:W3CDTF">2026-01-12T11:18:00Z</dcterms:modified>
</cp:coreProperties>
</file>