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18"/>
        <w:gridCol w:w="2845"/>
        <w:gridCol w:w="2845"/>
      </w:tblGrid>
      <w:tr w:rsidR="009608EE" w:rsidRPr="00752E50" w:rsidTr="0068481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E52BDF" w:rsidRDefault="00E52BDF" w:rsidP="006660A8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B36FEC">
              <w:rPr>
                <w:rFonts w:cs="David" w:hint="eastAsia"/>
                <w:sz w:val="22"/>
                <w:szCs w:val="22"/>
                <w:rtl/>
              </w:rPr>
              <w:t>‏יום </w:t>
            </w:r>
            <w:r w:rsidR="006660A8">
              <w:rPr>
                <w:rFonts w:cs="David" w:hint="cs"/>
                <w:sz w:val="22"/>
                <w:szCs w:val="22"/>
                <w:rtl/>
              </w:rPr>
              <w:t>ראשון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6660A8">
              <w:rPr>
                <w:rFonts w:cs="David" w:hint="cs"/>
                <w:sz w:val="22"/>
                <w:szCs w:val="22"/>
                <w:rtl/>
              </w:rPr>
              <w:t>ג'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</w:t>
            </w:r>
            <w:r w:rsidR="00C450DB">
              <w:rPr>
                <w:rFonts w:cs="David" w:hint="cs"/>
                <w:sz w:val="22"/>
                <w:szCs w:val="22"/>
                <w:rtl/>
              </w:rPr>
              <w:t>אדר</w:t>
            </w:r>
            <w:r w:rsidR="006660A8">
              <w:rPr>
                <w:rFonts w:cs="David" w:hint="cs"/>
                <w:sz w:val="22"/>
                <w:szCs w:val="22"/>
                <w:rtl/>
              </w:rPr>
              <w:t xml:space="preserve"> ב'</w:t>
            </w:r>
            <w:r w:rsidR="00AF6AC6">
              <w:rPr>
                <w:rFonts w:cs="David"/>
                <w:sz w:val="22"/>
                <w:szCs w:val="22"/>
                <w:rtl/>
              </w:rPr>
              <w:t xml:space="preserve"> תשע"</w:t>
            </w:r>
            <w:r w:rsidR="006660A8">
              <w:rPr>
                <w:rFonts w:cs="David" w:hint="cs"/>
                <w:sz w:val="22"/>
                <w:szCs w:val="22"/>
                <w:rtl/>
              </w:rPr>
              <w:t>ו</w:t>
            </w:r>
          </w:p>
          <w:p w:rsidR="00972D12" w:rsidRPr="00E52BDF" w:rsidRDefault="00972D12" w:rsidP="006660A8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972D12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2D5576">
              <w:rPr>
                <w:rFonts w:cs="David" w:hint="cs"/>
                <w:sz w:val="22"/>
                <w:szCs w:val="22"/>
                <w:rtl/>
              </w:rPr>
              <w:t>1</w:t>
            </w:r>
            <w:r w:rsidR="006660A8">
              <w:rPr>
                <w:rFonts w:cs="David" w:hint="cs"/>
                <w:sz w:val="22"/>
                <w:szCs w:val="22"/>
                <w:rtl/>
              </w:rPr>
              <w:t>3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</w:t>
            </w:r>
            <w:r w:rsidR="00C450DB">
              <w:rPr>
                <w:rFonts w:cs="David" w:hint="cs"/>
                <w:sz w:val="22"/>
                <w:szCs w:val="22"/>
                <w:rtl/>
              </w:rPr>
              <w:t>מרץ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201</w:t>
            </w:r>
            <w:r w:rsidR="006660A8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08EE" w:rsidRDefault="0068481C" w:rsidP="00A73408">
            <w:pPr>
              <w:jc w:val="center"/>
              <w:rPr>
                <w:rtl/>
              </w:rPr>
            </w:pPr>
            <w:bookmarkStart w:id="0" w:name="_GoBack"/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55168" behindDoc="0" locked="0" layoutInCell="1" allowOverlap="1" wp14:anchorId="41312934" wp14:editId="160678E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1905</wp:posOffset>
                  </wp:positionV>
                  <wp:extent cx="774700" cy="768350"/>
                  <wp:effectExtent l="0" t="0" r="6350" b="0"/>
                  <wp:wrapNone/>
                  <wp:docPr id="43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  <w:p w:rsidR="009608EE" w:rsidRPr="00752E50" w:rsidRDefault="009608EE" w:rsidP="00F466A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9608EE" w:rsidRPr="00972D12" w:rsidRDefault="00DB2C69" w:rsidP="00972D12">
      <w:pPr>
        <w:spacing w:line="360" w:lineRule="auto"/>
        <w:rPr>
          <w:rFonts w:cs="David" w:hint="cs"/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2D5576" w:rsidRDefault="002D5576" w:rsidP="00BB4BBF">
      <w:pPr>
        <w:pStyle w:val="1"/>
        <w:rPr>
          <w:rFonts w:cs="David" w:hint="cs"/>
          <w:sz w:val="28"/>
          <w:szCs w:val="28"/>
          <w:u w:val="single"/>
          <w:rtl/>
        </w:rPr>
      </w:pPr>
    </w:p>
    <w:p w:rsidR="00BB4BBF" w:rsidRPr="0068481C" w:rsidRDefault="00673D6C" w:rsidP="0068481C">
      <w:pPr>
        <w:pStyle w:val="ab"/>
        <w:rPr>
          <w:rFonts w:hint="cs"/>
          <w:rtl/>
        </w:rPr>
      </w:pPr>
      <w:r w:rsidRPr="0068481C">
        <w:rPr>
          <w:rtl/>
        </w:rPr>
        <w:t xml:space="preserve">הנכסים וההתחייבויות של המשק </w:t>
      </w:r>
      <w:r w:rsidR="00807F97" w:rsidRPr="0068481C">
        <w:rPr>
          <w:rFonts w:hint="cs"/>
          <w:rtl/>
        </w:rPr>
        <w:t xml:space="preserve">מול </w:t>
      </w:r>
      <w:r w:rsidRPr="0068481C">
        <w:rPr>
          <w:rtl/>
        </w:rPr>
        <w:t>חו"ל</w:t>
      </w:r>
      <w:r w:rsidR="00922F75" w:rsidRPr="0068481C">
        <w:rPr>
          <w:rFonts w:hint="cs"/>
          <w:rtl/>
        </w:rPr>
        <w:t>,</w:t>
      </w:r>
      <w:r w:rsidR="00D77467" w:rsidRPr="0068481C">
        <w:rPr>
          <w:rFonts w:hint="cs"/>
          <w:rtl/>
        </w:rPr>
        <w:t xml:space="preserve"> </w:t>
      </w:r>
      <w:r w:rsidR="00C450DB" w:rsidRPr="0068481C">
        <w:rPr>
          <w:rFonts w:hint="cs"/>
          <w:rtl/>
        </w:rPr>
        <w:t>דצמבר</w:t>
      </w:r>
      <w:r w:rsidR="00391D54" w:rsidRPr="0068481C">
        <w:rPr>
          <w:rFonts w:hint="cs"/>
          <w:rtl/>
        </w:rPr>
        <w:t xml:space="preserve"> </w:t>
      </w:r>
      <w:r w:rsidR="00E74D0C" w:rsidRPr="0068481C">
        <w:rPr>
          <w:rFonts w:hint="cs"/>
          <w:rtl/>
        </w:rPr>
        <w:t>2015</w:t>
      </w:r>
    </w:p>
    <w:p w:rsidR="002D5576" w:rsidRPr="002D5576" w:rsidRDefault="002D5576" w:rsidP="002D5576">
      <w:pPr>
        <w:rPr>
          <w:rFonts w:hint="cs"/>
          <w:rtl/>
        </w:rPr>
      </w:pPr>
    </w:p>
    <w:p w:rsidR="00DC15F9" w:rsidRPr="009433F4" w:rsidRDefault="00BB4BBF" w:rsidP="0004610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9433F4">
        <w:rPr>
          <w:rFonts w:ascii="Arial" w:hAnsi="Arial" w:cs="David" w:hint="cs"/>
          <w:b/>
          <w:bCs/>
          <w:rtl/>
        </w:rPr>
        <w:t xml:space="preserve">ברביע הרביעי של שנת </w:t>
      </w:r>
      <w:r w:rsidR="009433F4">
        <w:rPr>
          <w:rFonts w:ascii="Arial" w:hAnsi="Arial" w:cs="David" w:hint="cs"/>
          <w:b/>
          <w:bCs/>
          <w:rtl/>
        </w:rPr>
        <w:t>2015</w:t>
      </w:r>
      <w:r w:rsidRPr="009433F4">
        <w:rPr>
          <w:rFonts w:ascii="Arial" w:hAnsi="Arial" w:cs="David" w:hint="cs"/>
          <w:b/>
          <w:bCs/>
          <w:rtl/>
        </w:rPr>
        <w:t xml:space="preserve"> חלה </w:t>
      </w:r>
      <w:r w:rsidR="009433F4">
        <w:rPr>
          <w:rFonts w:ascii="Arial" w:hAnsi="Arial" w:cs="David" w:hint="cs"/>
          <w:b/>
          <w:bCs/>
          <w:rtl/>
        </w:rPr>
        <w:t>ירידה</w:t>
      </w:r>
      <w:r w:rsidRPr="009433F4">
        <w:rPr>
          <w:rFonts w:ascii="Arial" w:hAnsi="Arial" w:cs="David" w:hint="cs"/>
          <w:b/>
          <w:bCs/>
          <w:rtl/>
        </w:rPr>
        <w:t xml:space="preserve"> של</w:t>
      </w:r>
      <w:r w:rsidR="009433F4" w:rsidRPr="009433F4">
        <w:rPr>
          <w:rFonts w:ascii="Arial" w:hAnsi="Arial" w:cs="David" w:hint="cs"/>
          <w:b/>
          <w:bCs/>
          <w:rtl/>
        </w:rPr>
        <w:t xml:space="preserve"> </w:t>
      </w:r>
      <w:r w:rsidR="009433F4">
        <w:rPr>
          <w:rFonts w:ascii="Arial" w:hAnsi="Arial" w:cs="David" w:hint="cs"/>
          <w:b/>
          <w:bCs/>
          <w:rtl/>
        </w:rPr>
        <w:t xml:space="preserve">4.5 </w:t>
      </w:r>
      <w:r w:rsidR="00413CCA" w:rsidRPr="009433F4">
        <w:rPr>
          <w:rFonts w:ascii="Arial" w:hAnsi="Arial" w:cs="David" w:hint="cs"/>
          <w:b/>
          <w:bCs/>
          <w:rtl/>
        </w:rPr>
        <w:t>מיליארדי דולרים (</w:t>
      </w:r>
      <w:r w:rsidR="009433F4">
        <w:rPr>
          <w:rFonts w:ascii="Arial" w:hAnsi="Arial" w:cs="David" w:hint="cs"/>
          <w:b/>
          <w:bCs/>
          <w:rtl/>
        </w:rPr>
        <w:t>6.2</w:t>
      </w:r>
      <w:r w:rsidR="00413CCA" w:rsidRPr="009433F4">
        <w:rPr>
          <w:rFonts w:ascii="Arial" w:hAnsi="Arial" w:cs="David" w:hint="cs"/>
          <w:b/>
          <w:bCs/>
          <w:rtl/>
        </w:rPr>
        <w:t>%)</w:t>
      </w:r>
      <w:r w:rsidRPr="009433F4"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DC15F9" w:rsidRPr="009433F4">
        <w:rPr>
          <w:rFonts w:ascii="Arial" w:hAnsi="Arial" w:cs="David" w:hint="cs"/>
          <w:b/>
          <w:bCs/>
          <w:rtl/>
        </w:rPr>
        <w:t xml:space="preserve">, זאת בניגוד </w:t>
      </w:r>
      <w:r w:rsidR="009433F4">
        <w:rPr>
          <w:rFonts w:ascii="Arial" w:hAnsi="Arial" w:cs="David" w:hint="cs"/>
          <w:b/>
          <w:bCs/>
          <w:rtl/>
        </w:rPr>
        <w:t>לשלושת הרביעים הראשונים של שנת 2015 בהם</w:t>
      </w:r>
      <w:r w:rsidR="00DC15F9" w:rsidRPr="009433F4">
        <w:rPr>
          <w:rFonts w:ascii="Arial" w:hAnsi="Arial" w:cs="David" w:hint="cs"/>
          <w:b/>
          <w:bCs/>
          <w:rtl/>
        </w:rPr>
        <w:t xml:space="preserve"> חלה </w:t>
      </w:r>
      <w:r w:rsidR="009433F4">
        <w:rPr>
          <w:rFonts w:ascii="Arial" w:hAnsi="Arial" w:cs="David" w:hint="cs"/>
          <w:b/>
          <w:bCs/>
          <w:rtl/>
        </w:rPr>
        <w:t>עלייה</w:t>
      </w:r>
      <w:r w:rsidR="00DC15F9" w:rsidRPr="009433F4">
        <w:rPr>
          <w:rFonts w:ascii="Arial" w:hAnsi="Arial" w:cs="David" w:hint="cs"/>
          <w:b/>
          <w:bCs/>
          <w:rtl/>
        </w:rPr>
        <w:t xml:space="preserve"> של כ-</w:t>
      </w:r>
      <w:r w:rsidR="009433F4">
        <w:rPr>
          <w:rFonts w:ascii="Arial" w:hAnsi="Arial" w:cs="David" w:hint="cs"/>
          <w:b/>
          <w:bCs/>
          <w:rtl/>
        </w:rPr>
        <w:t>7.9</w:t>
      </w:r>
      <w:r w:rsidR="00DC15F9" w:rsidRPr="009433F4">
        <w:rPr>
          <w:rFonts w:ascii="Arial" w:hAnsi="Arial" w:cs="David" w:hint="cs"/>
          <w:b/>
          <w:bCs/>
          <w:rtl/>
        </w:rPr>
        <w:t xml:space="preserve"> מיליארדי</w:t>
      </w:r>
      <w:r w:rsidR="009433F4">
        <w:rPr>
          <w:rFonts w:ascii="Arial" w:hAnsi="Arial" w:cs="David" w:hint="cs"/>
          <w:b/>
          <w:bCs/>
          <w:rtl/>
        </w:rPr>
        <w:t xml:space="preserve">ם </w:t>
      </w:r>
      <w:r w:rsidR="00DC15F9" w:rsidRPr="009433F4">
        <w:rPr>
          <w:rFonts w:ascii="Arial" w:hAnsi="Arial" w:cs="David" w:hint="cs"/>
          <w:b/>
          <w:bCs/>
          <w:rtl/>
        </w:rPr>
        <w:t>(</w:t>
      </w:r>
      <w:r w:rsidR="009433F4">
        <w:rPr>
          <w:rFonts w:ascii="Arial" w:hAnsi="Arial" w:cs="David" w:hint="cs"/>
          <w:b/>
          <w:bCs/>
          <w:rtl/>
        </w:rPr>
        <w:t>12.2</w:t>
      </w:r>
      <w:r w:rsidR="00DC15F9" w:rsidRPr="009433F4">
        <w:rPr>
          <w:rFonts w:ascii="Arial" w:hAnsi="Arial" w:cs="David" w:hint="cs"/>
          <w:b/>
          <w:bCs/>
          <w:rtl/>
        </w:rPr>
        <w:t>%) בעודף הנכסים</w:t>
      </w:r>
      <w:r w:rsidR="00447840" w:rsidRPr="009433F4">
        <w:rPr>
          <w:rFonts w:ascii="Arial" w:hAnsi="Arial" w:cs="David" w:hint="cs"/>
          <w:b/>
          <w:bCs/>
          <w:rtl/>
        </w:rPr>
        <w:t xml:space="preserve"> על ההתחייבויות </w:t>
      </w:r>
      <w:r w:rsidR="00DC15F9" w:rsidRPr="009433F4">
        <w:rPr>
          <w:rFonts w:ascii="Arial" w:hAnsi="Arial" w:cs="David" w:hint="cs"/>
          <w:b/>
          <w:bCs/>
          <w:rtl/>
        </w:rPr>
        <w:t>של המשק.</w:t>
      </w:r>
      <w:r w:rsidR="00447840" w:rsidRPr="009433F4">
        <w:rPr>
          <w:rFonts w:ascii="Arial" w:hAnsi="Arial" w:cs="David" w:hint="cs"/>
          <w:b/>
          <w:bCs/>
          <w:rtl/>
        </w:rPr>
        <w:t xml:space="preserve"> </w:t>
      </w:r>
      <w:r w:rsidR="00046109">
        <w:rPr>
          <w:rFonts w:ascii="Arial" w:hAnsi="Arial" w:cs="David" w:hint="cs"/>
          <w:b/>
          <w:bCs/>
          <w:rtl/>
        </w:rPr>
        <w:t xml:space="preserve">עיקר </w:t>
      </w:r>
      <w:r w:rsidR="00447840" w:rsidRPr="009433F4">
        <w:rPr>
          <w:rFonts w:ascii="Arial" w:hAnsi="Arial" w:cs="David" w:hint="cs"/>
          <w:b/>
          <w:bCs/>
          <w:rtl/>
        </w:rPr>
        <w:t>ה</w:t>
      </w:r>
      <w:r w:rsidR="009433F4">
        <w:rPr>
          <w:rFonts w:ascii="Arial" w:hAnsi="Arial" w:cs="David" w:hint="cs"/>
          <w:b/>
          <w:bCs/>
          <w:rtl/>
        </w:rPr>
        <w:t>ירידה</w:t>
      </w:r>
      <w:r w:rsidR="00447840" w:rsidRPr="009433F4">
        <w:rPr>
          <w:rFonts w:ascii="Arial" w:hAnsi="Arial" w:cs="David" w:hint="cs"/>
          <w:b/>
          <w:bCs/>
          <w:rtl/>
        </w:rPr>
        <w:t xml:space="preserve"> בעודף </w:t>
      </w:r>
      <w:r w:rsidR="00046109">
        <w:rPr>
          <w:rFonts w:ascii="Arial" w:hAnsi="Arial" w:cs="David" w:hint="cs"/>
          <w:b/>
          <w:bCs/>
          <w:rtl/>
        </w:rPr>
        <w:t>ברביע הרביעי כתוצאה משינויי מחירים ושער</w:t>
      </w:r>
      <w:r w:rsidR="00572E7B">
        <w:rPr>
          <w:rFonts w:ascii="Arial" w:hAnsi="Arial" w:cs="David" w:hint="cs"/>
          <w:b/>
          <w:bCs/>
          <w:rtl/>
        </w:rPr>
        <w:t>י חליפין</w:t>
      </w:r>
      <w:r w:rsidR="00046109">
        <w:rPr>
          <w:rFonts w:ascii="Arial" w:hAnsi="Arial" w:cs="David" w:hint="cs"/>
          <w:b/>
          <w:bCs/>
          <w:rtl/>
        </w:rPr>
        <w:t xml:space="preserve"> אשר הגדילו את יתרת ההתחייבויות.</w:t>
      </w:r>
    </w:p>
    <w:p w:rsidR="004C0E4C" w:rsidRPr="004C0E4C" w:rsidRDefault="00A55860" w:rsidP="00D43BBB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4C0E4C">
        <w:rPr>
          <w:rFonts w:ascii="Arial" w:hAnsi="Arial" w:cs="David" w:hint="cs"/>
          <w:b/>
          <w:bCs/>
          <w:rtl/>
        </w:rPr>
        <w:t xml:space="preserve">במהלך </w:t>
      </w:r>
      <w:r w:rsidR="000D38A1" w:rsidRPr="004C0E4C">
        <w:rPr>
          <w:rFonts w:ascii="Arial" w:hAnsi="Arial" w:cs="David" w:hint="cs"/>
          <w:b/>
          <w:bCs/>
          <w:rtl/>
        </w:rPr>
        <w:t xml:space="preserve">שנת </w:t>
      </w:r>
      <w:r w:rsidR="004C0E4C" w:rsidRPr="004C0E4C">
        <w:rPr>
          <w:rFonts w:ascii="Arial" w:hAnsi="Arial" w:cs="David" w:hint="cs"/>
          <w:b/>
          <w:bCs/>
          <w:rtl/>
        </w:rPr>
        <w:t>2015</w:t>
      </w:r>
      <w:r w:rsidR="000D38A1" w:rsidRPr="004C0E4C">
        <w:rPr>
          <w:rFonts w:ascii="Arial" w:hAnsi="Arial" w:cs="David" w:hint="cs"/>
          <w:b/>
          <w:bCs/>
          <w:rtl/>
        </w:rPr>
        <w:t xml:space="preserve"> </w:t>
      </w:r>
      <w:r w:rsidR="00167951" w:rsidRPr="004C0E4C">
        <w:rPr>
          <w:rFonts w:ascii="Arial" w:hAnsi="Arial" w:cs="David" w:hint="cs"/>
          <w:b/>
          <w:bCs/>
          <w:rtl/>
        </w:rPr>
        <w:t xml:space="preserve">חלה </w:t>
      </w:r>
      <w:r w:rsidR="004C0E4C" w:rsidRPr="004C0E4C">
        <w:rPr>
          <w:rFonts w:ascii="Arial" w:hAnsi="Arial" w:cs="David" w:hint="cs"/>
          <w:b/>
          <w:bCs/>
          <w:rtl/>
        </w:rPr>
        <w:t>עלייה</w:t>
      </w:r>
      <w:r w:rsidR="003C7778" w:rsidRPr="004C0E4C">
        <w:rPr>
          <w:rFonts w:ascii="Arial" w:hAnsi="Arial" w:cs="David" w:hint="cs"/>
          <w:b/>
          <w:bCs/>
          <w:rtl/>
        </w:rPr>
        <w:t xml:space="preserve"> </w:t>
      </w:r>
      <w:r w:rsidR="0094360F" w:rsidRPr="004C0E4C">
        <w:rPr>
          <w:rFonts w:ascii="Arial" w:hAnsi="Arial" w:cs="David" w:hint="cs"/>
          <w:b/>
          <w:bCs/>
          <w:rtl/>
        </w:rPr>
        <w:t xml:space="preserve">של </w:t>
      </w:r>
      <w:r w:rsidR="004C0E4C" w:rsidRPr="004C0E4C">
        <w:rPr>
          <w:rFonts w:ascii="Arial" w:hAnsi="Arial" w:cs="David" w:hint="cs"/>
          <w:b/>
          <w:bCs/>
          <w:rtl/>
        </w:rPr>
        <w:t>3.4</w:t>
      </w:r>
      <w:r w:rsidR="0094360F" w:rsidRPr="004C0E4C">
        <w:rPr>
          <w:rFonts w:ascii="Arial" w:hAnsi="Arial" w:cs="David" w:hint="cs"/>
          <w:b/>
          <w:bCs/>
          <w:rtl/>
        </w:rPr>
        <w:t xml:space="preserve"> מיליארדי דולרים (</w:t>
      </w:r>
      <w:r w:rsidR="004C0E4C" w:rsidRPr="004C0E4C">
        <w:rPr>
          <w:rFonts w:ascii="Arial" w:hAnsi="Arial" w:cs="David" w:hint="cs"/>
          <w:b/>
          <w:bCs/>
          <w:rtl/>
        </w:rPr>
        <w:t>5.2</w:t>
      </w:r>
      <w:r w:rsidR="0094360F" w:rsidRPr="004C0E4C">
        <w:rPr>
          <w:rFonts w:ascii="Arial" w:hAnsi="Arial" w:cs="David" w:hint="cs"/>
          <w:b/>
          <w:bCs/>
          <w:rtl/>
        </w:rPr>
        <w:t xml:space="preserve">%) </w:t>
      </w:r>
      <w:r w:rsidR="00167951" w:rsidRPr="004C0E4C">
        <w:rPr>
          <w:rFonts w:ascii="Arial" w:hAnsi="Arial" w:cs="David" w:hint="cs"/>
          <w:b/>
          <w:bCs/>
          <w:rtl/>
        </w:rPr>
        <w:t>ב</w:t>
      </w:r>
      <w:r w:rsidR="003C7778" w:rsidRPr="004C0E4C">
        <w:rPr>
          <w:rFonts w:ascii="Arial" w:hAnsi="Arial" w:cs="David" w:hint="cs"/>
          <w:b/>
          <w:bCs/>
          <w:rtl/>
        </w:rPr>
        <w:t>עודף הנכסים של המשק</w:t>
      </w:r>
      <w:r w:rsidR="00217D61" w:rsidRPr="004C0E4C">
        <w:rPr>
          <w:rFonts w:ascii="Arial" w:hAnsi="Arial" w:cs="David" w:hint="cs"/>
          <w:b/>
          <w:bCs/>
          <w:rtl/>
        </w:rPr>
        <w:t xml:space="preserve"> מול חו"ל, </w:t>
      </w:r>
      <w:r w:rsidR="008D3D52" w:rsidRPr="004C0E4C">
        <w:rPr>
          <w:rFonts w:ascii="Arial" w:hAnsi="Arial" w:cs="David" w:hint="cs"/>
          <w:b/>
          <w:bCs/>
          <w:rtl/>
        </w:rPr>
        <w:t>ו</w:t>
      </w:r>
      <w:r w:rsidR="00167951" w:rsidRPr="004C0E4C">
        <w:rPr>
          <w:rFonts w:ascii="Arial" w:hAnsi="Arial" w:cs="David" w:hint="cs"/>
          <w:b/>
          <w:bCs/>
          <w:rtl/>
        </w:rPr>
        <w:t xml:space="preserve">הוא </w:t>
      </w:r>
      <w:r w:rsidR="008D3D52" w:rsidRPr="004C0E4C">
        <w:rPr>
          <w:rFonts w:ascii="Arial" w:hAnsi="Arial" w:cs="David" w:hint="cs"/>
          <w:b/>
          <w:bCs/>
          <w:rtl/>
        </w:rPr>
        <w:t xml:space="preserve">עמד בסוף </w:t>
      </w:r>
      <w:r w:rsidRPr="004C0E4C">
        <w:rPr>
          <w:rFonts w:ascii="Arial" w:hAnsi="Arial" w:cs="David" w:hint="cs"/>
          <w:b/>
          <w:bCs/>
          <w:rtl/>
        </w:rPr>
        <w:t>דצמבר</w:t>
      </w:r>
      <w:r w:rsidR="008D3D52" w:rsidRPr="004C0E4C">
        <w:rPr>
          <w:rFonts w:ascii="Arial" w:hAnsi="Arial" w:cs="David" w:hint="cs"/>
          <w:b/>
          <w:bCs/>
          <w:rtl/>
        </w:rPr>
        <w:t xml:space="preserve"> על </w:t>
      </w:r>
      <w:r w:rsidR="004C0E4C" w:rsidRPr="004C0E4C">
        <w:rPr>
          <w:rFonts w:ascii="Arial" w:hAnsi="Arial" w:cs="David" w:hint="cs"/>
          <w:b/>
          <w:bCs/>
          <w:rtl/>
        </w:rPr>
        <w:t>68</w:t>
      </w:r>
      <w:r w:rsidR="008D3D52" w:rsidRPr="004C0E4C">
        <w:rPr>
          <w:rFonts w:ascii="Arial" w:hAnsi="Arial" w:cs="David" w:hint="cs"/>
          <w:b/>
          <w:bCs/>
          <w:rtl/>
        </w:rPr>
        <w:t xml:space="preserve"> מיליארדי דולרים</w:t>
      </w:r>
      <w:r w:rsidR="00167951" w:rsidRPr="004C0E4C">
        <w:rPr>
          <w:rFonts w:ascii="Arial" w:hAnsi="Arial" w:cs="David" w:hint="cs"/>
          <w:b/>
          <w:bCs/>
          <w:rtl/>
        </w:rPr>
        <w:t>:</w:t>
      </w:r>
      <w:r w:rsidR="008D3D52" w:rsidRPr="004C0E4C">
        <w:rPr>
          <w:rFonts w:ascii="Arial" w:hAnsi="Arial" w:cs="David" w:hint="cs"/>
          <w:b/>
          <w:bCs/>
          <w:rtl/>
        </w:rPr>
        <w:t xml:space="preserve"> </w:t>
      </w:r>
      <w:r w:rsidR="00251DFE" w:rsidRPr="004C0E4C">
        <w:rPr>
          <w:rFonts w:ascii="Arial" w:hAnsi="Arial" w:cs="David" w:hint="cs"/>
          <w:b/>
          <w:bCs/>
          <w:rtl/>
        </w:rPr>
        <w:t>עלייה</w:t>
      </w:r>
      <w:r w:rsidR="00167951" w:rsidRPr="004C0E4C">
        <w:rPr>
          <w:rFonts w:ascii="Arial" w:hAnsi="Arial" w:cs="David" w:hint="cs"/>
          <w:b/>
          <w:bCs/>
          <w:rtl/>
        </w:rPr>
        <w:t xml:space="preserve"> של </w:t>
      </w:r>
      <w:r w:rsidR="004C0E4C" w:rsidRPr="004C0E4C">
        <w:rPr>
          <w:rFonts w:ascii="Arial" w:hAnsi="Arial" w:cs="David" w:hint="cs"/>
          <w:b/>
          <w:bCs/>
          <w:rtl/>
        </w:rPr>
        <w:t>17.9</w:t>
      </w:r>
      <w:r w:rsidR="00167951" w:rsidRPr="004C0E4C">
        <w:rPr>
          <w:rFonts w:ascii="Arial" w:hAnsi="Arial" w:cs="David" w:hint="cs"/>
          <w:b/>
          <w:bCs/>
          <w:rtl/>
        </w:rPr>
        <w:t xml:space="preserve"> מיליארדי דולרים</w:t>
      </w:r>
      <w:r w:rsidR="0094360F" w:rsidRPr="004C0E4C">
        <w:rPr>
          <w:rFonts w:ascii="Arial" w:hAnsi="Arial" w:cs="David" w:hint="cs"/>
          <w:b/>
          <w:bCs/>
          <w:rtl/>
        </w:rPr>
        <w:t xml:space="preserve"> </w:t>
      </w:r>
      <w:r w:rsidR="00167951" w:rsidRPr="004C0E4C">
        <w:rPr>
          <w:rFonts w:ascii="Arial" w:hAnsi="Arial" w:cs="David" w:hint="cs"/>
          <w:b/>
          <w:bCs/>
          <w:rtl/>
        </w:rPr>
        <w:t>(</w:t>
      </w:r>
      <w:r w:rsidR="004C0E4C" w:rsidRPr="004C0E4C">
        <w:rPr>
          <w:rFonts w:ascii="Arial" w:hAnsi="Arial" w:cs="David" w:hint="cs"/>
          <w:b/>
          <w:bCs/>
          <w:rtl/>
        </w:rPr>
        <w:t>5.3</w:t>
      </w:r>
      <w:r w:rsidR="00167951" w:rsidRPr="004C0E4C">
        <w:rPr>
          <w:rFonts w:ascii="Arial" w:hAnsi="Arial" w:cs="David" w:hint="cs"/>
          <w:b/>
          <w:bCs/>
          <w:rtl/>
        </w:rPr>
        <w:t>%)</w:t>
      </w:r>
      <w:r w:rsidR="00251DFE" w:rsidRPr="004C0E4C">
        <w:rPr>
          <w:rFonts w:ascii="Arial" w:hAnsi="Arial" w:cs="David" w:hint="cs"/>
          <w:b/>
          <w:bCs/>
          <w:rtl/>
        </w:rPr>
        <w:t xml:space="preserve"> </w:t>
      </w:r>
      <w:r w:rsidR="004C0E4C" w:rsidRPr="004C0E4C">
        <w:rPr>
          <w:rFonts w:ascii="Arial" w:hAnsi="Arial" w:cs="David" w:hint="cs"/>
          <w:b/>
          <w:bCs/>
          <w:rtl/>
        </w:rPr>
        <w:t xml:space="preserve">בשווי יתרת הנכסים של המשק בחו"ל קוזזה בחלקה בעלייה של 14.5 מיליארדי דולרים (5.4%) בשווי יתרת ההתחייבויות של המשק כלפי תושבי חוץ. </w:t>
      </w:r>
    </w:p>
    <w:p w:rsidR="006515C7" w:rsidRPr="00F40985" w:rsidRDefault="00E12F98" w:rsidP="00F40985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F40985">
        <w:rPr>
          <w:rFonts w:ascii="Arial" w:hAnsi="Arial" w:cs="David" w:hint="cs"/>
          <w:b/>
          <w:bCs/>
          <w:rtl/>
        </w:rPr>
        <w:t>הגידול בשווי תיק הנכסים,</w:t>
      </w:r>
      <w:r w:rsidR="00F40985" w:rsidRPr="00F40985">
        <w:rPr>
          <w:rFonts w:ascii="Arial" w:hAnsi="Arial" w:cs="David" w:hint="cs"/>
          <w:b/>
          <w:bCs/>
          <w:rtl/>
        </w:rPr>
        <w:t xml:space="preserve"> בשנת 2015,</w:t>
      </w:r>
      <w:r w:rsidRPr="00F40985">
        <w:rPr>
          <w:rFonts w:ascii="Arial" w:hAnsi="Arial" w:cs="David" w:hint="cs"/>
          <w:b/>
          <w:bCs/>
          <w:rtl/>
        </w:rPr>
        <w:t xml:space="preserve"> נבע </w:t>
      </w:r>
      <w:r w:rsidR="009857AF" w:rsidRPr="00F40985">
        <w:rPr>
          <w:rFonts w:ascii="Arial" w:hAnsi="Arial" w:cs="David" w:hint="cs"/>
          <w:b/>
          <w:bCs/>
          <w:rtl/>
        </w:rPr>
        <w:t xml:space="preserve">בעיקר </w:t>
      </w:r>
      <w:r w:rsidR="00F40985" w:rsidRPr="00F40985">
        <w:rPr>
          <w:rFonts w:ascii="Arial" w:hAnsi="Arial" w:cs="David" w:hint="cs"/>
          <w:b/>
          <w:bCs/>
          <w:rtl/>
        </w:rPr>
        <w:t xml:space="preserve">מזרם משמעותי של השקעות ישירות (9.7 מיליארדי דולרים, 12.2%) ופיננסיות (10 מיליארדים, 9.4%) של תושבי ישראל בחו"ל וכן </w:t>
      </w:r>
      <w:r w:rsidR="00F40985">
        <w:rPr>
          <w:rFonts w:ascii="Arial" w:hAnsi="Arial" w:cs="David" w:hint="cs"/>
          <w:b/>
          <w:bCs/>
          <w:rtl/>
        </w:rPr>
        <w:t>מ</w:t>
      </w:r>
      <w:r w:rsidR="00F40985" w:rsidRPr="00F40985">
        <w:rPr>
          <w:rFonts w:ascii="Arial" w:hAnsi="Arial" w:cs="David" w:hint="cs"/>
          <w:b/>
          <w:bCs/>
          <w:rtl/>
        </w:rPr>
        <w:t>עלייה בנכסי הרזרבה (4.5 מיליארדים, 5.2%)</w:t>
      </w:r>
      <w:r w:rsidR="00D21D55" w:rsidRPr="00F40985">
        <w:rPr>
          <w:rFonts w:ascii="Arial" w:hAnsi="Arial" w:cs="David" w:hint="cs"/>
          <w:b/>
          <w:bCs/>
          <w:rtl/>
        </w:rPr>
        <w:t>.</w:t>
      </w:r>
    </w:p>
    <w:p w:rsidR="00F40985" w:rsidRPr="00F40985" w:rsidRDefault="00F40985" w:rsidP="00F40985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F40985">
        <w:rPr>
          <w:rFonts w:ascii="Arial" w:hAnsi="Arial" w:cs="David" w:hint="cs"/>
          <w:b/>
          <w:bCs/>
          <w:rtl/>
        </w:rPr>
        <w:t>העליי</w:t>
      </w:r>
      <w:r w:rsidRPr="00F40985">
        <w:rPr>
          <w:rFonts w:ascii="Arial" w:hAnsi="Arial" w:cs="David" w:hint="eastAsia"/>
          <w:b/>
          <w:bCs/>
          <w:rtl/>
        </w:rPr>
        <w:t>ה</w:t>
      </w:r>
      <w:r w:rsidRPr="00F40985">
        <w:rPr>
          <w:rFonts w:ascii="Arial" w:hAnsi="Arial" w:cs="David" w:hint="cs"/>
          <w:b/>
          <w:bCs/>
          <w:rtl/>
        </w:rPr>
        <w:t xml:space="preserve"> ביתרת ההתחייבויות ברוטו של המשק לחו"ל </w:t>
      </w:r>
      <w:r>
        <w:rPr>
          <w:rFonts w:ascii="Arial" w:hAnsi="Arial" w:cs="David" w:hint="cs"/>
          <w:b/>
          <w:bCs/>
          <w:rtl/>
        </w:rPr>
        <w:t xml:space="preserve">בשנת 2015 </w:t>
      </w:r>
      <w:r w:rsidRPr="00F40985">
        <w:rPr>
          <w:rFonts w:ascii="Arial" w:hAnsi="Arial" w:cs="David" w:hint="cs"/>
          <w:b/>
          <w:bCs/>
          <w:rtl/>
        </w:rPr>
        <w:t xml:space="preserve">נבעה בעיקר מזרם השקעות ישירות של תושבי חוץ במשק (11.6 מיליארדי דולרים, 12.4%) וכן </w:t>
      </w:r>
      <w:r>
        <w:rPr>
          <w:rFonts w:ascii="Arial" w:hAnsi="Arial" w:cs="David" w:hint="cs"/>
          <w:b/>
          <w:bCs/>
          <w:rtl/>
        </w:rPr>
        <w:t>מ</w:t>
      </w:r>
      <w:r w:rsidRPr="00F40985">
        <w:rPr>
          <w:rFonts w:ascii="Arial" w:hAnsi="Arial" w:cs="David" w:hint="cs"/>
          <w:b/>
          <w:bCs/>
          <w:rtl/>
        </w:rPr>
        <w:t xml:space="preserve">עלייה במחירי המניות הפיננסיות שמחזיקים תושבי חוץ (7.3 מיליארדים, 6%). </w:t>
      </w:r>
    </w:p>
    <w:p w:rsidR="00AD79F3" w:rsidRPr="00F40985" w:rsidRDefault="00F40985" w:rsidP="0070503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70503C">
        <w:rPr>
          <w:rFonts w:ascii="Arial" w:hAnsi="Arial" w:cs="David" w:hint="cs"/>
          <w:b/>
          <w:bCs/>
          <w:rtl/>
        </w:rPr>
        <w:t>היחס שבין החוב החיצוני לתמ"ג ירד בשנת 2015 ב-3.9 נקודות אחוז ועמד בסוף השנה על 30.3%, זאת בניגוד לעלייה של 0.9 נקודות אחוז בשנת 2014</w:t>
      </w:r>
      <w:r w:rsidR="00AD736C" w:rsidRPr="00F40985">
        <w:rPr>
          <w:rFonts w:ascii="Arial" w:hAnsi="Arial" w:cs="David" w:hint="cs"/>
          <w:b/>
          <w:bCs/>
          <w:rtl/>
        </w:rPr>
        <w:t xml:space="preserve">. </w:t>
      </w:r>
      <w:r w:rsidR="00AD79F3" w:rsidRPr="0070503C">
        <w:rPr>
          <w:rFonts w:ascii="Arial" w:hAnsi="Arial" w:cs="David" w:hint="cs"/>
          <w:b/>
          <w:bCs/>
          <w:rtl/>
        </w:rPr>
        <w:t>ה</w:t>
      </w:r>
      <w:r w:rsidRPr="0070503C">
        <w:rPr>
          <w:rFonts w:ascii="Arial" w:hAnsi="Arial" w:cs="David" w:hint="cs"/>
          <w:b/>
          <w:bCs/>
          <w:rtl/>
        </w:rPr>
        <w:t>ירידה</w:t>
      </w:r>
      <w:r w:rsidR="00AD79F3" w:rsidRPr="0070503C">
        <w:rPr>
          <w:rFonts w:ascii="Arial" w:hAnsi="Arial" w:cs="David" w:hint="cs"/>
          <w:b/>
          <w:bCs/>
          <w:rtl/>
        </w:rPr>
        <w:t xml:space="preserve"> ביחס החוב לתוצר נבע</w:t>
      </w:r>
      <w:r w:rsidRPr="0070503C">
        <w:rPr>
          <w:rFonts w:ascii="Arial" w:hAnsi="Arial" w:cs="David" w:hint="cs"/>
          <w:b/>
          <w:bCs/>
          <w:rtl/>
        </w:rPr>
        <w:t>ה</w:t>
      </w:r>
      <w:r w:rsidR="00AD79F3" w:rsidRPr="0070503C">
        <w:rPr>
          <w:rFonts w:ascii="Arial" w:hAnsi="Arial" w:cs="David" w:hint="cs"/>
          <w:b/>
          <w:bCs/>
          <w:rtl/>
        </w:rPr>
        <w:t xml:space="preserve"> </w:t>
      </w:r>
      <w:r w:rsidR="0070503C" w:rsidRPr="0070503C">
        <w:rPr>
          <w:rFonts w:ascii="Arial" w:hAnsi="Arial" w:cs="David" w:hint="cs"/>
          <w:b/>
          <w:bCs/>
          <w:rtl/>
        </w:rPr>
        <w:t>מירידה של החוב החיצוני ברוטו של המשק במקביל לעליית התוצר המקומי הגולמי</w:t>
      </w:r>
      <w:r w:rsidR="00AD79F3" w:rsidRPr="0070503C">
        <w:rPr>
          <w:rFonts w:ascii="Arial" w:hAnsi="Arial" w:cs="David" w:hint="cs"/>
          <w:b/>
          <w:bCs/>
          <w:rtl/>
        </w:rPr>
        <w:t>.</w:t>
      </w:r>
      <w:r w:rsidR="00AD79F3" w:rsidRPr="00F40985">
        <w:rPr>
          <w:rFonts w:ascii="Arial" w:hAnsi="Arial" w:cs="David" w:hint="cs"/>
          <w:b/>
          <w:bCs/>
          <w:rtl/>
        </w:rPr>
        <w:t xml:space="preserve"> </w:t>
      </w:r>
    </w:p>
    <w:p w:rsidR="009857AF" w:rsidRPr="007F34CB" w:rsidRDefault="00F54E7B" w:rsidP="007F34CB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7F34CB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7F34CB" w:rsidRPr="007F34CB">
        <w:rPr>
          <w:rFonts w:ascii="Arial" w:hAnsi="Arial" w:cs="David" w:hint="cs"/>
          <w:b/>
          <w:bCs/>
          <w:rtl/>
        </w:rPr>
        <w:t>עלה בשנת 2015 ב-18.6 מיליארדי דולרים (18.7%) ועמד בסוף השנה על כ-118 מיליארדים</w:t>
      </w:r>
      <w:r w:rsidRPr="007F34CB">
        <w:rPr>
          <w:rFonts w:ascii="Arial" w:hAnsi="Arial" w:cs="David" w:hint="cs"/>
          <w:b/>
          <w:bCs/>
          <w:rtl/>
        </w:rPr>
        <w:t>.</w:t>
      </w:r>
      <w:r w:rsidR="00784606" w:rsidRPr="007F34CB">
        <w:rPr>
          <w:rFonts w:ascii="Arial" w:hAnsi="Arial" w:cs="David" w:hint="cs"/>
          <w:b/>
          <w:bCs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 w:hint="cs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68481C" w:rsidRDefault="00092131" w:rsidP="0023163B">
      <w:pPr>
        <w:spacing w:line="360" w:lineRule="auto"/>
        <w:jc w:val="center"/>
        <w:rPr>
          <w:rFonts w:ascii="Arial" w:hAnsi="Arial" w:cs="David" w:hint="cs"/>
          <w:b/>
          <w:bCs/>
          <w:rtl/>
        </w:rPr>
      </w:pPr>
      <w:r w:rsidRPr="0068481C">
        <w:rPr>
          <w:rFonts w:ascii="Arial" w:hAnsi="Arial" w:cs="David" w:hint="cs"/>
          <w:b/>
          <w:bCs/>
          <w:rtl/>
        </w:rPr>
        <w:lastRenderedPageBreak/>
        <w:t xml:space="preserve">לוח 1: </w:t>
      </w:r>
      <w:r w:rsidR="00054C99" w:rsidRPr="0068481C">
        <w:rPr>
          <w:rFonts w:ascii="Arial" w:hAnsi="Arial" w:cs="David" w:hint="cs"/>
          <w:b/>
          <w:bCs/>
          <w:rtl/>
        </w:rPr>
        <w:t>יתרות הנכסים וההתחייבויות והשינויים בהם</w:t>
      </w:r>
    </w:p>
    <w:p w:rsidR="00854096" w:rsidRPr="0023163B" w:rsidRDefault="0068481C" w:rsidP="00854096">
      <w:pPr>
        <w:spacing w:line="360" w:lineRule="auto"/>
        <w:jc w:val="both"/>
      </w:pPr>
      <w:r>
        <w:rPr>
          <w:noProof/>
          <w:lang w:eastAsia="en-US"/>
        </w:rPr>
        <w:drawing>
          <wp:inline distT="0" distB="0" distL="0" distR="0" wp14:anchorId="3EC2158B" wp14:editId="36C156C1">
            <wp:extent cx="6124575" cy="3095625"/>
            <wp:effectExtent l="0" t="0" r="9525" b="9525"/>
            <wp:docPr id="2" name="תמונה 1" descr="לוח 1: יתרות הנכסים וההתחייבויות והשינויים בהם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A5" w:rsidRDefault="008B17A5" w:rsidP="00854096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A16F73" w:rsidRPr="0068481C" w:rsidRDefault="006F7093" w:rsidP="0068481C">
      <w:pPr>
        <w:pStyle w:val="ad"/>
        <w:numPr>
          <w:ilvl w:val="0"/>
          <w:numId w:val="13"/>
        </w:numPr>
        <w:spacing w:line="360" w:lineRule="auto"/>
        <w:ind w:right="425"/>
        <w:jc w:val="both"/>
        <w:rPr>
          <w:rFonts w:ascii="Arial" w:hAnsi="Arial" w:cs="David" w:hint="cs"/>
        </w:rPr>
      </w:pPr>
      <w:r w:rsidRPr="0068481C">
        <w:rPr>
          <w:rFonts w:ascii="Arial" w:hAnsi="Arial" w:cs="David" w:hint="cs"/>
          <w:b/>
          <w:bCs/>
          <w:rtl/>
        </w:rPr>
        <w:t>עודף הנכסים על ההתחייבויות</w:t>
      </w:r>
      <w:r w:rsidR="00CC3A41" w:rsidRPr="0068481C">
        <w:rPr>
          <w:rFonts w:ascii="Arial" w:hAnsi="Arial" w:cs="David" w:hint="cs"/>
          <w:b/>
          <w:bCs/>
          <w:rtl/>
        </w:rPr>
        <w:t xml:space="preserve"> של המשק מול חו"ל</w:t>
      </w:r>
      <w:r w:rsidR="00CE3CF7" w:rsidRPr="0068481C">
        <w:rPr>
          <w:rFonts w:ascii="Arial" w:hAnsi="Arial" w:cs="David" w:hint="cs"/>
          <w:rtl/>
        </w:rPr>
        <w:t xml:space="preserve"> </w:t>
      </w:r>
      <w:r w:rsidR="005E7A76" w:rsidRPr="0068481C">
        <w:rPr>
          <w:rFonts w:ascii="Arial" w:hAnsi="Arial" w:cs="David" w:hint="cs"/>
          <w:rtl/>
        </w:rPr>
        <w:t>עלה</w:t>
      </w:r>
      <w:r w:rsidR="00CC3A41" w:rsidRPr="0068481C">
        <w:rPr>
          <w:rFonts w:ascii="Arial" w:hAnsi="Arial" w:cs="David" w:hint="cs"/>
          <w:rtl/>
        </w:rPr>
        <w:t xml:space="preserve"> </w:t>
      </w:r>
      <w:r w:rsidR="005C4E3E" w:rsidRPr="0068481C">
        <w:rPr>
          <w:rFonts w:ascii="Arial" w:hAnsi="Arial" w:cs="David" w:hint="cs"/>
          <w:rtl/>
        </w:rPr>
        <w:t>במהלך</w:t>
      </w:r>
      <w:r w:rsidR="00B46419" w:rsidRPr="0068481C">
        <w:rPr>
          <w:rFonts w:ascii="Arial" w:hAnsi="Arial" w:cs="David" w:hint="cs"/>
          <w:rtl/>
        </w:rPr>
        <w:t xml:space="preserve"> </w:t>
      </w:r>
      <w:r w:rsidR="003558C7" w:rsidRPr="0068481C">
        <w:rPr>
          <w:rFonts w:ascii="Arial" w:hAnsi="Arial" w:cs="David" w:hint="cs"/>
          <w:rtl/>
        </w:rPr>
        <w:t>שנת 201</w:t>
      </w:r>
      <w:r w:rsidR="005E7A76" w:rsidRPr="0068481C">
        <w:rPr>
          <w:rFonts w:ascii="Arial" w:hAnsi="Arial" w:cs="David" w:hint="cs"/>
          <w:rtl/>
        </w:rPr>
        <w:t>5</w:t>
      </w:r>
      <w:r w:rsidR="00CC3A41" w:rsidRPr="0068481C">
        <w:rPr>
          <w:rFonts w:ascii="Arial" w:hAnsi="Arial" w:cs="David" w:hint="cs"/>
          <w:rtl/>
        </w:rPr>
        <w:t xml:space="preserve"> </w:t>
      </w:r>
      <w:r w:rsidR="005C4E3E" w:rsidRPr="0068481C">
        <w:rPr>
          <w:rFonts w:ascii="Arial" w:hAnsi="Arial" w:cs="David" w:hint="cs"/>
          <w:rtl/>
        </w:rPr>
        <w:t>ב-</w:t>
      </w:r>
      <w:r w:rsidR="005E7A76" w:rsidRPr="0068481C">
        <w:rPr>
          <w:rFonts w:ascii="Arial" w:hAnsi="Arial" w:cs="David" w:hint="cs"/>
          <w:rtl/>
        </w:rPr>
        <w:t>3.4</w:t>
      </w:r>
      <w:r w:rsidR="00ED0781" w:rsidRPr="0068481C">
        <w:rPr>
          <w:rFonts w:ascii="Arial" w:hAnsi="Arial" w:cs="David" w:hint="cs"/>
          <w:rtl/>
        </w:rPr>
        <w:t xml:space="preserve"> </w:t>
      </w:r>
      <w:r w:rsidR="002D6205" w:rsidRPr="0068481C">
        <w:rPr>
          <w:rFonts w:ascii="Arial" w:hAnsi="Arial" w:cs="David" w:hint="cs"/>
          <w:rtl/>
        </w:rPr>
        <w:t>מיליארדי דולרים</w:t>
      </w:r>
      <w:r w:rsidR="001654D9" w:rsidRPr="0068481C">
        <w:rPr>
          <w:rFonts w:ascii="Arial" w:hAnsi="Arial" w:cs="David" w:hint="cs"/>
          <w:rtl/>
        </w:rPr>
        <w:t xml:space="preserve"> (</w:t>
      </w:r>
      <w:r w:rsidR="005E7A76" w:rsidRPr="0068481C">
        <w:rPr>
          <w:rFonts w:ascii="Arial" w:hAnsi="Arial" w:cs="David" w:hint="cs"/>
          <w:rtl/>
        </w:rPr>
        <w:t>5.2</w:t>
      </w:r>
      <w:r w:rsidR="005C4E3E" w:rsidRPr="0068481C">
        <w:rPr>
          <w:rFonts w:ascii="Arial" w:hAnsi="Arial" w:cs="David" w:hint="cs"/>
          <w:rtl/>
        </w:rPr>
        <w:t>%</w:t>
      </w:r>
      <w:r w:rsidR="001654D9" w:rsidRPr="0068481C">
        <w:rPr>
          <w:rFonts w:ascii="Arial" w:hAnsi="Arial" w:cs="David" w:hint="cs"/>
          <w:rtl/>
        </w:rPr>
        <w:t>)</w:t>
      </w:r>
      <w:r w:rsidR="006676D5" w:rsidRPr="0068481C">
        <w:rPr>
          <w:rFonts w:ascii="Arial" w:hAnsi="Arial" w:cs="David" w:hint="cs"/>
          <w:rtl/>
        </w:rPr>
        <w:t xml:space="preserve"> </w:t>
      </w:r>
      <w:r w:rsidR="007057B4" w:rsidRPr="0068481C">
        <w:rPr>
          <w:rFonts w:ascii="Arial" w:hAnsi="Arial" w:cs="David" w:hint="cs"/>
          <w:rtl/>
        </w:rPr>
        <w:t xml:space="preserve">ועמד </w:t>
      </w:r>
      <w:r w:rsidR="00B46419" w:rsidRPr="0068481C">
        <w:rPr>
          <w:rFonts w:ascii="Arial" w:hAnsi="Arial" w:cs="David" w:hint="cs"/>
          <w:rtl/>
        </w:rPr>
        <w:t>ב</w:t>
      </w:r>
      <w:r w:rsidR="000E2DCA" w:rsidRPr="0068481C">
        <w:rPr>
          <w:rFonts w:ascii="Arial" w:hAnsi="Arial" w:cs="David" w:hint="cs"/>
          <w:rtl/>
        </w:rPr>
        <w:t xml:space="preserve">סוף </w:t>
      </w:r>
      <w:r w:rsidR="00A21C8B" w:rsidRPr="0068481C">
        <w:rPr>
          <w:rFonts w:ascii="Arial" w:hAnsi="Arial" w:cs="David" w:hint="cs"/>
          <w:rtl/>
        </w:rPr>
        <w:t>דצמבר</w:t>
      </w:r>
      <w:r w:rsidR="004C7474" w:rsidRPr="0068481C">
        <w:rPr>
          <w:rFonts w:ascii="Arial" w:hAnsi="Arial" w:cs="David" w:hint="cs"/>
          <w:rtl/>
        </w:rPr>
        <w:t xml:space="preserve"> </w:t>
      </w:r>
      <w:r w:rsidR="007057B4" w:rsidRPr="0068481C">
        <w:rPr>
          <w:rFonts w:ascii="Arial" w:hAnsi="Arial" w:cs="David" w:hint="cs"/>
          <w:rtl/>
        </w:rPr>
        <w:t>על</w:t>
      </w:r>
      <w:r w:rsidR="00D258EC" w:rsidRPr="0068481C">
        <w:rPr>
          <w:rFonts w:ascii="Arial" w:hAnsi="Arial" w:cs="David" w:hint="cs"/>
          <w:rtl/>
        </w:rPr>
        <w:t xml:space="preserve"> </w:t>
      </w:r>
      <w:r w:rsidR="005E7A76" w:rsidRPr="0068481C">
        <w:rPr>
          <w:rFonts w:ascii="Arial" w:hAnsi="Arial" w:cs="David" w:hint="cs"/>
          <w:rtl/>
        </w:rPr>
        <w:t>68</w:t>
      </w:r>
      <w:r w:rsidR="007057B4" w:rsidRPr="0068481C">
        <w:rPr>
          <w:rFonts w:ascii="Arial" w:hAnsi="Arial" w:cs="David" w:hint="cs"/>
          <w:rtl/>
        </w:rPr>
        <w:t xml:space="preserve"> מיליארדי דולרים. </w:t>
      </w:r>
      <w:r w:rsidR="00CC3A41" w:rsidRPr="0068481C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68481C">
        <w:rPr>
          <w:rFonts w:ascii="Arial" w:hAnsi="Arial" w:cs="David" w:hint="cs"/>
          <w:rtl/>
        </w:rPr>
        <w:t xml:space="preserve"> </w:t>
      </w:r>
    </w:p>
    <w:p w:rsidR="001E5E5C" w:rsidRDefault="00A16F73" w:rsidP="005E7A7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A16F73">
        <w:rPr>
          <w:rFonts w:ascii="Arial" w:hAnsi="Arial" w:cs="David" w:hint="cs"/>
          <w:rtl/>
        </w:rPr>
        <w:t xml:space="preserve">עלייה </w:t>
      </w:r>
      <w:r w:rsidR="0000797B">
        <w:rPr>
          <w:rFonts w:ascii="Arial" w:hAnsi="Arial" w:cs="David" w:hint="cs"/>
          <w:rtl/>
        </w:rPr>
        <w:t xml:space="preserve">של </w:t>
      </w:r>
      <w:r w:rsidR="00D43BBB">
        <w:rPr>
          <w:rFonts w:ascii="Arial" w:hAnsi="Arial" w:cs="David" w:hint="cs"/>
          <w:rtl/>
        </w:rPr>
        <w:t>17.9</w:t>
      </w:r>
      <w:r w:rsidR="0000797B">
        <w:rPr>
          <w:rFonts w:ascii="Arial" w:hAnsi="Arial" w:cs="David" w:hint="cs"/>
          <w:rtl/>
        </w:rPr>
        <w:t xml:space="preserve"> </w:t>
      </w:r>
      <w:r w:rsidR="0000797B" w:rsidRPr="00A16F73">
        <w:rPr>
          <w:rFonts w:ascii="Arial" w:hAnsi="Arial" w:cs="David" w:hint="cs"/>
          <w:rtl/>
        </w:rPr>
        <w:t>מיליארדי דולרים (</w:t>
      </w:r>
      <w:r w:rsidR="005E7A76">
        <w:rPr>
          <w:rFonts w:ascii="Arial" w:hAnsi="Arial" w:cs="David" w:hint="cs"/>
          <w:rtl/>
        </w:rPr>
        <w:t>5.3</w:t>
      </w:r>
      <w:r w:rsidR="0000797B" w:rsidRPr="00A16F73">
        <w:rPr>
          <w:rFonts w:ascii="Arial" w:hAnsi="Arial" w:cs="David" w:hint="cs"/>
          <w:rtl/>
        </w:rPr>
        <w:t>%)</w:t>
      </w:r>
      <w:r w:rsidR="00D43BBB">
        <w:rPr>
          <w:rFonts w:ascii="Arial" w:hAnsi="Arial" w:cs="David" w:hint="cs"/>
          <w:rtl/>
        </w:rPr>
        <w:t xml:space="preserve"> </w:t>
      </w:r>
      <w:r w:rsidR="00ED0781" w:rsidRPr="00A16F73">
        <w:rPr>
          <w:rFonts w:ascii="Arial" w:hAnsi="Arial" w:cs="David" w:hint="cs"/>
          <w:rtl/>
        </w:rPr>
        <w:t xml:space="preserve">בשווי יתרת </w:t>
      </w:r>
      <w:r w:rsidR="005E7A76">
        <w:rPr>
          <w:rFonts w:ascii="Arial" w:hAnsi="Arial" w:cs="David" w:hint="cs"/>
          <w:rtl/>
        </w:rPr>
        <w:t xml:space="preserve">הנכסים </w:t>
      </w:r>
      <w:r w:rsidR="000E1CA2">
        <w:rPr>
          <w:rFonts w:ascii="Arial" w:hAnsi="Arial" w:cs="David" w:hint="cs"/>
          <w:rtl/>
        </w:rPr>
        <w:t xml:space="preserve">של המשק </w:t>
      </w:r>
      <w:r w:rsidR="005E7A76">
        <w:rPr>
          <w:rFonts w:ascii="Arial" w:hAnsi="Arial" w:cs="David" w:hint="cs"/>
          <w:rtl/>
        </w:rPr>
        <w:t xml:space="preserve">בחו"ל </w:t>
      </w:r>
      <w:r w:rsidR="000E6E2D">
        <w:rPr>
          <w:rFonts w:ascii="Arial" w:hAnsi="Arial" w:cs="David" w:hint="cs"/>
          <w:rtl/>
        </w:rPr>
        <w:t xml:space="preserve">קוזזה </w:t>
      </w:r>
      <w:r w:rsidR="00217D61">
        <w:rPr>
          <w:rFonts w:ascii="Arial" w:hAnsi="Arial" w:cs="David" w:hint="cs"/>
          <w:rtl/>
        </w:rPr>
        <w:t>ב</w:t>
      </w:r>
      <w:r w:rsidR="005E7A76">
        <w:rPr>
          <w:rFonts w:ascii="Arial" w:hAnsi="Arial" w:cs="David" w:hint="cs"/>
          <w:rtl/>
        </w:rPr>
        <w:t xml:space="preserve">חלקה </w:t>
      </w:r>
      <w:r w:rsidR="000E6E2D">
        <w:rPr>
          <w:rFonts w:ascii="Arial" w:hAnsi="Arial" w:cs="David" w:hint="cs"/>
          <w:rtl/>
        </w:rPr>
        <w:t xml:space="preserve">בעלייה של  </w:t>
      </w:r>
      <w:r w:rsidR="005E7A76">
        <w:rPr>
          <w:rFonts w:ascii="Arial" w:hAnsi="Arial" w:cs="David" w:hint="cs"/>
          <w:rtl/>
        </w:rPr>
        <w:t xml:space="preserve"> 14.5 </w:t>
      </w:r>
      <w:r w:rsidR="000E6E2D">
        <w:rPr>
          <w:rFonts w:ascii="Arial" w:hAnsi="Arial" w:cs="David" w:hint="cs"/>
          <w:rtl/>
        </w:rPr>
        <w:t>מיליארדי דולרים (</w:t>
      </w:r>
      <w:r w:rsidR="005E7A76">
        <w:rPr>
          <w:rFonts w:ascii="Arial" w:hAnsi="Arial" w:cs="David" w:hint="cs"/>
          <w:rtl/>
        </w:rPr>
        <w:t>5.4</w:t>
      </w:r>
      <w:r w:rsidR="000E6E2D">
        <w:rPr>
          <w:rFonts w:ascii="Arial" w:hAnsi="Arial" w:cs="David" w:hint="cs"/>
          <w:rtl/>
        </w:rPr>
        <w:t xml:space="preserve">%) בשווי יתרת </w:t>
      </w:r>
      <w:r w:rsidR="005E7A76">
        <w:rPr>
          <w:rFonts w:ascii="Arial" w:hAnsi="Arial" w:cs="David" w:hint="cs"/>
          <w:rtl/>
        </w:rPr>
        <w:t>ההתחייבויות</w:t>
      </w:r>
      <w:r w:rsidR="005E7A76" w:rsidRPr="00A16F73">
        <w:rPr>
          <w:rFonts w:ascii="Arial" w:hAnsi="Arial" w:cs="David" w:hint="cs"/>
          <w:rtl/>
        </w:rPr>
        <w:t xml:space="preserve"> </w:t>
      </w:r>
      <w:r w:rsidR="00ED0781" w:rsidRPr="00A16F73">
        <w:rPr>
          <w:rFonts w:ascii="Arial" w:hAnsi="Arial" w:cs="David" w:hint="cs"/>
          <w:rtl/>
        </w:rPr>
        <w:t xml:space="preserve">של המשק </w:t>
      </w:r>
      <w:r w:rsidR="005E7A76">
        <w:rPr>
          <w:rFonts w:ascii="Arial" w:hAnsi="Arial" w:cs="David" w:hint="cs"/>
          <w:rtl/>
        </w:rPr>
        <w:t xml:space="preserve">לתושבי חוץ </w:t>
      </w:r>
      <w:r w:rsidR="005551D7" w:rsidRPr="003F3174">
        <w:rPr>
          <w:rFonts w:ascii="Arial" w:hAnsi="Arial" w:cs="David" w:hint="cs"/>
          <w:rtl/>
        </w:rPr>
        <w:t>(תרשים 1)</w:t>
      </w:r>
      <w:r w:rsidR="0080374B" w:rsidRPr="003F3174">
        <w:rPr>
          <w:rFonts w:ascii="Arial" w:hAnsi="Arial" w:cs="David" w:hint="cs"/>
          <w:rtl/>
        </w:rPr>
        <w:t xml:space="preserve">. </w:t>
      </w:r>
    </w:p>
    <w:p w:rsidR="00616683" w:rsidRDefault="001E5E5C" w:rsidP="00572E7B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AF6E37">
        <w:rPr>
          <w:rFonts w:ascii="Arial" w:hAnsi="Arial" w:cs="David" w:hint="cs"/>
          <w:rtl/>
        </w:rPr>
        <w:t>העלייה ב</w:t>
      </w:r>
      <w:r>
        <w:rPr>
          <w:rFonts w:ascii="Arial" w:hAnsi="Arial" w:cs="David" w:hint="cs"/>
          <w:rtl/>
        </w:rPr>
        <w:t>שווי יתרת ה</w:t>
      </w:r>
      <w:r w:rsidR="00867E70">
        <w:rPr>
          <w:rFonts w:ascii="Arial" w:hAnsi="Arial" w:cs="David" w:hint="cs"/>
          <w:rtl/>
        </w:rPr>
        <w:t>נכסים</w:t>
      </w:r>
      <w:r w:rsidRPr="00AF6E37">
        <w:rPr>
          <w:rFonts w:ascii="Arial" w:hAnsi="Arial" w:cs="David" w:hint="cs"/>
          <w:rtl/>
        </w:rPr>
        <w:t xml:space="preserve"> ברוטו של המשק </w:t>
      </w:r>
      <w:r w:rsidR="00046109">
        <w:rPr>
          <w:rFonts w:ascii="Arial" w:hAnsi="Arial" w:cs="David" w:hint="cs"/>
          <w:rtl/>
        </w:rPr>
        <w:t>במהלך השנה</w:t>
      </w:r>
      <w:r w:rsidR="00572E7B">
        <w:rPr>
          <w:rFonts w:ascii="Arial" w:hAnsi="Arial" w:cs="David" w:hint="cs"/>
          <w:rtl/>
        </w:rPr>
        <w:t xml:space="preserve"> נבעה ברובה מ</w:t>
      </w:r>
      <w:r w:rsidR="00867E70">
        <w:rPr>
          <w:rFonts w:ascii="Arial" w:hAnsi="Arial" w:cs="David" w:hint="cs"/>
          <w:rtl/>
        </w:rPr>
        <w:t>זרם משמעותי של השקעות ישירות ופיננסיות של תושבי ישראל בחו"ל</w:t>
      </w:r>
      <w:r w:rsidR="00E231CA">
        <w:rPr>
          <w:rFonts w:ascii="Arial" w:hAnsi="Arial" w:cs="David" w:hint="cs"/>
          <w:rtl/>
        </w:rPr>
        <w:t xml:space="preserve"> וכן </w:t>
      </w:r>
      <w:r w:rsidR="00572E7B">
        <w:rPr>
          <w:rFonts w:ascii="Arial" w:hAnsi="Arial" w:cs="David" w:hint="cs"/>
          <w:rtl/>
        </w:rPr>
        <w:t>מ</w:t>
      </w:r>
      <w:r w:rsidR="00E231CA">
        <w:rPr>
          <w:rFonts w:ascii="Arial" w:hAnsi="Arial" w:cs="David" w:hint="cs"/>
          <w:rtl/>
        </w:rPr>
        <w:t>עלייה בנכסי הרזרבה.</w:t>
      </w:r>
      <w:r w:rsidR="00867E70">
        <w:rPr>
          <w:rFonts w:ascii="Arial" w:hAnsi="Arial" w:cs="David" w:hint="cs"/>
          <w:rtl/>
        </w:rPr>
        <w:t xml:space="preserve"> </w:t>
      </w:r>
      <w:r w:rsidR="002926E9">
        <w:rPr>
          <w:rFonts w:ascii="Arial" w:hAnsi="Arial" w:cs="David" w:hint="cs"/>
          <w:rtl/>
        </w:rPr>
        <w:t>העלייה בשווי ה</w:t>
      </w:r>
      <w:r w:rsidR="00E231CA">
        <w:rPr>
          <w:rFonts w:ascii="Arial" w:hAnsi="Arial" w:cs="David" w:hint="cs"/>
          <w:rtl/>
        </w:rPr>
        <w:t>התחייבויות ברוטו</w:t>
      </w:r>
      <w:r w:rsidR="002926E9">
        <w:rPr>
          <w:rFonts w:ascii="Arial" w:hAnsi="Arial" w:cs="David" w:hint="cs"/>
          <w:rtl/>
        </w:rPr>
        <w:t xml:space="preserve"> של </w:t>
      </w:r>
      <w:r w:rsidR="00E231CA">
        <w:rPr>
          <w:rFonts w:ascii="Arial" w:hAnsi="Arial" w:cs="David" w:hint="cs"/>
          <w:rtl/>
        </w:rPr>
        <w:t>המשק כלפי תושבי חוץ</w:t>
      </w:r>
      <w:r w:rsidR="002926E9">
        <w:rPr>
          <w:rFonts w:ascii="Arial" w:hAnsi="Arial" w:cs="David" w:hint="cs"/>
          <w:rtl/>
        </w:rPr>
        <w:t xml:space="preserve"> שיקפה בעיקר </w:t>
      </w:r>
      <w:r w:rsidR="00E231CA">
        <w:rPr>
          <w:rFonts w:ascii="Arial" w:hAnsi="Arial" w:cs="David" w:hint="cs"/>
          <w:rtl/>
        </w:rPr>
        <w:t>זרם השקעות ישירות של תושבי חוץ במשק וכן</w:t>
      </w:r>
      <w:r w:rsidR="002926E9">
        <w:rPr>
          <w:rFonts w:ascii="Arial" w:hAnsi="Arial" w:cs="David" w:hint="cs"/>
          <w:rtl/>
        </w:rPr>
        <w:t xml:space="preserve"> </w:t>
      </w:r>
      <w:r w:rsidR="00E231CA" w:rsidRPr="00AF6E37">
        <w:rPr>
          <w:rFonts w:ascii="Arial" w:hAnsi="Arial" w:cs="David" w:hint="cs"/>
          <w:rtl/>
        </w:rPr>
        <w:t>עלייה במחירי המניות שמחזיקים תושבי חוץ</w:t>
      </w:r>
      <w:r w:rsidR="00E231CA">
        <w:rPr>
          <w:rFonts w:ascii="Arial" w:hAnsi="Arial" w:cs="David" w:hint="cs"/>
          <w:rtl/>
        </w:rPr>
        <w:t>.</w:t>
      </w:r>
    </w:p>
    <w:p w:rsidR="00A16F73" w:rsidRDefault="000E79EF" w:rsidP="00662AC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68481C">
        <w:rPr>
          <w:rFonts w:ascii="Arial" w:hAnsi="Arial" w:cs="David" w:hint="cs"/>
          <w:b/>
          <w:bCs/>
          <w:rtl/>
        </w:rPr>
        <w:t>ברביע הרביעי</w:t>
      </w:r>
      <w:r>
        <w:rPr>
          <w:rFonts w:ascii="Arial" w:hAnsi="Arial" w:cs="David" w:hint="cs"/>
          <w:rtl/>
        </w:rPr>
        <w:t xml:space="preserve"> של השנה נעצרה מגמת ה</w:t>
      </w:r>
      <w:r w:rsidR="00662AC6">
        <w:rPr>
          <w:rFonts w:ascii="Arial" w:hAnsi="Arial" w:cs="David" w:hint="cs"/>
          <w:rtl/>
        </w:rPr>
        <w:t>עלייה</w:t>
      </w:r>
      <w:r>
        <w:rPr>
          <w:rFonts w:ascii="Arial" w:hAnsi="Arial" w:cs="David" w:hint="cs"/>
          <w:rtl/>
        </w:rPr>
        <w:t xml:space="preserve"> בעודף הנכסים של המשק, והוא </w:t>
      </w:r>
      <w:r w:rsidR="00662AC6">
        <w:rPr>
          <w:rFonts w:ascii="Arial" w:hAnsi="Arial" w:cs="David" w:hint="cs"/>
          <w:rtl/>
        </w:rPr>
        <w:t xml:space="preserve">ירד </w:t>
      </w:r>
      <w:r w:rsidR="00E95830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E95830">
        <w:rPr>
          <w:rFonts w:ascii="Arial" w:hAnsi="Arial" w:cs="David" w:hint="cs"/>
          <w:rtl/>
        </w:rPr>
        <w:t>כ-</w:t>
      </w:r>
      <w:r w:rsidR="00662AC6">
        <w:rPr>
          <w:rFonts w:ascii="Arial" w:hAnsi="Arial" w:cs="David" w:hint="cs"/>
          <w:rtl/>
        </w:rPr>
        <w:t>4.5</w:t>
      </w:r>
      <w:r w:rsidR="00E95830">
        <w:rPr>
          <w:rFonts w:ascii="Arial" w:hAnsi="Arial" w:cs="David" w:hint="cs"/>
          <w:rtl/>
        </w:rPr>
        <w:t xml:space="preserve"> מיליארדי דולרים</w:t>
      </w:r>
      <w:r w:rsidR="00662AC6">
        <w:rPr>
          <w:rFonts w:ascii="Arial" w:hAnsi="Arial" w:cs="David" w:hint="cs"/>
          <w:rtl/>
        </w:rPr>
        <w:t>:</w:t>
      </w:r>
      <w:r w:rsidR="00E95830">
        <w:rPr>
          <w:rFonts w:ascii="Arial" w:hAnsi="Arial" w:cs="David" w:hint="cs"/>
          <w:rtl/>
        </w:rPr>
        <w:t xml:space="preserve"> </w:t>
      </w:r>
      <w:r w:rsidR="00662AC6">
        <w:rPr>
          <w:rFonts w:ascii="Arial" w:hAnsi="Arial" w:cs="David" w:hint="cs"/>
          <w:rtl/>
        </w:rPr>
        <w:t>גידול ביתרת ההתחייבויות של המשק (16.7 מיליארדי דולרים, 6.2%) בהיקף גדול יותר מהגידול ביתרת הנכסים של המשק (12.2 מיליארדים, 3.6%) בעיקר עקב השפעה גדולה יותר של המחירים והשער על יתרת ההתחייבויות (3.7%).</w:t>
      </w:r>
      <w:r w:rsidR="00616683">
        <w:rPr>
          <w:rFonts w:ascii="Arial" w:hAnsi="Arial" w:cs="David" w:hint="cs"/>
          <w:rtl/>
        </w:rPr>
        <w:t xml:space="preserve"> </w:t>
      </w:r>
    </w:p>
    <w:p w:rsidR="007022B2" w:rsidRDefault="0068481C" w:rsidP="005C4E3E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6012180" cy="3668395"/>
            <wp:effectExtent l="0" t="0" r="7620" b="8255"/>
            <wp:docPr id="44" name="תמונה 44" descr="תרשים 1: עודף הנכסים על התחייבויות של משק מול חו&quot;ל" title="תרשים 1: עודף הנכסים על התחייבויות של 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66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096" w:rsidRPr="003F3174" w:rsidRDefault="00854096" w:rsidP="005C0E25">
      <w:pPr>
        <w:tabs>
          <w:tab w:val="left" w:pos="6120"/>
        </w:tabs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EA785C" w:rsidRPr="0068481C" w:rsidRDefault="004C7474" w:rsidP="0068481C">
      <w:pPr>
        <w:pStyle w:val="ad"/>
        <w:numPr>
          <w:ilvl w:val="0"/>
          <w:numId w:val="13"/>
        </w:num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68481C">
        <w:rPr>
          <w:rFonts w:ascii="Arial" w:hAnsi="Arial" w:cs="David" w:hint="cs"/>
          <w:b/>
          <w:bCs/>
          <w:rtl/>
        </w:rPr>
        <w:t>שווי תיק</w:t>
      </w:r>
      <w:r w:rsidR="00393B21" w:rsidRPr="0068481C">
        <w:rPr>
          <w:rFonts w:ascii="Arial" w:hAnsi="Arial" w:cs="David" w:hint="cs"/>
          <w:b/>
          <w:bCs/>
          <w:rtl/>
        </w:rPr>
        <w:t xml:space="preserve"> הנכסים של </w:t>
      </w:r>
      <w:r w:rsidR="00172E92" w:rsidRPr="0068481C">
        <w:rPr>
          <w:rFonts w:ascii="Arial" w:hAnsi="Arial" w:cs="David" w:hint="cs"/>
          <w:b/>
          <w:bCs/>
          <w:rtl/>
        </w:rPr>
        <w:t>תושבי ישראל</w:t>
      </w:r>
      <w:r w:rsidR="00393B21" w:rsidRPr="0068481C">
        <w:rPr>
          <w:rFonts w:ascii="Arial" w:hAnsi="Arial" w:cs="David" w:hint="cs"/>
          <w:b/>
          <w:bCs/>
          <w:rtl/>
        </w:rPr>
        <w:t xml:space="preserve"> בחו"ל </w:t>
      </w:r>
      <w:r w:rsidR="00CC3A41" w:rsidRPr="0068481C">
        <w:rPr>
          <w:rFonts w:ascii="Arial" w:hAnsi="Arial" w:cs="David" w:hint="cs"/>
          <w:b/>
          <w:bCs/>
          <w:rtl/>
        </w:rPr>
        <w:t xml:space="preserve"> </w:t>
      </w:r>
      <w:r w:rsidR="006F5656" w:rsidRPr="0068481C">
        <w:rPr>
          <w:rFonts w:ascii="Arial" w:hAnsi="Arial" w:cs="David" w:hint="cs"/>
          <w:rtl/>
        </w:rPr>
        <w:t>עלה</w:t>
      </w:r>
      <w:r w:rsidR="00C11C89" w:rsidRPr="0068481C">
        <w:rPr>
          <w:rFonts w:ascii="Arial" w:hAnsi="Arial" w:cs="David" w:hint="cs"/>
          <w:rtl/>
        </w:rPr>
        <w:t xml:space="preserve"> </w:t>
      </w:r>
      <w:r w:rsidR="00931172" w:rsidRPr="0068481C">
        <w:rPr>
          <w:rFonts w:ascii="Arial" w:hAnsi="Arial" w:cs="David" w:hint="cs"/>
          <w:rtl/>
        </w:rPr>
        <w:t>ב</w:t>
      </w:r>
      <w:r w:rsidR="006A2664" w:rsidRPr="0068481C">
        <w:rPr>
          <w:rFonts w:ascii="Arial" w:hAnsi="Arial" w:cs="David" w:hint="cs"/>
          <w:rtl/>
        </w:rPr>
        <w:t xml:space="preserve">שנת </w:t>
      </w:r>
      <w:r w:rsidR="0024715E" w:rsidRPr="0068481C">
        <w:rPr>
          <w:rFonts w:ascii="Arial" w:hAnsi="Arial" w:cs="David" w:hint="cs"/>
          <w:rtl/>
        </w:rPr>
        <w:t>2015</w:t>
      </w:r>
      <w:r w:rsidR="006A2664" w:rsidRPr="0068481C">
        <w:rPr>
          <w:rFonts w:ascii="Arial" w:hAnsi="Arial" w:cs="David" w:hint="cs"/>
          <w:rtl/>
        </w:rPr>
        <w:t xml:space="preserve"> ב</w:t>
      </w:r>
      <w:r w:rsidR="00687F2A" w:rsidRPr="0068481C">
        <w:rPr>
          <w:rFonts w:ascii="Arial" w:hAnsi="Arial" w:cs="David" w:hint="cs"/>
          <w:rtl/>
        </w:rPr>
        <w:t>-</w:t>
      </w:r>
      <w:r w:rsidR="00864EA9" w:rsidRPr="0068481C">
        <w:rPr>
          <w:rFonts w:ascii="Arial" w:hAnsi="Arial" w:cs="David" w:hint="cs"/>
          <w:rtl/>
        </w:rPr>
        <w:t>17.9</w:t>
      </w:r>
      <w:r w:rsidR="005A02F2" w:rsidRPr="0068481C">
        <w:rPr>
          <w:rFonts w:ascii="Arial" w:hAnsi="Arial" w:cs="David" w:hint="cs"/>
          <w:rtl/>
        </w:rPr>
        <w:t xml:space="preserve"> </w:t>
      </w:r>
      <w:r w:rsidR="00287759" w:rsidRPr="0068481C">
        <w:rPr>
          <w:rFonts w:ascii="Arial" w:hAnsi="Arial" w:cs="David" w:hint="cs"/>
          <w:rtl/>
        </w:rPr>
        <w:t>מיליארדי</w:t>
      </w:r>
      <w:r w:rsidR="00C11C89" w:rsidRPr="0068481C">
        <w:rPr>
          <w:rFonts w:ascii="Arial" w:hAnsi="Arial" w:cs="David" w:hint="cs"/>
          <w:rtl/>
        </w:rPr>
        <w:t xml:space="preserve"> </w:t>
      </w:r>
      <w:r w:rsidR="00687F2A" w:rsidRPr="0068481C">
        <w:rPr>
          <w:rFonts w:ascii="Arial" w:hAnsi="Arial" w:cs="David" w:hint="cs"/>
          <w:rtl/>
        </w:rPr>
        <w:t>דולרים</w:t>
      </w:r>
      <w:r w:rsidR="00CB7AE3" w:rsidRPr="0068481C">
        <w:rPr>
          <w:rFonts w:ascii="Arial" w:hAnsi="Arial" w:cs="David" w:hint="cs"/>
          <w:rtl/>
        </w:rPr>
        <w:t xml:space="preserve"> (</w:t>
      </w:r>
      <w:r w:rsidR="00864EA9" w:rsidRPr="0068481C">
        <w:rPr>
          <w:rFonts w:ascii="Arial" w:hAnsi="Arial" w:cs="David" w:hint="cs"/>
          <w:rtl/>
        </w:rPr>
        <w:t>5.3</w:t>
      </w:r>
      <w:r w:rsidR="00CB7AE3" w:rsidRPr="0068481C">
        <w:rPr>
          <w:rFonts w:ascii="Arial" w:hAnsi="Arial" w:cs="David" w:hint="cs"/>
          <w:rtl/>
        </w:rPr>
        <w:t>%)</w:t>
      </w:r>
      <w:r w:rsidR="00800C53" w:rsidRPr="0068481C">
        <w:rPr>
          <w:rFonts w:ascii="Arial" w:hAnsi="Arial" w:cs="David" w:hint="cs"/>
          <w:rtl/>
        </w:rPr>
        <w:t xml:space="preserve"> </w:t>
      </w:r>
      <w:r w:rsidR="006A2664" w:rsidRPr="0068481C">
        <w:rPr>
          <w:rFonts w:ascii="Arial" w:hAnsi="Arial" w:cs="David" w:hint="cs"/>
          <w:rtl/>
        </w:rPr>
        <w:t>ועמד</w:t>
      </w:r>
      <w:r w:rsidR="00393B21" w:rsidRPr="0068481C">
        <w:rPr>
          <w:rFonts w:ascii="Arial" w:hAnsi="Arial" w:cs="David" w:hint="cs"/>
          <w:rtl/>
        </w:rPr>
        <w:t xml:space="preserve"> בסוף </w:t>
      </w:r>
      <w:r w:rsidR="00F96FB7" w:rsidRPr="0068481C">
        <w:rPr>
          <w:rFonts w:ascii="Arial" w:hAnsi="Arial" w:cs="David" w:hint="cs"/>
          <w:rtl/>
        </w:rPr>
        <w:t>דצמבר</w:t>
      </w:r>
      <w:r w:rsidR="00F50EC0" w:rsidRPr="0068481C">
        <w:rPr>
          <w:rFonts w:ascii="Arial" w:hAnsi="Arial" w:cs="David" w:hint="cs"/>
          <w:rtl/>
        </w:rPr>
        <w:t xml:space="preserve"> </w:t>
      </w:r>
      <w:r w:rsidR="00E91B53" w:rsidRPr="0068481C">
        <w:rPr>
          <w:rFonts w:ascii="Arial" w:hAnsi="Arial" w:cs="David" w:hint="cs"/>
          <w:rtl/>
        </w:rPr>
        <w:t xml:space="preserve">על </w:t>
      </w:r>
      <w:r w:rsidR="00393B21" w:rsidRPr="0068481C">
        <w:rPr>
          <w:rFonts w:ascii="Arial" w:hAnsi="Arial" w:cs="David" w:hint="cs"/>
          <w:rtl/>
        </w:rPr>
        <w:t>כ</w:t>
      </w:r>
      <w:r w:rsidR="008960A5" w:rsidRPr="0068481C">
        <w:rPr>
          <w:rFonts w:ascii="Arial" w:hAnsi="Arial" w:cs="David" w:hint="cs"/>
          <w:rtl/>
        </w:rPr>
        <w:t>-</w:t>
      </w:r>
      <w:r w:rsidR="00F96FB7" w:rsidRPr="0068481C">
        <w:rPr>
          <w:rFonts w:ascii="Arial" w:hAnsi="Arial" w:cs="David" w:hint="cs"/>
          <w:rtl/>
        </w:rPr>
        <w:t>3</w:t>
      </w:r>
      <w:r w:rsidR="00864EA9" w:rsidRPr="0068481C">
        <w:rPr>
          <w:rFonts w:ascii="Arial" w:hAnsi="Arial" w:cs="David" w:hint="cs"/>
          <w:rtl/>
        </w:rPr>
        <w:t>53</w:t>
      </w:r>
      <w:r w:rsidR="00BC4789" w:rsidRPr="0068481C">
        <w:rPr>
          <w:rFonts w:ascii="Arial" w:hAnsi="Arial" w:cs="David" w:hint="cs"/>
          <w:rtl/>
        </w:rPr>
        <w:t xml:space="preserve"> </w:t>
      </w:r>
      <w:r w:rsidR="00393B21" w:rsidRPr="0068481C">
        <w:rPr>
          <w:rFonts w:ascii="Arial" w:hAnsi="Arial" w:cs="David" w:hint="cs"/>
          <w:rtl/>
        </w:rPr>
        <w:t>מיליארדי</w:t>
      </w:r>
      <w:r w:rsidR="007D14BB" w:rsidRPr="0068481C">
        <w:rPr>
          <w:rFonts w:ascii="Arial" w:hAnsi="Arial" w:cs="David" w:hint="cs"/>
          <w:rtl/>
        </w:rPr>
        <w:t xml:space="preserve"> דולרים</w:t>
      </w:r>
      <w:r w:rsidR="00BE41CB" w:rsidRPr="0068481C">
        <w:rPr>
          <w:rFonts w:ascii="Arial" w:hAnsi="Arial" w:cs="David" w:hint="cs"/>
          <w:rtl/>
        </w:rPr>
        <w:t xml:space="preserve">. </w:t>
      </w:r>
      <w:r w:rsidR="00572E7B" w:rsidRPr="0068481C">
        <w:rPr>
          <w:rFonts w:ascii="Arial" w:hAnsi="Arial" w:cs="David" w:hint="cs"/>
          <w:rtl/>
        </w:rPr>
        <w:t xml:space="preserve">עיקר </w:t>
      </w:r>
      <w:r w:rsidR="000E79EF" w:rsidRPr="0068481C">
        <w:rPr>
          <w:rFonts w:ascii="Arial" w:hAnsi="Arial" w:cs="David" w:hint="cs"/>
          <w:rtl/>
        </w:rPr>
        <w:t xml:space="preserve">הגידול בתיק הנכסים </w:t>
      </w:r>
      <w:r w:rsidR="005B0BF4" w:rsidRPr="0068481C">
        <w:rPr>
          <w:rFonts w:ascii="Arial" w:hAnsi="Arial" w:cs="David" w:hint="cs"/>
          <w:rtl/>
        </w:rPr>
        <w:t>כתוצאה</w:t>
      </w:r>
      <w:r w:rsidR="000E79EF" w:rsidRPr="0068481C">
        <w:rPr>
          <w:rFonts w:ascii="Arial" w:hAnsi="Arial" w:cs="David" w:hint="cs"/>
          <w:rtl/>
        </w:rPr>
        <w:t xml:space="preserve"> </w:t>
      </w:r>
      <w:r w:rsidR="00EF3A07" w:rsidRPr="0068481C">
        <w:rPr>
          <w:rFonts w:ascii="Arial" w:hAnsi="Arial" w:cs="David" w:hint="cs"/>
          <w:rtl/>
        </w:rPr>
        <w:t>מ</w:t>
      </w:r>
      <w:r w:rsidR="000E79EF" w:rsidRPr="0068481C">
        <w:rPr>
          <w:rFonts w:ascii="Arial" w:hAnsi="Arial" w:cs="David" w:hint="cs"/>
          <w:rtl/>
        </w:rPr>
        <w:t xml:space="preserve">זרם </w:t>
      </w:r>
      <w:r w:rsidR="00864EA9" w:rsidRPr="0068481C">
        <w:rPr>
          <w:rFonts w:ascii="Arial" w:hAnsi="Arial" w:cs="David" w:hint="cs"/>
          <w:rtl/>
        </w:rPr>
        <w:t xml:space="preserve">משמעותי של </w:t>
      </w:r>
      <w:r w:rsidR="000E79EF" w:rsidRPr="0068481C">
        <w:rPr>
          <w:rFonts w:ascii="Arial" w:hAnsi="Arial" w:cs="David" w:hint="cs"/>
          <w:rtl/>
        </w:rPr>
        <w:t>השקעות</w:t>
      </w:r>
      <w:r w:rsidR="00864EA9" w:rsidRPr="0068481C">
        <w:rPr>
          <w:rFonts w:ascii="Arial" w:hAnsi="Arial" w:cs="David" w:hint="cs"/>
          <w:rtl/>
        </w:rPr>
        <w:t xml:space="preserve"> ישירות ופיננסיות</w:t>
      </w:r>
      <w:r w:rsidR="000E79EF" w:rsidRPr="0068481C">
        <w:rPr>
          <w:rFonts w:ascii="Arial" w:hAnsi="Arial" w:cs="David" w:hint="cs"/>
          <w:rtl/>
        </w:rPr>
        <w:t xml:space="preserve"> שהסתכם בכ-</w:t>
      </w:r>
      <w:r w:rsidR="00864EA9" w:rsidRPr="0068481C">
        <w:rPr>
          <w:rFonts w:ascii="Arial" w:hAnsi="Arial" w:cs="David" w:hint="cs"/>
          <w:rtl/>
        </w:rPr>
        <w:t>19.7</w:t>
      </w:r>
      <w:r w:rsidR="000E79EF" w:rsidRPr="0068481C">
        <w:rPr>
          <w:rFonts w:ascii="Arial" w:hAnsi="Arial" w:cs="David" w:hint="cs"/>
          <w:rtl/>
        </w:rPr>
        <w:t xml:space="preserve"> מיליארדי דולרים</w:t>
      </w:r>
      <w:r w:rsidR="005B0BF4" w:rsidRPr="0068481C">
        <w:rPr>
          <w:rFonts w:ascii="Arial" w:hAnsi="Arial" w:cs="David" w:hint="cs"/>
          <w:rtl/>
        </w:rPr>
        <w:t xml:space="preserve"> (5.9%)</w:t>
      </w:r>
      <w:r w:rsidR="000E79EF" w:rsidRPr="0068481C">
        <w:rPr>
          <w:rFonts w:ascii="Arial" w:hAnsi="Arial" w:cs="David" w:hint="cs"/>
          <w:rtl/>
        </w:rPr>
        <w:t>.</w:t>
      </w:r>
    </w:p>
    <w:p w:rsidR="004E1C27" w:rsidRPr="003F3174" w:rsidRDefault="00EF0BFB" w:rsidP="00572E7B">
      <w:pPr>
        <w:spacing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C4262A">
        <w:rPr>
          <w:rFonts w:ascii="Arial" w:hAnsi="Arial" w:cs="David" w:hint="cs"/>
          <w:b/>
          <w:bCs/>
          <w:rtl/>
        </w:rPr>
        <w:t>שווי תיק ה</w:t>
      </w:r>
      <w:r w:rsidR="00617539">
        <w:rPr>
          <w:rFonts w:ascii="Arial" w:hAnsi="Arial" w:cs="David" w:hint="cs"/>
          <w:b/>
          <w:bCs/>
          <w:rtl/>
        </w:rPr>
        <w:t>השקעות</w:t>
      </w:r>
      <w:r w:rsidRPr="003F3174">
        <w:rPr>
          <w:rFonts w:ascii="Arial" w:hAnsi="Arial" w:cs="David" w:hint="cs"/>
          <w:rtl/>
        </w:rPr>
        <w:t xml:space="preserve"> </w:t>
      </w:r>
      <w:r w:rsidR="00F508E4" w:rsidRPr="00F508E4">
        <w:rPr>
          <w:rFonts w:ascii="Arial" w:hAnsi="Arial" w:cs="David" w:hint="cs"/>
          <w:b/>
          <w:bCs/>
          <w:rtl/>
        </w:rPr>
        <w:t>הפיננסיות</w:t>
      </w:r>
      <w:r w:rsidR="00F508E4">
        <w:rPr>
          <w:rFonts w:ascii="Arial" w:hAnsi="Arial" w:cs="David" w:hint="cs"/>
          <w:rtl/>
        </w:rPr>
        <w:t xml:space="preserve"> </w:t>
      </w:r>
      <w:r w:rsidR="00642BE1">
        <w:rPr>
          <w:rFonts w:ascii="Arial" w:hAnsi="Arial" w:cs="David" w:hint="cs"/>
          <w:rtl/>
        </w:rPr>
        <w:t>עלה</w:t>
      </w:r>
      <w:r w:rsidR="00F508E4">
        <w:rPr>
          <w:rFonts w:ascii="Arial" w:hAnsi="Arial" w:cs="David" w:hint="cs"/>
          <w:rtl/>
        </w:rPr>
        <w:t xml:space="preserve"> </w:t>
      </w:r>
      <w:r w:rsidR="006A2664">
        <w:rPr>
          <w:rFonts w:ascii="Arial" w:hAnsi="Arial" w:cs="David" w:hint="cs"/>
          <w:rtl/>
        </w:rPr>
        <w:t xml:space="preserve">במהלך </w:t>
      </w:r>
      <w:r w:rsidR="00642BE1">
        <w:rPr>
          <w:rFonts w:ascii="Arial" w:hAnsi="Arial" w:cs="David" w:hint="cs"/>
          <w:rtl/>
        </w:rPr>
        <w:t>שנת 201</w:t>
      </w:r>
      <w:r w:rsidR="00864EA9">
        <w:rPr>
          <w:rFonts w:ascii="Arial" w:hAnsi="Arial" w:cs="David" w:hint="cs"/>
          <w:rtl/>
        </w:rPr>
        <w:t>5</w:t>
      </w:r>
      <w:r w:rsidR="008B000B" w:rsidRPr="003F3174">
        <w:rPr>
          <w:rFonts w:ascii="Arial" w:hAnsi="Arial" w:cs="David" w:hint="cs"/>
          <w:rtl/>
        </w:rPr>
        <w:t xml:space="preserve"> </w:t>
      </w:r>
      <w:r w:rsidR="00864EA9">
        <w:rPr>
          <w:rFonts w:ascii="Arial" w:hAnsi="Arial" w:cs="David" w:hint="cs"/>
          <w:rtl/>
        </w:rPr>
        <w:t>ב-8</w:t>
      </w:r>
      <w:r w:rsidR="006A266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642BE1">
        <w:rPr>
          <w:rFonts w:ascii="Arial" w:hAnsi="Arial" w:cs="David" w:hint="cs"/>
          <w:rtl/>
        </w:rPr>
        <w:t>7.</w:t>
      </w:r>
      <w:r w:rsidR="00864EA9">
        <w:rPr>
          <w:rFonts w:ascii="Arial" w:hAnsi="Arial" w:cs="David" w:hint="cs"/>
          <w:rtl/>
        </w:rPr>
        <w:t>5</w:t>
      </w:r>
      <w:r w:rsidR="008B000B" w:rsidRPr="003F3174">
        <w:rPr>
          <w:rFonts w:ascii="Arial" w:hAnsi="Arial" w:cs="David" w:hint="cs"/>
          <w:rtl/>
        </w:rPr>
        <w:t>%)</w:t>
      </w:r>
      <w:r w:rsidR="00AF4A83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AF4A83">
        <w:rPr>
          <w:rFonts w:ascii="Arial" w:hAnsi="Arial" w:cs="David" w:hint="cs"/>
          <w:rtl/>
        </w:rPr>
        <w:t xml:space="preserve">זרם </w:t>
      </w:r>
      <w:r w:rsidR="00AF4A83" w:rsidRPr="003F3174">
        <w:rPr>
          <w:rFonts w:ascii="Arial" w:hAnsi="Arial" w:cs="David" w:hint="cs"/>
          <w:rtl/>
        </w:rPr>
        <w:t>השקעות נטו של תושבי ישראל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כ-</w:t>
      </w:r>
      <w:r w:rsidR="00864EA9">
        <w:rPr>
          <w:rFonts w:ascii="Arial" w:hAnsi="Arial" w:cs="David" w:hint="cs"/>
          <w:rtl/>
        </w:rPr>
        <w:t xml:space="preserve">10 </w:t>
      </w:r>
      <w:r w:rsidRPr="003F3174">
        <w:rPr>
          <w:rFonts w:ascii="Arial" w:hAnsi="Arial" w:cs="David" w:hint="cs"/>
          <w:rtl/>
        </w:rPr>
        <w:t>מילי</w:t>
      </w:r>
      <w:r w:rsidR="00642BE1">
        <w:rPr>
          <w:rFonts w:ascii="Arial" w:hAnsi="Arial" w:cs="David" w:hint="cs"/>
          <w:rtl/>
        </w:rPr>
        <w:t>ארדים</w:t>
      </w:r>
      <w:r w:rsidR="00864EA9">
        <w:rPr>
          <w:rFonts w:ascii="Arial" w:hAnsi="Arial" w:cs="David" w:hint="cs"/>
          <w:rtl/>
        </w:rPr>
        <w:t xml:space="preserve"> בעיקר באג"ח זרות,</w:t>
      </w:r>
      <w:r w:rsidRPr="003F3174">
        <w:rPr>
          <w:rFonts w:ascii="Arial" w:hAnsi="Arial" w:cs="David" w:hint="cs"/>
          <w:rtl/>
        </w:rPr>
        <w:t xml:space="preserve"> </w:t>
      </w:r>
      <w:r w:rsidR="00864EA9">
        <w:rPr>
          <w:rFonts w:ascii="Arial" w:hAnsi="Arial" w:cs="David" w:hint="cs"/>
          <w:rtl/>
        </w:rPr>
        <w:t>אשר קוזז בחלקו בירידת</w:t>
      </w:r>
      <w:r w:rsidR="00C44ABB">
        <w:rPr>
          <w:rFonts w:ascii="Arial" w:hAnsi="Arial" w:cs="David" w:hint="cs"/>
          <w:rtl/>
        </w:rPr>
        <w:t xml:space="preserve"> </w:t>
      </w:r>
      <w:r w:rsidR="00AF4A83">
        <w:rPr>
          <w:rFonts w:ascii="Arial" w:hAnsi="Arial" w:cs="David" w:hint="cs"/>
          <w:rtl/>
        </w:rPr>
        <w:t xml:space="preserve">מחירים בשוקי המניות </w:t>
      </w:r>
      <w:r w:rsidR="00864EA9">
        <w:rPr>
          <w:rFonts w:ascii="Arial" w:hAnsi="Arial" w:cs="David" w:hint="cs"/>
          <w:rtl/>
        </w:rPr>
        <w:t>בחו"ל והשפעת שינויי שער החליפין על התיק</w:t>
      </w:r>
      <w:r w:rsidR="00D43BBB">
        <w:rPr>
          <w:rFonts w:ascii="Arial" w:hAnsi="Arial" w:cs="David" w:hint="cs"/>
          <w:rtl/>
        </w:rPr>
        <w:t>.</w:t>
      </w:r>
    </w:p>
    <w:p w:rsidR="00617539" w:rsidRPr="00617539" w:rsidRDefault="00617539" w:rsidP="002D557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ההשקעות הישירות </w:t>
      </w:r>
      <w:r>
        <w:rPr>
          <w:rFonts w:ascii="Arial" w:hAnsi="Arial" w:cs="David" w:hint="cs"/>
          <w:rtl/>
        </w:rPr>
        <w:t>עלה במהלך השנה בכ-9.7 מיליארדי דולרים (12.1%)</w:t>
      </w:r>
      <w:r w:rsidR="0051087E">
        <w:rPr>
          <w:rFonts w:ascii="Arial" w:hAnsi="Arial" w:cs="David" w:hint="cs"/>
          <w:rtl/>
        </w:rPr>
        <w:t xml:space="preserve">, בעיקר </w:t>
      </w:r>
      <w:r w:rsidR="00EF3A07">
        <w:rPr>
          <w:rFonts w:ascii="Arial" w:hAnsi="Arial" w:cs="David" w:hint="cs"/>
          <w:rtl/>
        </w:rPr>
        <w:t>כתוצאה מ</w:t>
      </w:r>
      <w:r w:rsidR="0051087E">
        <w:rPr>
          <w:rFonts w:ascii="Arial" w:hAnsi="Arial" w:cs="David" w:hint="cs"/>
          <w:rtl/>
        </w:rPr>
        <w:t>זרמי השקעה בהון מניות והלוואת בעלים של חברה גדולה אחת במשק.</w:t>
      </w:r>
    </w:p>
    <w:p w:rsidR="00551E55" w:rsidRDefault="00F508E4" w:rsidP="0051087E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 xml:space="preserve">השקעות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51087E">
        <w:rPr>
          <w:rFonts w:ascii="Arial" w:hAnsi="Arial" w:cs="David" w:hint="cs"/>
          <w:rtl/>
        </w:rPr>
        <w:t>ירד</w:t>
      </w:r>
      <w:r w:rsidR="00551E55">
        <w:rPr>
          <w:rFonts w:ascii="Arial" w:hAnsi="Arial" w:cs="David" w:hint="cs"/>
          <w:rtl/>
        </w:rPr>
        <w:t xml:space="preserve"> במהלך </w:t>
      </w:r>
      <w:r w:rsidR="0063625C">
        <w:rPr>
          <w:rFonts w:ascii="Arial" w:hAnsi="Arial" w:cs="David" w:hint="cs"/>
          <w:rtl/>
        </w:rPr>
        <w:t xml:space="preserve">שנת </w:t>
      </w:r>
      <w:r w:rsidR="0051087E">
        <w:rPr>
          <w:rFonts w:ascii="Arial" w:hAnsi="Arial" w:cs="David" w:hint="cs"/>
          <w:rtl/>
        </w:rPr>
        <w:t xml:space="preserve">2015 </w:t>
      </w:r>
      <w:r w:rsidR="00551E55">
        <w:rPr>
          <w:rFonts w:ascii="Arial" w:hAnsi="Arial" w:cs="David" w:hint="cs"/>
          <w:rtl/>
        </w:rPr>
        <w:t>ב</w:t>
      </w:r>
      <w:r w:rsidR="0051087E">
        <w:rPr>
          <w:rFonts w:ascii="Arial" w:hAnsi="Arial" w:cs="David" w:hint="cs"/>
          <w:rtl/>
        </w:rPr>
        <w:t>כ</w:t>
      </w:r>
      <w:r w:rsidR="00551E55">
        <w:rPr>
          <w:rFonts w:ascii="Arial" w:hAnsi="Arial" w:cs="David" w:hint="cs"/>
          <w:rtl/>
        </w:rPr>
        <w:t>-</w:t>
      </w:r>
      <w:r w:rsidR="0051087E">
        <w:rPr>
          <w:rFonts w:ascii="Arial" w:hAnsi="Arial" w:cs="David" w:hint="cs"/>
          <w:rtl/>
        </w:rPr>
        <w:t>4</w:t>
      </w:r>
      <w:r w:rsidR="00657198">
        <w:rPr>
          <w:rFonts w:ascii="Arial" w:hAnsi="Arial" w:cs="David" w:hint="cs"/>
          <w:rtl/>
        </w:rPr>
        <w:t xml:space="preserve"> </w:t>
      </w:r>
      <w:r w:rsidR="00551E55">
        <w:rPr>
          <w:rFonts w:ascii="Arial" w:hAnsi="Arial" w:cs="David" w:hint="cs"/>
          <w:rtl/>
        </w:rPr>
        <w:t>מיליארדי דולרים</w:t>
      </w:r>
      <w:r w:rsidR="008D3D52">
        <w:rPr>
          <w:rFonts w:ascii="Arial" w:hAnsi="Arial" w:cs="David" w:hint="cs"/>
          <w:rtl/>
        </w:rPr>
        <w:t xml:space="preserve"> (</w:t>
      </w:r>
      <w:r w:rsidR="0051087E">
        <w:rPr>
          <w:rFonts w:ascii="Arial" w:hAnsi="Arial" w:cs="David" w:hint="cs"/>
          <w:rtl/>
        </w:rPr>
        <w:t>6</w:t>
      </w:r>
      <w:r w:rsidR="00657198">
        <w:rPr>
          <w:rFonts w:ascii="Arial" w:hAnsi="Arial" w:cs="David" w:hint="cs"/>
          <w:rtl/>
        </w:rPr>
        <w:t>.</w:t>
      </w:r>
      <w:r w:rsidR="0051087E">
        <w:rPr>
          <w:rFonts w:ascii="Arial" w:hAnsi="Arial" w:cs="David" w:hint="cs"/>
          <w:rtl/>
        </w:rPr>
        <w:t>2</w:t>
      </w:r>
      <w:r w:rsidR="008D3D52">
        <w:rPr>
          <w:rFonts w:ascii="Arial" w:hAnsi="Arial" w:cs="David" w:hint="cs"/>
          <w:rtl/>
        </w:rPr>
        <w:t>%)</w:t>
      </w:r>
      <w:r w:rsidR="00657198">
        <w:rPr>
          <w:rFonts w:ascii="Arial" w:hAnsi="Arial" w:cs="David" w:hint="cs"/>
          <w:rtl/>
        </w:rPr>
        <w:t>:</w:t>
      </w:r>
      <w:r w:rsidR="00551E55">
        <w:rPr>
          <w:rFonts w:ascii="Arial" w:hAnsi="Arial" w:cs="David" w:hint="cs"/>
          <w:rtl/>
        </w:rPr>
        <w:t xml:space="preserve"> </w:t>
      </w:r>
      <w:r w:rsidR="0051087E">
        <w:rPr>
          <w:rFonts w:ascii="Arial" w:hAnsi="Arial" w:cs="David" w:hint="cs"/>
          <w:rtl/>
        </w:rPr>
        <w:t>משיכה</w:t>
      </w:r>
      <w:r w:rsidR="00657198">
        <w:rPr>
          <w:rFonts w:ascii="Arial" w:hAnsi="Arial" w:cs="David" w:hint="cs"/>
          <w:rtl/>
        </w:rPr>
        <w:t xml:space="preserve"> של </w:t>
      </w:r>
      <w:r w:rsidR="0051087E">
        <w:rPr>
          <w:rFonts w:ascii="Arial" w:hAnsi="Arial" w:cs="David" w:hint="cs"/>
          <w:rtl/>
        </w:rPr>
        <w:t>5</w:t>
      </w:r>
      <w:r w:rsidR="00657198">
        <w:rPr>
          <w:rFonts w:ascii="Arial" w:hAnsi="Arial" w:cs="David" w:hint="cs"/>
          <w:rtl/>
        </w:rPr>
        <w:t>.</w:t>
      </w:r>
      <w:r w:rsidR="0051087E">
        <w:rPr>
          <w:rFonts w:ascii="Arial" w:hAnsi="Arial" w:cs="David" w:hint="cs"/>
          <w:rtl/>
        </w:rPr>
        <w:t>2</w:t>
      </w:r>
      <w:r w:rsidR="00657198">
        <w:rPr>
          <w:rFonts w:ascii="Arial" w:hAnsi="Arial" w:cs="David" w:hint="cs"/>
          <w:rtl/>
        </w:rPr>
        <w:t xml:space="preserve"> מיליארדים </w:t>
      </w:r>
      <w:r w:rsidR="0051087E">
        <w:rPr>
          <w:rFonts w:ascii="Arial" w:hAnsi="Arial" w:cs="David" w:hint="cs"/>
          <w:rtl/>
        </w:rPr>
        <w:t>מ</w:t>
      </w:r>
      <w:r w:rsidR="00657198">
        <w:rPr>
          <w:rFonts w:ascii="Arial" w:hAnsi="Arial" w:cs="David" w:hint="cs"/>
          <w:rtl/>
        </w:rPr>
        <w:t>פיקדונות בנקים ישראליים בחו"ל</w:t>
      </w:r>
      <w:r w:rsidR="0063625C">
        <w:rPr>
          <w:rFonts w:ascii="Arial" w:hAnsi="Arial" w:cs="David" w:hint="cs"/>
          <w:rtl/>
        </w:rPr>
        <w:t xml:space="preserve"> </w:t>
      </w:r>
      <w:r w:rsidR="0051087E">
        <w:rPr>
          <w:rFonts w:ascii="Arial" w:hAnsi="Arial" w:cs="David" w:hint="cs"/>
          <w:rtl/>
        </w:rPr>
        <w:t>קוזזה בחלקה ע"י עלייה של כ- 1.6 מיליארדים בפיקדונות תושבי ישראל בחו"ל</w:t>
      </w:r>
      <w:r w:rsidR="00551E55">
        <w:rPr>
          <w:rFonts w:ascii="Arial" w:hAnsi="Arial" w:cs="David" w:hint="cs"/>
          <w:rtl/>
        </w:rPr>
        <w:t xml:space="preserve">. </w:t>
      </w:r>
    </w:p>
    <w:p w:rsidR="00D95369" w:rsidRPr="003F3174" w:rsidRDefault="00D95369" w:rsidP="00BD1365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D95369">
        <w:rPr>
          <w:rFonts w:ascii="Arial" w:hAnsi="Arial" w:cs="David"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63625C">
        <w:rPr>
          <w:rFonts w:ascii="Arial" w:hAnsi="Arial" w:cs="David" w:hint="cs"/>
          <w:rtl/>
        </w:rPr>
        <w:t xml:space="preserve">עלה בשנת </w:t>
      </w:r>
      <w:r w:rsidR="0051087E">
        <w:rPr>
          <w:rFonts w:ascii="Arial" w:hAnsi="Arial" w:cs="David" w:hint="cs"/>
          <w:rtl/>
        </w:rPr>
        <w:t>2015</w:t>
      </w:r>
      <w:r w:rsidR="00657198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בכ-</w:t>
      </w:r>
      <w:r w:rsidR="0063625C">
        <w:rPr>
          <w:rFonts w:ascii="Arial" w:hAnsi="Arial" w:cs="David" w:hint="cs"/>
          <w:rtl/>
        </w:rPr>
        <w:t>4.</w:t>
      </w:r>
      <w:r w:rsidR="0051087E">
        <w:rPr>
          <w:rFonts w:ascii="Arial" w:hAnsi="Arial" w:cs="David" w:hint="cs"/>
          <w:rtl/>
        </w:rPr>
        <w:t>5</w:t>
      </w:r>
      <w:r w:rsidR="005D378E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מילי</w:t>
      </w:r>
      <w:r w:rsidR="0063625C">
        <w:rPr>
          <w:rFonts w:ascii="Arial" w:hAnsi="Arial" w:cs="David" w:hint="cs"/>
          <w:rtl/>
        </w:rPr>
        <w:t>ארד</w:t>
      </w:r>
      <w:r w:rsidR="00657198">
        <w:rPr>
          <w:rFonts w:ascii="Arial" w:hAnsi="Arial" w:cs="David" w:hint="cs"/>
          <w:rtl/>
        </w:rPr>
        <w:t>י דולרים</w:t>
      </w:r>
      <w:r w:rsidR="00B87EFF">
        <w:rPr>
          <w:rFonts w:ascii="Arial" w:hAnsi="Arial" w:cs="David" w:hint="cs"/>
          <w:rtl/>
        </w:rPr>
        <w:t xml:space="preserve"> (5.</w:t>
      </w:r>
      <w:r w:rsidR="0051087E">
        <w:rPr>
          <w:rFonts w:ascii="Arial" w:hAnsi="Arial" w:cs="David" w:hint="cs"/>
          <w:rtl/>
        </w:rPr>
        <w:t>1</w:t>
      </w:r>
      <w:r w:rsidR="00B87EFF">
        <w:rPr>
          <w:rFonts w:ascii="Arial" w:hAnsi="Arial" w:cs="David" w:hint="cs"/>
          <w:rtl/>
        </w:rPr>
        <w:t>%)</w:t>
      </w:r>
      <w:r w:rsidR="00657198">
        <w:rPr>
          <w:rFonts w:ascii="Arial" w:hAnsi="Arial" w:cs="David" w:hint="cs"/>
          <w:rtl/>
        </w:rPr>
        <w:t>:</w:t>
      </w:r>
      <w:r w:rsidR="00D13C7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רכישות</w:t>
      </w:r>
      <w:r w:rsidR="003C2C27">
        <w:rPr>
          <w:rFonts w:ascii="Arial" w:hAnsi="Arial" w:cs="David" w:hint="cs"/>
          <w:rtl/>
        </w:rPr>
        <w:t xml:space="preserve"> מט"ח של בנק ישראל</w:t>
      </w:r>
      <w:r w:rsidR="00657198">
        <w:rPr>
          <w:rFonts w:ascii="Arial" w:hAnsi="Arial" w:cs="David" w:hint="cs"/>
          <w:rtl/>
        </w:rPr>
        <w:t xml:space="preserve"> בסך של </w:t>
      </w:r>
      <w:r w:rsidR="00BD1365">
        <w:rPr>
          <w:rFonts w:ascii="Arial" w:hAnsi="Arial" w:cs="David" w:hint="cs"/>
          <w:rtl/>
        </w:rPr>
        <w:t>7.3</w:t>
      </w:r>
      <w:r w:rsidR="00657198">
        <w:rPr>
          <w:rFonts w:ascii="Arial" w:hAnsi="Arial" w:cs="David" w:hint="cs"/>
          <w:rtl/>
        </w:rPr>
        <w:t xml:space="preserve"> מיליארדים</w:t>
      </w:r>
      <w:r w:rsidR="003C2C2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קוזזו</w:t>
      </w:r>
      <w:r w:rsidR="003C2C27">
        <w:rPr>
          <w:rFonts w:ascii="Arial" w:hAnsi="Arial" w:cs="David" w:hint="cs"/>
          <w:rtl/>
        </w:rPr>
        <w:t xml:space="preserve"> בחלקן</w:t>
      </w:r>
      <w:r w:rsidR="00657198">
        <w:rPr>
          <w:rFonts w:ascii="Arial" w:hAnsi="Arial" w:cs="David" w:hint="cs"/>
          <w:rtl/>
        </w:rPr>
        <w:t xml:space="preserve"> </w:t>
      </w:r>
      <w:r w:rsidR="00EA785C">
        <w:rPr>
          <w:rFonts w:ascii="Arial" w:hAnsi="Arial" w:cs="David" w:hint="cs"/>
          <w:rtl/>
        </w:rPr>
        <w:t>בהשפעת</w:t>
      </w:r>
      <w:r w:rsidR="00657198">
        <w:rPr>
          <w:rFonts w:ascii="Arial" w:hAnsi="Arial" w:cs="David" w:hint="cs"/>
          <w:rtl/>
        </w:rPr>
        <w:t xml:space="preserve"> </w:t>
      </w:r>
      <w:r w:rsidR="004E5ADB" w:rsidRPr="00224451">
        <w:rPr>
          <w:rFonts w:ascii="Arial" w:hAnsi="Arial" w:cs="David" w:hint="cs"/>
          <w:rtl/>
        </w:rPr>
        <w:t>ה</w:t>
      </w:r>
      <w:r w:rsidR="00BD1365" w:rsidRPr="00224451">
        <w:rPr>
          <w:rFonts w:ascii="Arial" w:hAnsi="Arial" w:cs="David" w:hint="cs"/>
          <w:rtl/>
        </w:rPr>
        <w:t>יחלשות</w:t>
      </w:r>
      <w:r w:rsidR="004E5ADB" w:rsidRPr="004E5ADB">
        <w:rPr>
          <w:rFonts w:ascii="Arial" w:hAnsi="Arial" w:cs="David" w:hint="cs"/>
          <w:rtl/>
        </w:rPr>
        <w:t xml:space="preserve"> הדולר מול המטבעות העיקריים</w:t>
      </w:r>
      <w:r w:rsidR="00810FAD">
        <w:rPr>
          <w:rFonts w:ascii="Arial" w:hAnsi="Arial" w:cs="David" w:hint="cs"/>
          <w:rtl/>
        </w:rPr>
        <w:t>.</w:t>
      </w:r>
    </w:p>
    <w:p w:rsidR="0029548E" w:rsidRDefault="002E46BC" w:rsidP="00EF3A07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68481C">
        <w:rPr>
          <w:rFonts w:ascii="Arial" w:hAnsi="Arial" w:cs="David" w:hint="cs"/>
          <w:b/>
          <w:bCs/>
          <w:rtl/>
        </w:rPr>
        <w:t xml:space="preserve">הרכב </w:t>
      </w:r>
      <w:r w:rsidR="00301474" w:rsidRPr="0068481C">
        <w:rPr>
          <w:rFonts w:ascii="Arial" w:hAnsi="Arial" w:cs="David" w:hint="cs"/>
          <w:b/>
          <w:bCs/>
          <w:rtl/>
        </w:rPr>
        <w:t>ה</w:t>
      </w:r>
      <w:r w:rsidRPr="0068481C">
        <w:rPr>
          <w:rFonts w:ascii="Arial" w:hAnsi="Arial" w:cs="David" w:hint="cs"/>
          <w:b/>
          <w:bCs/>
          <w:rtl/>
        </w:rPr>
        <w:t>תיק בחו"ל</w:t>
      </w:r>
      <w:r w:rsidR="005259F9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-</w:t>
      </w:r>
      <w:r w:rsidR="00C038EE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ברביע</w:t>
      </w:r>
      <w:r w:rsidR="00EF3A07" w:rsidRPr="007E09F3">
        <w:rPr>
          <w:rFonts w:ascii="Arial" w:hAnsi="Arial" w:cs="David" w:hint="cs"/>
          <w:rtl/>
        </w:rPr>
        <w:t xml:space="preserve"> ה</w:t>
      </w:r>
      <w:r w:rsidR="00EF3A07">
        <w:rPr>
          <w:rFonts w:ascii="Arial" w:hAnsi="Arial" w:cs="David" w:hint="cs"/>
          <w:rtl/>
        </w:rPr>
        <w:t>רביעי</w:t>
      </w:r>
      <w:r w:rsidR="00EF3A07" w:rsidRPr="007E09F3">
        <w:rPr>
          <w:rFonts w:ascii="Arial" w:hAnsi="Arial" w:cs="David" w:hint="cs"/>
          <w:rtl/>
        </w:rPr>
        <w:t xml:space="preserve"> של שנת 2015 </w:t>
      </w:r>
      <w:r w:rsidR="00595077">
        <w:rPr>
          <w:rFonts w:ascii="Arial" w:hAnsi="Arial" w:cs="David" w:hint="cs"/>
          <w:rtl/>
        </w:rPr>
        <w:t>חלה עלייה</w:t>
      </w:r>
      <w:r w:rsidR="00595077" w:rsidRPr="007E09F3">
        <w:rPr>
          <w:rFonts w:ascii="Arial" w:hAnsi="Arial" w:cs="David" w:hint="cs"/>
          <w:rtl/>
        </w:rPr>
        <w:t xml:space="preserve"> במש</w:t>
      </w:r>
      <w:r w:rsidR="005B0BF4">
        <w:rPr>
          <w:rFonts w:ascii="Arial" w:hAnsi="Arial" w:cs="David" w:hint="cs"/>
          <w:rtl/>
        </w:rPr>
        <w:t>קלן</w:t>
      </w:r>
      <w:r w:rsidR="00595077" w:rsidRPr="007E09F3">
        <w:rPr>
          <w:rFonts w:ascii="Arial" w:hAnsi="Arial" w:cs="David" w:hint="cs"/>
          <w:rtl/>
        </w:rPr>
        <w:t xml:space="preserve"> של </w:t>
      </w:r>
      <w:r w:rsidR="00595077">
        <w:rPr>
          <w:rFonts w:ascii="Arial" w:hAnsi="Arial" w:cs="David" w:hint="cs"/>
          <w:rtl/>
        </w:rPr>
        <w:t>ההשק</w:t>
      </w:r>
      <w:r w:rsidR="005B0BF4">
        <w:rPr>
          <w:rFonts w:ascii="Arial" w:hAnsi="Arial" w:cs="David" w:hint="cs"/>
          <w:rtl/>
        </w:rPr>
        <w:t>עות הישירות, בהמשך לעלייה במשקלן</w:t>
      </w:r>
      <w:r w:rsidR="00595077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 xml:space="preserve">ברביע </w:t>
      </w:r>
      <w:r w:rsidR="00595077">
        <w:rPr>
          <w:rFonts w:ascii="Arial" w:hAnsi="Arial" w:cs="David" w:hint="cs"/>
          <w:rtl/>
        </w:rPr>
        <w:t>הקודם. מנגד,</w:t>
      </w:r>
      <w:r w:rsidR="00595077" w:rsidRPr="007E09F3">
        <w:rPr>
          <w:rFonts w:ascii="Arial" w:hAnsi="Arial" w:cs="David" w:hint="cs"/>
          <w:rtl/>
        </w:rPr>
        <w:t xml:space="preserve"> </w:t>
      </w:r>
      <w:r w:rsidR="00595077">
        <w:rPr>
          <w:rFonts w:ascii="Arial" w:hAnsi="Arial" w:cs="David" w:hint="cs"/>
          <w:rtl/>
        </w:rPr>
        <w:t xml:space="preserve">חלה ירידה </w:t>
      </w:r>
      <w:r w:rsidR="005B0BF4">
        <w:rPr>
          <w:rFonts w:ascii="Arial" w:hAnsi="Arial" w:cs="David" w:hint="cs"/>
          <w:rtl/>
        </w:rPr>
        <w:t>במשקלן</w:t>
      </w:r>
      <w:r w:rsidR="00595077" w:rsidRPr="007E09F3">
        <w:rPr>
          <w:rFonts w:ascii="Arial" w:hAnsi="Arial" w:cs="David" w:hint="cs"/>
          <w:rtl/>
        </w:rPr>
        <w:t xml:space="preserve"> של ההשקעות </w:t>
      </w:r>
      <w:r w:rsidR="00595077">
        <w:rPr>
          <w:rFonts w:ascii="Arial" w:hAnsi="Arial" w:cs="David" w:hint="cs"/>
          <w:rtl/>
        </w:rPr>
        <w:t xml:space="preserve">במניות פיננסיות ובפיקדונות בבנקים </w:t>
      </w:r>
      <w:r w:rsidR="00467F09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2</w:t>
      </w:r>
      <w:r w:rsidR="00467F09">
        <w:rPr>
          <w:rFonts w:ascii="Arial" w:hAnsi="Arial" w:cs="David" w:hint="cs"/>
          <w:rtl/>
        </w:rPr>
        <w:t xml:space="preserve">). </w:t>
      </w:r>
    </w:p>
    <w:p w:rsidR="00595077" w:rsidRDefault="0029548E" w:rsidP="00572E7B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29548E">
        <w:rPr>
          <w:rFonts w:ascii="Arial" w:hAnsi="Arial" w:cs="David" w:hint="cs"/>
          <w:b/>
          <w:bCs/>
          <w:rtl/>
        </w:rPr>
        <w:t>בשנת 201</w:t>
      </w:r>
      <w:r w:rsidR="00595077">
        <w:rPr>
          <w:rFonts w:ascii="Arial" w:hAnsi="Arial" w:cs="David" w:hint="cs"/>
          <w:b/>
          <w:bCs/>
          <w:rtl/>
        </w:rPr>
        <w:t>5</w:t>
      </w:r>
      <w:r>
        <w:rPr>
          <w:rFonts w:ascii="Arial" w:hAnsi="Arial" w:cs="David" w:hint="cs"/>
          <w:rtl/>
        </w:rPr>
        <w:t xml:space="preserve"> </w:t>
      </w:r>
      <w:r w:rsidR="00595077">
        <w:rPr>
          <w:rFonts w:ascii="Arial" w:hAnsi="Arial" w:cs="David" w:hint="cs"/>
          <w:rtl/>
        </w:rPr>
        <w:t>חלה ירידה</w:t>
      </w:r>
      <w:r>
        <w:rPr>
          <w:rFonts w:ascii="Arial" w:hAnsi="Arial" w:cs="David" w:hint="cs"/>
          <w:rtl/>
        </w:rPr>
        <w:t xml:space="preserve"> במשקל המניות</w:t>
      </w:r>
      <w:r w:rsidR="00595077">
        <w:rPr>
          <w:rFonts w:ascii="Arial" w:hAnsi="Arial" w:cs="David" w:hint="cs"/>
          <w:rtl/>
        </w:rPr>
        <w:t xml:space="preserve"> הפיננסיות</w:t>
      </w:r>
      <w:r>
        <w:rPr>
          <w:rFonts w:ascii="Arial" w:hAnsi="Arial" w:cs="David" w:hint="cs"/>
          <w:rtl/>
        </w:rPr>
        <w:t xml:space="preserve"> בתיק</w:t>
      </w:r>
      <w:r w:rsidR="00595077">
        <w:rPr>
          <w:rFonts w:ascii="Arial" w:hAnsi="Arial" w:cs="David" w:hint="cs"/>
          <w:rtl/>
        </w:rPr>
        <w:t xml:space="preserve">, זאת בניגוד </w:t>
      </w:r>
      <w:r w:rsidR="00572E7B">
        <w:rPr>
          <w:rFonts w:ascii="Arial" w:hAnsi="Arial" w:cs="David" w:hint="cs"/>
          <w:rtl/>
        </w:rPr>
        <w:t>ליציבות במשקל זה בשנתיים האחרונות. כמו כן</w:t>
      </w:r>
      <w:r>
        <w:rPr>
          <w:rFonts w:ascii="Arial" w:hAnsi="Arial" w:cs="David" w:hint="cs"/>
          <w:rtl/>
        </w:rPr>
        <w:t xml:space="preserve"> </w:t>
      </w:r>
      <w:r w:rsidR="00595077">
        <w:rPr>
          <w:rFonts w:ascii="Arial" w:hAnsi="Arial" w:cs="David" w:hint="cs"/>
          <w:rtl/>
        </w:rPr>
        <w:t>נמשכה</w:t>
      </w:r>
      <w:r w:rsidR="00801E84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הירידה במשקל הפיקדונות בחו"ל.</w:t>
      </w:r>
      <w:r w:rsidR="00595077">
        <w:rPr>
          <w:rFonts w:ascii="Arial" w:hAnsi="Arial" w:cs="David" w:hint="cs"/>
          <w:rtl/>
        </w:rPr>
        <w:t xml:space="preserve"> </w:t>
      </w:r>
    </w:p>
    <w:p w:rsidR="00333E3E" w:rsidRDefault="00595077" w:rsidP="00595077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מנגד, חלה עלייה במשקלן של ההשקעות הישירות וההשקעות באג"ח בתיק הנכסים.</w:t>
      </w:r>
    </w:p>
    <w:p w:rsidR="005E155A" w:rsidRPr="005E155A" w:rsidRDefault="005E155A" w:rsidP="005E155A">
      <w:pPr>
        <w:spacing w:line="360" w:lineRule="auto"/>
        <w:jc w:val="both"/>
        <w:rPr>
          <w:rFonts w:ascii="Arial" w:hAnsi="Arial" w:cs="David" w:hint="cs"/>
          <w:rtl/>
        </w:rPr>
      </w:pPr>
    </w:p>
    <w:p w:rsidR="00333E3E" w:rsidRPr="00781463" w:rsidRDefault="0068481C" w:rsidP="0004499D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>
            <wp:extent cx="6073140" cy="3975735"/>
            <wp:effectExtent l="0" t="0" r="3810" b="5715"/>
            <wp:docPr id="46" name="תמונה 46" descr="תרשים 2: הרכב תיק הנכסים של תושבי ישראל בחו&quot;ל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97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893" w:rsidRPr="0068481C" w:rsidRDefault="00393B21" w:rsidP="0068481C">
      <w:pPr>
        <w:pStyle w:val="ad"/>
        <w:numPr>
          <w:ilvl w:val="0"/>
          <w:numId w:val="13"/>
        </w:numPr>
        <w:spacing w:before="480" w:line="360" w:lineRule="auto"/>
        <w:jc w:val="both"/>
        <w:rPr>
          <w:rFonts w:ascii="Arial" w:hAnsi="Arial" w:cs="David" w:hint="cs"/>
          <w:rtl/>
        </w:rPr>
      </w:pPr>
      <w:r w:rsidRPr="0068481C">
        <w:rPr>
          <w:rFonts w:ascii="Arial" w:hAnsi="Arial" w:cs="David" w:hint="cs"/>
          <w:b/>
          <w:bCs/>
          <w:rtl/>
        </w:rPr>
        <w:t>יתרת ההתחייבויו</w:t>
      </w:r>
      <w:r w:rsidRPr="0068481C">
        <w:rPr>
          <w:rFonts w:ascii="Arial" w:hAnsi="Arial" w:cs="David" w:hint="eastAsia"/>
          <w:b/>
          <w:bCs/>
          <w:rtl/>
        </w:rPr>
        <w:t>ת</w:t>
      </w:r>
      <w:r w:rsidRPr="0068481C">
        <w:rPr>
          <w:rFonts w:ascii="Arial" w:hAnsi="Arial" w:cs="David" w:hint="cs"/>
          <w:b/>
          <w:bCs/>
          <w:rtl/>
        </w:rPr>
        <w:t xml:space="preserve"> של המשק לחו"ל</w:t>
      </w:r>
      <w:r w:rsidRPr="0068481C">
        <w:rPr>
          <w:rFonts w:ascii="Arial" w:hAnsi="Arial" w:cs="David" w:hint="cs"/>
          <w:rtl/>
        </w:rPr>
        <w:t xml:space="preserve"> </w:t>
      </w:r>
      <w:r w:rsidR="007622E4" w:rsidRPr="0068481C">
        <w:rPr>
          <w:rFonts w:ascii="Arial" w:hAnsi="Arial" w:cs="David" w:hint="cs"/>
          <w:rtl/>
        </w:rPr>
        <w:t xml:space="preserve">עלתה </w:t>
      </w:r>
      <w:r w:rsidR="00205E8F" w:rsidRPr="0068481C">
        <w:rPr>
          <w:rFonts w:ascii="Arial" w:hAnsi="Arial" w:cs="David" w:hint="cs"/>
          <w:rtl/>
        </w:rPr>
        <w:t xml:space="preserve">במהלך </w:t>
      </w:r>
      <w:r w:rsidR="00B2343C" w:rsidRPr="0068481C">
        <w:rPr>
          <w:rFonts w:ascii="Arial" w:hAnsi="Arial" w:cs="David" w:hint="cs"/>
          <w:rtl/>
        </w:rPr>
        <w:t xml:space="preserve">הרביע הרביעי של </w:t>
      </w:r>
      <w:r w:rsidR="00255131" w:rsidRPr="0068481C">
        <w:rPr>
          <w:rFonts w:ascii="Arial" w:hAnsi="Arial" w:cs="David" w:hint="cs"/>
          <w:rtl/>
        </w:rPr>
        <w:t>שנת 201</w:t>
      </w:r>
      <w:r w:rsidR="0075097D" w:rsidRPr="0068481C">
        <w:rPr>
          <w:rFonts w:ascii="Arial" w:hAnsi="Arial" w:cs="David" w:hint="cs"/>
          <w:rtl/>
        </w:rPr>
        <w:t>5</w:t>
      </w:r>
      <w:r w:rsidR="000C4143" w:rsidRPr="0068481C">
        <w:rPr>
          <w:rFonts w:ascii="Arial" w:hAnsi="Arial" w:cs="David" w:hint="cs"/>
          <w:b/>
          <w:bCs/>
          <w:rtl/>
        </w:rPr>
        <w:t xml:space="preserve"> </w:t>
      </w:r>
      <w:r w:rsidR="00B2343C" w:rsidRPr="0068481C">
        <w:rPr>
          <w:rFonts w:ascii="Arial" w:hAnsi="Arial" w:cs="David" w:hint="cs"/>
          <w:rtl/>
        </w:rPr>
        <w:t>ב-16.7 מיליארדי דולרים</w:t>
      </w:r>
      <w:r w:rsidR="00672893" w:rsidRPr="0068481C">
        <w:rPr>
          <w:rFonts w:ascii="Arial" w:hAnsi="Arial" w:cs="David" w:hint="cs"/>
          <w:rtl/>
        </w:rPr>
        <w:t xml:space="preserve"> </w:t>
      </w:r>
      <w:r w:rsidR="00B2343C" w:rsidRPr="0068481C">
        <w:rPr>
          <w:rFonts w:ascii="Arial" w:hAnsi="Arial" w:cs="David" w:hint="cs"/>
          <w:rtl/>
        </w:rPr>
        <w:t xml:space="preserve">(6.2%), ובמהלך השנה כולה </w:t>
      </w:r>
      <w:r w:rsidR="0055104F" w:rsidRPr="0068481C">
        <w:rPr>
          <w:rFonts w:ascii="Arial" w:hAnsi="Arial" w:cs="David" w:hint="cs"/>
          <w:rtl/>
        </w:rPr>
        <w:t>ב-</w:t>
      </w:r>
      <w:r w:rsidR="0075097D" w:rsidRPr="0068481C">
        <w:rPr>
          <w:rFonts w:ascii="Arial" w:hAnsi="Arial" w:cs="David" w:hint="cs"/>
          <w:rtl/>
        </w:rPr>
        <w:t>14.5</w:t>
      </w:r>
      <w:r w:rsidR="0055104F" w:rsidRPr="0068481C">
        <w:rPr>
          <w:rFonts w:ascii="Arial" w:hAnsi="Arial" w:cs="David" w:hint="cs"/>
          <w:rtl/>
        </w:rPr>
        <w:t xml:space="preserve"> מיליארדי דולרים</w:t>
      </w:r>
      <w:r w:rsidR="001B5E81" w:rsidRPr="0068481C">
        <w:rPr>
          <w:rFonts w:ascii="Arial" w:hAnsi="Arial" w:cs="David" w:hint="cs"/>
          <w:rtl/>
        </w:rPr>
        <w:t xml:space="preserve"> (</w:t>
      </w:r>
      <w:r w:rsidR="00D95E91" w:rsidRPr="0068481C">
        <w:rPr>
          <w:rFonts w:ascii="Arial" w:hAnsi="Arial" w:cs="David" w:hint="cs"/>
          <w:rtl/>
        </w:rPr>
        <w:t>5.4</w:t>
      </w:r>
      <w:r w:rsidR="001B5E81" w:rsidRPr="0068481C">
        <w:rPr>
          <w:rFonts w:ascii="Arial" w:hAnsi="Arial" w:cs="David" w:hint="cs"/>
          <w:rtl/>
        </w:rPr>
        <w:t>%)</w:t>
      </w:r>
      <w:r w:rsidR="00672893" w:rsidRPr="0068481C">
        <w:rPr>
          <w:rFonts w:ascii="Arial" w:hAnsi="Arial" w:cs="David" w:hint="cs"/>
          <w:rtl/>
        </w:rPr>
        <w:t>, כך שעמדה בסוף דצמבר על כ-285 מיליארדי דולרים.</w:t>
      </w:r>
    </w:p>
    <w:p w:rsidR="00672893" w:rsidRPr="00D846D0" w:rsidRDefault="00672893" w:rsidP="00672893">
      <w:pPr>
        <w:spacing w:line="360" w:lineRule="auto"/>
        <w:jc w:val="both"/>
        <w:rPr>
          <w:rFonts w:ascii="Arial" w:hAnsi="Arial" w:cs="David" w:hint="cs"/>
          <w:rtl/>
        </w:rPr>
      </w:pPr>
      <w:r w:rsidRPr="00D846D0">
        <w:rPr>
          <w:rFonts w:ascii="Arial" w:hAnsi="Arial" w:cs="David"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שנת 2015 בהיקף של </w:t>
      </w:r>
      <w:r>
        <w:rPr>
          <w:rFonts w:ascii="Arial" w:hAnsi="Arial" w:cs="David" w:hint="cs"/>
          <w:rtl/>
        </w:rPr>
        <w:t>11.1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>
        <w:rPr>
          <w:rFonts w:ascii="Arial" w:hAnsi="Arial" w:cs="David" w:hint="cs"/>
          <w:rtl/>
        </w:rPr>
        <w:t>11.9%). העלייה נבעה בעיקר מזרם השקעות ישירות בהון מניות (9.6 מיליארדי דולרים, 11.6%).</w:t>
      </w:r>
    </w:p>
    <w:p w:rsidR="00672893" w:rsidRPr="00D846D0" w:rsidRDefault="00672893" w:rsidP="004D665C">
      <w:pPr>
        <w:spacing w:line="360" w:lineRule="auto"/>
        <w:jc w:val="both"/>
        <w:rPr>
          <w:rFonts w:ascii="Arial" w:hAnsi="Arial" w:cs="David" w:hint="cs"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</w:t>
      </w:r>
      <w:r>
        <w:rPr>
          <w:rFonts w:ascii="Arial" w:hAnsi="Arial" w:cs="David" w:hint="cs"/>
          <w:b/>
          <w:bCs/>
          <w:rtl/>
        </w:rPr>
        <w:t>יתרת</w:t>
      </w:r>
      <w:r w:rsidRPr="00C4262A">
        <w:rPr>
          <w:rFonts w:ascii="Arial" w:hAnsi="Arial" w:cs="David" w:hint="cs"/>
          <w:b/>
          <w:bCs/>
          <w:rtl/>
        </w:rPr>
        <w:t xml:space="preserve"> ה</w:t>
      </w:r>
      <w:r>
        <w:rPr>
          <w:rFonts w:ascii="Arial" w:hAnsi="Arial" w:cs="David" w:hint="cs"/>
          <w:b/>
          <w:bCs/>
          <w:rtl/>
        </w:rPr>
        <w:t>השקעות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Pr="00F508E4">
        <w:rPr>
          <w:rFonts w:ascii="Arial" w:hAnsi="Arial" w:cs="David" w:hint="cs"/>
          <w:b/>
          <w:bCs/>
          <w:rtl/>
        </w:rPr>
        <w:t>הפיננסיות</w:t>
      </w:r>
      <w:r w:rsidRPr="00D846D0">
        <w:rPr>
          <w:rFonts w:ascii="Arial" w:hAnsi="Arial" w:cs="David" w:hint="cs"/>
          <w:b/>
          <w:bCs/>
          <w:rtl/>
        </w:rPr>
        <w:t xml:space="preserve"> (מניות ואג"ח)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במהלך שנת 2015 בהיקף של כ-</w:t>
      </w:r>
      <w:r>
        <w:rPr>
          <w:rFonts w:ascii="Arial" w:hAnsi="Arial" w:cs="David" w:hint="cs"/>
          <w:rtl/>
        </w:rPr>
        <w:t>9.5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>
        <w:rPr>
          <w:rFonts w:ascii="Arial" w:hAnsi="Arial" w:cs="David" w:hint="cs"/>
          <w:rtl/>
        </w:rPr>
        <w:t>7.8</w:t>
      </w:r>
      <w:r w:rsidR="004D665C">
        <w:rPr>
          <w:rFonts w:ascii="Arial" w:hAnsi="Arial" w:cs="David" w:hint="cs"/>
          <w:rtl/>
        </w:rPr>
        <w:t>%):</w:t>
      </w:r>
      <w:r w:rsidR="008A23B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עלייה</w:t>
      </w:r>
      <w:r w:rsidRPr="00D846D0">
        <w:rPr>
          <w:rFonts w:ascii="Arial" w:hAnsi="Arial" w:cs="David" w:hint="cs"/>
          <w:rtl/>
        </w:rPr>
        <w:t xml:space="preserve"> ניכרת</w:t>
      </w:r>
      <w:r w:rsidR="004D665C">
        <w:rPr>
          <w:rFonts w:ascii="Arial" w:hAnsi="Arial" w:cs="David" w:hint="cs"/>
          <w:rtl/>
        </w:rPr>
        <w:t>, בעיקר ברביע הרביעי,</w:t>
      </w:r>
      <w:r w:rsidRPr="00D846D0">
        <w:rPr>
          <w:rFonts w:ascii="Arial" w:hAnsi="Arial" w:cs="David" w:hint="cs"/>
          <w:rtl/>
        </w:rPr>
        <w:t xml:space="preserve"> במחירי המניות הישראליות שמחזיקים תושבי חוץ (</w:t>
      </w:r>
      <w:r>
        <w:rPr>
          <w:rFonts w:ascii="Arial" w:hAnsi="Arial" w:cs="David" w:hint="cs"/>
          <w:rtl/>
        </w:rPr>
        <w:t>7.3</w:t>
      </w:r>
      <w:r w:rsidRPr="00D846D0">
        <w:rPr>
          <w:rFonts w:ascii="Arial" w:hAnsi="Arial" w:cs="David" w:hint="cs"/>
          <w:rtl/>
        </w:rPr>
        <w:t xml:space="preserve"> מיליארדי דולרים, </w:t>
      </w:r>
      <w:r>
        <w:rPr>
          <w:rFonts w:ascii="Arial" w:hAnsi="Arial" w:cs="David" w:hint="cs"/>
          <w:rtl/>
        </w:rPr>
        <w:t>8</w:t>
      </w:r>
      <w:r w:rsidRPr="00D846D0">
        <w:rPr>
          <w:rFonts w:ascii="Arial" w:hAnsi="Arial" w:cs="David" w:hint="cs"/>
          <w:rtl/>
        </w:rPr>
        <w:t xml:space="preserve">%) </w:t>
      </w:r>
      <w:r w:rsidR="004D665C">
        <w:rPr>
          <w:rFonts w:ascii="Arial" w:hAnsi="Arial" w:cs="David" w:hint="cs"/>
          <w:rtl/>
        </w:rPr>
        <w:t xml:space="preserve">בשילוב עם </w:t>
      </w:r>
      <w:r>
        <w:rPr>
          <w:rFonts w:ascii="Arial" w:hAnsi="Arial" w:cs="David" w:hint="cs"/>
          <w:rtl/>
        </w:rPr>
        <w:t>זרם השקעות נטו בהשקעות פיננסיות בהון מניות (4.6 מיליארדים, 5%).</w:t>
      </w:r>
    </w:p>
    <w:p w:rsidR="00672893" w:rsidRPr="00D846D0" w:rsidRDefault="00672893" w:rsidP="004D665C">
      <w:pPr>
        <w:spacing w:line="360" w:lineRule="auto"/>
        <w:jc w:val="both"/>
        <w:rPr>
          <w:rFonts w:ascii="Arial" w:hAnsi="Arial" w:cs="David" w:hint="cs"/>
          <w:rtl/>
        </w:rPr>
      </w:pPr>
      <w:r w:rsidRPr="00633A72">
        <w:rPr>
          <w:rFonts w:ascii="Arial" w:hAnsi="Arial" w:cs="David" w:hint="cs"/>
          <w:b/>
          <w:bCs/>
          <w:rtl/>
        </w:rPr>
        <w:t xml:space="preserve">שווי ההשקעות האחרות במשק </w:t>
      </w:r>
      <w:r w:rsidRPr="00633A72">
        <w:rPr>
          <w:rFonts w:ascii="Arial" w:hAnsi="Arial" w:cs="David" w:hint="cs"/>
          <w:rtl/>
        </w:rPr>
        <w:t xml:space="preserve">ירד </w:t>
      </w:r>
      <w:r>
        <w:rPr>
          <w:rFonts w:ascii="Arial" w:hAnsi="Arial" w:cs="David" w:hint="cs"/>
          <w:rtl/>
        </w:rPr>
        <w:t>במהלך</w:t>
      </w:r>
      <w:r w:rsidR="008A23B2">
        <w:rPr>
          <w:rFonts w:ascii="Arial" w:hAnsi="Arial" w:cs="David" w:hint="cs"/>
          <w:rtl/>
        </w:rPr>
        <w:t xml:space="preserve"> שנת</w:t>
      </w:r>
      <w:r w:rsidRPr="00633A72">
        <w:rPr>
          <w:rFonts w:ascii="Arial" w:hAnsi="Arial" w:cs="David" w:hint="cs"/>
          <w:rtl/>
        </w:rPr>
        <w:t xml:space="preserve"> 2015 בכ-</w:t>
      </w:r>
      <w:r w:rsidR="004D665C">
        <w:rPr>
          <w:rFonts w:ascii="Arial" w:hAnsi="Arial" w:cs="David" w:hint="cs"/>
          <w:rtl/>
        </w:rPr>
        <w:t>6</w:t>
      </w:r>
      <w:r w:rsidRPr="00633A72">
        <w:rPr>
          <w:rFonts w:ascii="Arial" w:hAnsi="Arial" w:cs="David" w:hint="cs"/>
          <w:rtl/>
        </w:rPr>
        <w:t xml:space="preserve"> מיליארדי דולרים (</w:t>
      </w:r>
      <w:r w:rsidR="004D665C">
        <w:rPr>
          <w:rFonts w:ascii="Arial" w:hAnsi="Arial" w:cs="David" w:hint="cs"/>
          <w:rtl/>
        </w:rPr>
        <w:t>11</w:t>
      </w:r>
      <w:r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 w:rsidR="004D665C">
        <w:rPr>
          <w:rFonts w:ascii="Arial" w:hAnsi="Arial" w:cs="David" w:hint="cs"/>
          <w:rtl/>
        </w:rPr>
        <w:t>משיכות</w:t>
      </w:r>
      <w:r w:rsidRPr="00633A72">
        <w:rPr>
          <w:rFonts w:ascii="Arial" w:hAnsi="Arial" w:cs="David" w:hint="cs"/>
          <w:rtl/>
        </w:rPr>
        <w:t xml:space="preserve"> </w:t>
      </w:r>
      <w:r w:rsidR="004D665C">
        <w:rPr>
          <w:rFonts w:ascii="Arial" w:hAnsi="Arial" w:cs="David" w:hint="cs"/>
          <w:rtl/>
        </w:rPr>
        <w:t>מ</w:t>
      </w:r>
      <w:r w:rsidRPr="00633A72">
        <w:rPr>
          <w:rFonts w:ascii="Arial" w:hAnsi="Arial" w:cs="David" w:hint="cs"/>
          <w:rtl/>
        </w:rPr>
        <w:t xml:space="preserve">פיקדונות תושבי חוץ </w:t>
      </w:r>
      <w:r>
        <w:rPr>
          <w:rFonts w:ascii="Arial" w:hAnsi="Arial" w:cs="David" w:hint="cs"/>
          <w:rtl/>
        </w:rPr>
        <w:t>ובנקים מחו"ל (</w:t>
      </w:r>
      <w:r w:rsidR="004D665C">
        <w:rPr>
          <w:rFonts w:ascii="Arial" w:hAnsi="Arial" w:cs="David" w:hint="cs"/>
          <w:rtl/>
        </w:rPr>
        <w:t>3.8</w:t>
      </w:r>
      <w:r>
        <w:rPr>
          <w:rFonts w:ascii="Arial" w:hAnsi="Arial" w:cs="David" w:hint="cs"/>
          <w:rtl/>
        </w:rPr>
        <w:t xml:space="preserve"> מיליארדים, </w:t>
      </w:r>
      <w:r w:rsidR="004D665C">
        <w:rPr>
          <w:rFonts w:ascii="Arial" w:hAnsi="Arial" w:cs="David" w:hint="cs"/>
          <w:rtl/>
        </w:rPr>
        <w:t>19</w:t>
      </w:r>
      <w:r>
        <w:rPr>
          <w:rFonts w:ascii="Arial" w:hAnsi="Arial" w:cs="David" w:hint="cs"/>
          <w:rtl/>
        </w:rPr>
        <w:t>%) במקביל לירידה ב</w:t>
      </w:r>
      <w:r w:rsidR="004D665C">
        <w:rPr>
          <w:rFonts w:ascii="Arial" w:hAnsi="Arial" w:cs="David" w:hint="cs"/>
          <w:rtl/>
        </w:rPr>
        <w:t xml:space="preserve">הלוואות </w:t>
      </w:r>
      <w:r>
        <w:rPr>
          <w:rFonts w:ascii="Arial" w:hAnsi="Arial" w:cs="David" w:hint="cs"/>
          <w:rtl/>
        </w:rPr>
        <w:t>(</w:t>
      </w:r>
      <w:r w:rsidR="004D665C">
        <w:rPr>
          <w:rFonts w:ascii="Arial" w:hAnsi="Arial" w:cs="David" w:hint="cs"/>
          <w:rtl/>
        </w:rPr>
        <w:t>1.4 מיליארדים</w:t>
      </w:r>
      <w:r>
        <w:rPr>
          <w:rFonts w:ascii="Arial" w:hAnsi="Arial" w:cs="David" w:hint="cs"/>
          <w:rtl/>
        </w:rPr>
        <w:t xml:space="preserve">, </w:t>
      </w:r>
      <w:r w:rsidR="004D665C">
        <w:rPr>
          <w:rFonts w:ascii="Arial" w:hAnsi="Arial" w:cs="David" w:hint="cs"/>
          <w:rtl/>
        </w:rPr>
        <w:t>7.2</w:t>
      </w:r>
      <w:r>
        <w:rPr>
          <w:rFonts w:ascii="Arial" w:hAnsi="Arial" w:cs="David" w:hint="cs"/>
          <w:rtl/>
        </w:rPr>
        <w:t>%).</w:t>
      </w:r>
    </w:p>
    <w:p w:rsidR="005D09C7" w:rsidRDefault="00390C6E" w:rsidP="0068481C">
      <w:pPr>
        <w:spacing w:before="240"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b/>
          <w:bCs/>
          <w:rtl/>
        </w:rPr>
        <w:t>שווי התיק הפיננסי של תושבי חוץ</w:t>
      </w:r>
      <w:r w:rsidRPr="003F317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 xml:space="preserve">בבורסה לני"ע בתל-אביב </w:t>
      </w:r>
      <w:r>
        <w:rPr>
          <w:rFonts w:ascii="Arial" w:hAnsi="Arial" w:cs="David" w:hint="cs"/>
          <w:rtl/>
        </w:rPr>
        <w:t xml:space="preserve">עלה </w:t>
      </w:r>
      <w:r w:rsidR="00F62A12">
        <w:rPr>
          <w:rFonts w:ascii="Arial" w:hAnsi="Arial" w:cs="David" w:hint="cs"/>
          <w:rtl/>
        </w:rPr>
        <w:t>בשנת 201</w:t>
      </w:r>
      <w:r w:rsidR="00FE3D65">
        <w:rPr>
          <w:rFonts w:ascii="Arial" w:hAnsi="Arial" w:cs="David" w:hint="cs"/>
          <w:rtl/>
        </w:rPr>
        <w:t>5</w:t>
      </w:r>
      <w:r>
        <w:rPr>
          <w:rFonts w:ascii="Arial" w:hAnsi="Arial" w:cs="David" w:hint="cs"/>
          <w:rtl/>
        </w:rPr>
        <w:t xml:space="preserve"> ב</w:t>
      </w:r>
      <w:r w:rsidRPr="003F3174">
        <w:rPr>
          <w:rFonts w:ascii="Arial" w:hAnsi="Arial" w:cs="David" w:hint="cs"/>
          <w:rtl/>
        </w:rPr>
        <w:t>-</w:t>
      </w:r>
      <w:r w:rsidR="00B2343C">
        <w:rPr>
          <w:rFonts w:ascii="Arial" w:hAnsi="Arial" w:cs="David" w:hint="cs"/>
          <w:rtl/>
        </w:rPr>
        <w:t>3.4</w:t>
      </w:r>
      <w:r w:rsidR="006F38F9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</w:t>
      </w:r>
      <w:r>
        <w:rPr>
          <w:rFonts w:ascii="Arial" w:hAnsi="Arial" w:cs="David" w:hint="cs"/>
          <w:rtl/>
        </w:rPr>
        <w:t xml:space="preserve"> דולרים (</w:t>
      </w:r>
      <w:r w:rsidR="00B2343C">
        <w:rPr>
          <w:rFonts w:ascii="Arial" w:hAnsi="Arial" w:cs="David" w:hint="cs"/>
          <w:rtl/>
        </w:rPr>
        <w:t>10.1</w:t>
      </w:r>
      <w:r>
        <w:rPr>
          <w:rFonts w:ascii="Arial" w:hAnsi="Arial" w:cs="David" w:hint="cs"/>
          <w:rtl/>
        </w:rPr>
        <w:t xml:space="preserve">%) </w:t>
      </w:r>
      <w:r w:rsidRPr="003F3174">
        <w:rPr>
          <w:rFonts w:ascii="Arial" w:hAnsi="Arial" w:cs="David" w:hint="cs"/>
          <w:rtl/>
        </w:rPr>
        <w:t xml:space="preserve">ועמד בסוף </w:t>
      </w:r>
      <w:r>
        <w:rPr>
          <w:rFonts w:ascii="Arial" w:hAnsi="Arial" w:cs="David" w:hint="cs"/>
          <w:rtl/>
        </w:rPr>
        <w:t>ה</w:t>
      </w:r>
      <w:r w:rsidR="00F62A12">
        <w:rPr>
          <w:rFonts w:ascii="Arial" w:hAnsi="Arial" w:cs="David" w:hint="cs"/>
          <w:rtl/>
        </w:rPr>
        <w:t>שנה</w:t>
      </w:r>
      <w:r w:rsidRPr="003F3174">
        <w:rPr>
          <w:rFonts w:ascii="Arial" w:hAnsi="Arial" w:cs="David" w:hint="cs"/>
          <w:rtl/>
        </w:rPr>
        <w:t xml:space="preserve"> על כ</w:t>
      </w:r>
      <w:r w:rsidR="00FE3D65">
        <w:rPr>
          <w:rFonts w:ascii="Arial" w:hAnsi="Arial" w:cs="David" w:hint="cs"/>
          <w:rtl/>
        </w:rPr>
        <w:t>-37.1</w:t>
      </w:r>
      <w:r w:rsidRPr="003F3174">
        <w:rPr>
          <w:rFonts w:ascii="Arial" w:hAnsi="Arial" w:cs="David" w:hint="cs"/>
          <w:rtl/>
        </w:rPr>
        <w:t xml:space="preserve"> מיליארדים</w:t>
      </w:r>
      <w:r w:rsidR="00B2343C">
        <w:rPr>
          <w:rFonts w:ascii="Arial" w:hAnsi="Arial" w:cs="David"/>
        </w:rPr>
        <w:t>;</w:t>
      </w:r>
      <w:r w:rsidR="00B2343C">
        <w:rPr>
          <w:rFonts w:ascii="Arial" w:hAnsi="Arial" w:cs="David" w:hint="cs"/>
          <w:rtl/>
        </w:rPr>
        <w:t xml:space="preserve"> בעיקר עלייה של</w:t>
      </w:r>
      <w:r w:rsidR="00CF5F1A">
        <w:rPr>
          <w:rFonts w:ascii="Arial" w:hAnsi="Arial" w:cs="David" w:hint="cs"/>
          <w:rtl/>
        </w:rPr>
        <w:t xml:space="preserve"> </w:t>
      </w:r>
      <w:r w:rsidR="00B2343C">
        <w:rPr>
          <w:rFonts w:ascii="Arial" w:hAnsi="Arial" w:cs="David" w:hint="cs"/>
          <w:rtl/>
        </w:rPr>
        <w:t xml:space="preserve">3 </w:t>
      </w:r>
      <w:r w:rsidR="00395622">
        <w:rPr>
          <w:rFonts w:ascii="Arial" w:hAnsi="Arial" w:cs="David" w:hint="cs"/>
          <w:rtl/>
        </w:rPr>
        <w:t xml:space="preserve">מיליארדים </w:t>
      </w:r>
      <w:r w:rsidR="002970DD">
        <w:rPr>
          <w:rFonts w:ascii="Arial" w:hAnsi="Arial" w:cs="David" w:hint="cs"/>
          <w:rtl/>
        </w:rPr>
        <w:t>ב</w:t>
      </w:r>
      <w:r w:rsidR="00B2343C">
        <w:rPr>
          <w:rFonts w:ascii="Arial" w:hAnsi="Arial" w:cs="David" w:hint="cs"/>
          <w:rtl/>
        </w:rPr>
        <w:t>יתרת ההשקעות במניות פיננסיות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806E82" w:rsidRPr="003F3174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623EA3" w:rsidRDefault="0068481C" w:rsidP="00801E84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6186805" cy="3925570"/>
            <wp:effectExtent l="0" t="0" r="4445" b="0"/>
            <wp:docPr id="47" name="תמונה 47" descr="תרשים 3: שווי תיק ני&quot;ע של תושבי חוץ בבורסה בתל-אביב" title="תרשים 3: שווי תיק ני&quot;ע של תושבי חוץ בבורסה בתל-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92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BF" w:rsidRPr="0068481C" w:rsidRDefault="009522BF" w:rsidP="0068481C">
      <w:pPr>
        <w:pStyle w:val="ad"/>
        <w:numPr>
          <w:ilvl w:val="0"/>
          <w:numId w:val="13"/>
        </w:numPr>
        <w:spacing w:before="240" w:line="360" w:lineRule="auto"/>
        <w:ind w:left="357" w:hanging="357"/>
        <w:jc w:val="both"/>
        <w:rPr>
          <w:rFonts w:ascii="Arial" w:hAnsi="Arial" w:cs="David" w:hint="cs"/>
          <w:b/>
          <w:bCs/>
          <w:rtl/>
        </w:rPr>
      </w:pPr>
      <w:r w:rsidRPr="0068481C">
        <w:rPr>
          <w:rFonts w:ascii="Arial" w:hAnsi="Arial" w:cs="David" w:hint="cs"/>
          <w:b/>
          <w:bCs/>
          <w:rtl/>
        </w:rPr>
        <w:t xml:space="preserve">החוב החיצוני </w:t>
      </w:r>
      <w:r w:rsidR="00921B27" w:rsidRPr="0068481C">
        <w:rPr>
          <w:rFonts w:ascii="Arial" w:hAnsi="Arial" w:cs="David" w:hint="cs"/>
          <w:b/>
          <w:bCs/>
          <w:rtl/>
        </w:rPr>
        <w:t>ברוטו</w:t>
      </w:r>
    </w:p>
    <w:p w:rsidR="009522BF" w:rsidRPr="003F3174" w:rsidRDefault="00AC535A" w:rsidP="002B73BC">
      <w:pPr>
        <w:spacing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D9170D">
        <w:rPr>
          <w:rFonts w:ascii="Arial" w:hAnsi="Arial" w:cs="David" w:hint="cs"/>
          <w:rtl/>
        </w:rPr>
        <w:t>ירד</w:t>
      </w:r>
      <w:r w:rsidR="00AE53C1">
        <w:rPr>
          <w:rFonts w:ascii="Arial" w:hAnsi="Arial" w:cs="David" w:hint="cs"/>
          <w:rtl/>
        </w:rPr>
        <w:t xml:space="preserve"> </w:t>
      </w:r>
      <w:r w:rsidR="00D77097" w:rsidRPr="003F3174">
        <w:rPr>
          <w:rFonts w:ascii="Arial" w:hAnsi="Arial" w:cs="David" w:hint="cs"/>
          <w:b/>
          <w:bCs/>
          <w:rtl/>
        </w:rPr>
        <w:t xml:space="preserve">במהלך </w:t>
      </w:r>
      <w:r w:rsidR="00D77097">
        <w:rPr>
          <w:rFonts w:ascii="Arial" w:hAnsi="Arial" w:cs="David" w:hint="cs"/>
          <w:b/>
          <w:bCs/>
          <w:rtl/>
        </w:rPr>
        <w:t xml:space="preserve">שנת </w:t>
      </w:r>
      <w:r w:rsidR="00D9170D">
        <w:rPr>
          <w:rFonts w:ascii="Arial" w:hAnsi="Arial" w:cs="David" w:hint="cs"/>
          <w:b/>
          <w:bCs/>
          <w:rtl/>
        </w:rPr>
        <w:t>2015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94002E">
        <w:rPr>
          <w:rFonts w:ascii="Arial" w:hAnsi="Arial" w:cs="David" w:hint="cs"/>
          <w:rtl/>
        </w:rPr>
        <w:t>-</w:t>
      </w:r>
      <w:r w:rsidR="002B73BC">
        <w:rPr>
          <w:rFonts w:ascii="Arial" w:hAnsi="Arial" w:cs="David" w:hint="cs"/>
          <w:rtl/>
        </w:rPr>
        <w:t xml:space="preserve">6.8 </w:t>
      </w:r>
      <w:r w:rsidR="0094002E" w:rsidRPr="0094002E">
        <w:rPr>
          <w:rFonts w:ascii="Arial" w:hAnsi="Arial" w:cs="David" w:hint="cs"/>
          <w:rtl/>
        </w:rPr>
        <w:t>מיליארדי 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2B73BC">
        <w:rPr>
          <w:rFonts w:ascii="Arial" w:hAnsi="Arial" w:cs="David" w:hint="cs"/>
          <w:rtl/>
        </w:rPr>
        <w:t>7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8877D7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1F6055">
        <w:rPr>
          <w:rFonts w:ascii="Arial" w:hAnsi="Arial" w:cs="David" w:hint="cs"/>
          <w:rtl/>
        </w:rPr>
        <w:t>ה</w:t>
      </w:r>
      <w:r w:rsidR="002B73BC">
        <w:rPr>
          <w:rFonts w:ascii="Arial" w:hAnsi="Arial" w:cs="David" w:hint="cs"/>
          <w:rtl/>
        </w:rPr>
        <w:t>ירידה</w:t>
      </w:r>
      <w:r w:rsidR="001F6055">
        <w:rPr>
          <w:rFonts w:ascii="Arial" w:hAnsi="Arial" w:cs="David" w:hint="cs"/>
          <w:rtl/>
        </w:rPr>
        <w:t xml:space="preserve"> משקפת </w:t>
      </w:r>
      <w:r w:rsidR="002B73BC">
        <w:rPr>
          <w:rFonts w:ascii="Arial" w:hAnsi="Arial" w:cs="David" w:hint="cs"/>
          <w:rtl/>
        </w:rPr>
        <w:t xml:space="preserve">בעיקר </w:t>
      </w:r>
      <w:r w:rsidR="00801E84">
        <w:rPr>
          <w:rFonts w:ascii="Arial" w:hAnsi="Arial" w:cs="David" w:hint="cs"/>
          <w:rtl/>
        </w:rPr>
        <w:t>פדיונות</w:t>
      </w:r>
      <w:r w:rsidR="001F6055" w:rsidRPr="003F3174">
        <w:rPr>
          <w:rFonts w:ascii="Arial" w:hAnsi="Arial" w:cs="David" w:hint="cs"/>
          <w:rtl/>
        </w:rPr>
        <w:t xml:space="preserve"> של תושבי חוץ </w:t>
      </w:r>
      <w:r w:rsidR="001F6055">
        <w:rPr>
          <w:rFonts w:ascii="Arial" w:hAnsi="Arial" w:cs="David" w:hint="cs"/>
          <w:rtl/>
        </w:rPr>
        <w:t>מ</w:t>
      </w:r>
      <w:r w:rsidR="001F6055" w:rsidRPr="003F3174">
        <w:rPr>
          <w:rFonts w:ascii="Arial" w:hAnsi="Arial" w:cs="David" w:hint="cs"/>
          <w:rtl/>
        </w:rPr>
        <w:t>פיקדונות בבנקים ישראלים</w:t>
      </w:r>
      <w:r w:rsidR="002B73BC">
        <w:rPr>
          <w:rFonts w:ascii="Arial" w:hAnsi="Arial" w:cs="David" w:hint="cs"/>
          <w:rtl/>
        </w:rPr>
        <w:t xml:space="preserve"> וכן </w:t>
      </w:r>
      <w:r w:rsidR="001F6055">
        <w:rPr>
          <w:rFonts w:ascii="Arial" w:hAnsi="Arial" w:cs="David" w:hint="cs"/>
          <w:rtl/>
        </w:rPr>
        <w:t xml:space="preserve">ירידה </w:t>
      </w:r>
      <w:r w:rsidR="0094002E">
        <w:rPr>
          <w:rFonts w:ascii="Arial" w:hAnsi="Arial" w:cs="David" w:hint="cs"/>
          <w:rtl/>
        </w:rPr>
        <w:t>בהלוואות</w:t>
      </w:r>
      <w:r w:rsidR="002B73BC">
        <w:rPr>
          <w:rFonts w:ascii="Arial" w:hAnsi="Arial" w:cs="David" w:hint="cs"/>
          <w:rtl/>
        </w:rPr>
        <w:t xml:space="preserve"> ומימושים של תושבי חוץ באג"ח ישראליות</w:t>
      </w:r>
      <w:r w:rsidR="001F6055">
        <w:rPr>
          <w:rFonts w:ascii="Arial" w:hAnsi="Arial" w:cs="David" w:hint="cs"/>
          <w:rtl/>
        </w:rPr>
        <w:t>.</w:t>
      </w:r>
    </w:p>
    <w:p w:rsidR="00846D0E" w:rsidRDefault="009522BF" w:rsidP="008B5A2F">
      <w:pPr>
        <w:spacing w:line="360" w:lineRule="auto"/>
        <w:jc w:val="both"/>
        <w:rPr>
          <w:rFonts w:hint="cs"/>
          <w:rtl/>
        </w:rPr>
      </w:pPr>
      <w:r w:rsidRPr="00C30766">
        <w:rPr>
          <w:rFonts w:ascii="Arial" w:hAnsi="Arial" w:cs="David" w:hint="cs"/>
          <w:rtl/>
        </w:rPr>
        <w:t xml:space="preserve">היחס שבין החוב החיצוני לתמ"ג </w:t>
      </w:r>
      <w:r w:rsidR="002B73BC">
        <w:rPr>
          <w:rFonts w:ascii="Arial" w:hAnsi="Arial" w:cs="David" w:hint="cs"/>
          <w:rtl/>
        </w:rPr>
        <w:t>ירד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94002E">
        <w:rPr>
          <w:rFonts w:ascii="Arial" w:hAnsi="Arial" w:cs="David" w:hint="cs"/>
          <w:rtl/>
        </w:rPr>
        <w:t xml:space="preserve">בשנת </w:t>
      </w:r>
      <w:r w:rsidR="002B73BC">
        <w:rPr>
          <w:rFonts w:ascii="Arial" w:hAnsi="Arial" w:cs="David" w:hint="cs"/>
          <w:rtl/>
        </w:rPr>
        <w:t>2015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C940F0">
        <w:rPr>
          <w:rFonts w:ascii="Arial" w:hAnsi="Arial" w:cs="David" w:hint="cs"/>
          <w:rtl/>
        </w:rPr>
        <w:t>ב</w:t>
      </w:r>
      <w:r w:rsidR="007705DB" w:rsidRPr="00C30766">
        <w:rPr>
          <w:rFonts w:ascii="Arial" w:hAnsi="Arial" w:cs="David" w:hint="cs"/>
          <w:rtl/>
        </w:rPr>
        <w:t>-</w:t>
      </w:r>
      <w:r w:rsidR="0094002E">
        <w:rPr>
          <w:rFonts w:ascii="Arial" w:hAnsi="Arial" w:cs="David" w:hint="cs"/>
          <w:rtl/>
        </w:rPr>
        <w:t>3</w:t>
      </w:r>
      <w:r w:rsidR="00B80CBB">
        <w:rPr>
          <w:rFonts w:ascii="Arial" w:hAnsi="Arial" w:cs="David" w:hint="cs"/>
          <w:rtl/>
        </w:rPr>
        <w:t>.</w:t>
      </w:r>
      <w:r w:rsidR="002B73BC">
        <w:rPr>
          <w:rFonts w:ascii="Arial" w:hAnsi="Arial" w:cs="David" w:hint="cs"/>
          <w:rtl/>
        </w:rPr>
        <w:t>9</w:t>
      </w:r>
      <w:r w:rsidR="00234D80">
        <w:rPr>
          <w:rFonts w:ascii="Arial" w:hAnsi="Arial" w:cs="David" w:hint="cs"/>
          <w:rtl/>
        </w:rPr>
        <w:t xml:space="preserve"> </w:t>
      </w:r>
      <w:r w:rsidR="007705DB" w:rsidRPr="00C30766">
        <w:rPr>
          <w:rFonts w:ascii="Arial" w:hAnsi="Arial" w:cs="David" w:hint="cs"/>
          <w:rtl/>
        </w:rPr>
        <w:t xml:space="preserve">נקודות </w:t>
      </w:r>
      <w:r w:rsidR="00C940F0">
        <w:rPr>
          <w:rFonts w:ascii="Arial" w:hAnsi="Arial" w:cs="David" w:hint="cs"/>
          <w:rtl/>
        </w:rPr>
        <w:t>אחוז</w:t>
      </w:r>
      <w:r w:rsidR="00B80CBB" w:rsidRPr="00B80CBB">
        <w:rPr>
          <w:rFonts w:ascii="Arial" w:hAnsi="Arial" w:cs="David" w:hint="cs"/>
          <w:rtl/>
        </w:rPr>
        <w:t xml:space="preserve"> </w:t>
      </w:r>
      <w:r w:rsidR="00B80CBB">
        <w:rPr>
          <w:rFonts w:ascii="Arial" w:hAnsi="Arial" w:cs="David" w:hint="cs"/>
          <w:rtl/>
        </w:rPr>
        <w:t xml:space="preserve">ועמד בסוף </w:t>
      </w:r>
      <w:r w:rsidR="0094002E">
        <w:rPr>
          <w:rFonts w:ascii="Arial" w:hAnsi="Arial" w:cs="David" w:hint="cs"/>
          <w:rtl/>
        </w:rPr>
        <w:t>השנה</w:t>
      </w:r>
      <w:r w:rsidR="00B80CBB">
        <w:rPr>
          <w:rFonts w:ascii="Arial" w:hAnsi="Arial" w:cs="David" w:hint="cs"/>
          <w:rtl/>
        </w:rPr>
        <w:t xml:space="preserve"> </w:t>
      </w:r>
      <w:r w:rsidR="00B80CBB" w:rsidRPr="00C30766">
        <w:rPr>
          <w:rFonts w:ascii="Arial" w:hAnsi="Arial" w:cs="David" w:hint="cs"/>
          <w:rtl/>
        </w:rPr>
        <w:t xml:space="preserve">על </w:t>
      </w:r>
      <w:r w:rsidR="00B80CBB">
        <w:rPr>
          <w:rFonts w:ascii="Arial" w:hAnsi="Arial" w:cs="David" w:hint="cs"/>
          <w:rtl/>
        </w:rPr>
        <w:t>3</w:t>
      </w:r>
      <w:r w:rsidR="002B73BC">
        <w:rPr>
          <w:rFonts w:ascii="Arial" w:hAnsi="Arial" w:cs="David" w:hint="cs"/>
          <w:rtl/>
        </w:rPr>
        <w:t>0</w:t>
      </w:r>
      <w:r w:rsidR="00B80CBB">
        <w:rPr>
          <w:rFonts w:ascii="Arial" w:hAnsi="Arial" w:cs="David" w:hint="cs"/>
          <w:rtl/>
        </w:rPr>
        <w:t>.</w:t>
      </w:r>
      <w:r w:rsidR="002B73BC">
        <w:rPr>
          <w:rFonts w:ascii="Arial" w:hAnsi="Arial" w:cs="David" w:hint="cs"/>
          <w:rtl/>
        </w:rPr>
        <w:t>3</w:t>
      </w:r>
      <w:r w:rsidR="00B80CBB" w:rsidRPr="00C30766">
        <w:rPr>
          <w:rFonts w:ascii="Arial" w:hAnsi="Arial" w:cs="David" w:hint="cs"/>
          <w:rtl/>
        </w:rPr>
        <w:t>%</w:t>
      </w:r>
      <w:r w:rsidR="00C940F0">
        <w:rPr>
          <w:rFonts w:ascii="Arial" w:hAnsi="Arial" w:cs="David" w:hint="cs"/>
          <w:rtl/>
        </w:rPr>
        <w:t xml:space="preserve">, זאת </w:t>
      </w:r>
      <w:r w:rsidR="0094002E">
        <w:rPr>
          <w:rFonts w:ascii="Arial" w:hAnsi="Arial" w:cs="David" w:hint="cs"/>
          <w:rtl/>
        </w:rPr>
        <w:t>ב</w:t>
      </w:r>
      <w:r w:rsidR="002B73BC">
        <w:rPr>
          <w:rFonts w:ascii="Arial" w:hAnsi="Arial" w:cs="David" w:hint="cs"/>
          <w:rtl/>
        </w:rPr>
        <w:t>ניגוד</w:t>
      </w:r>
      <w:r w:rsidR="00B80CBB">
        <w:rPr>
          <w:rFonts w:ascii="Arial" w:hAnsi="Arial" w:cs="David" w:hint="cs"/>
          <w:rtl/>
        </w:rPr>
        <w:t xml:space="preserve"> ל</w:t>
      </w:r>
      <w:r w:rsidR="002B73BC">
        <w:rPr>
          <w:rFonts w:ascii="Arial" w:hAnsi="Arial" w:cs="David" w:hint="cs"/>
          <w:rtl/>
        </w:rPr>
        <w:t>עלייה</w:t>
      </w:r>
      <w:r w:rsidR="001F6055">
        <w:rPr>
          <w:rFonts w:ascii="Arial" w:hAnsi="Arial" w:cs="David" w:hint="cs"/>
          <w:rtl/>
        </w:rPr>
        <w:t xml:space="preserve"> של </w:t>
      </w:r>
      <w:r w:rsidR="002B73BC">
        <w:rPr>
          <w:rFonts w:ascii="Arial" w:hAnsi="Arial" w:cs="David" w:hint="cs"/>
          <w:rtl/>
        </w:rPr>
        <w:t>0.9</w:t>
      </w:r>
      <w:r w:rsidR="001F6055">
        <w:rPr>
          <w:rFonts w:ascii="Arial" w:hAnsi="Arial" w:cs="David" w:hint="cs"/>
          <w:rtl/>
        </w:rPr>
        <w:t xml:space="preserve"> נקודות אחוז </w:t>
      </w:r>
      <w:r w:rsidR="0094002E">
        <w:rPr>
          <w:rFonts w:ascii="Arial" w:hAnsi="Arial" w:cs="David" w:hint="cs"/>
          <w:rtl/>
        </w:rPr>
        <w:t xml:space="preserve">בשנת </w:t>
      </w:r>
      <w:r w:rsidR="0070503C">
        <w:rPr>
          <w:rFonts w:ascii="Arial" w:hAnsi="Arial" w:cs="David" w:hint="cs"/>
          <w:rtl/>
        </w:rPr>
        <w:t xml:space="preserve">2014. </w:t>
      </w:r>
      <w:r w:rsidR="0070503C" w:rsidRPr="0070503C">
        <w:rPr>
          <w:rFonts w:ascii="Arial" w:hAnsi="Arial" w:cs="David" w:hint="cs"/>
          <w:rtl/>
        </w:rPr>
        <w:t>הירידה ביחס החוב לתוצר נבעה מיריד</w:t>
      </w:r>
      <w:r w:rsidR="008B5A2F">
        <w:rPr>
          <w:rFonts w:ascii="Arial" w:hAnsi="Arial" w:cs="David" w:hint="cs"/>
          <w:rtl/>
        </w:rPr>
        <w:t>ה של החוב החיצוני ברוטו של המשק</w:t>
      </w:r>
      <w:r w:rsidR="0070503C">
        <w:rPr>
          <w:rFonts w:ascii="Arial" w:hAnsi="Arial" w:cs="David" w:hint="cs"/>
          <w:rtl/>
        </w:rPr>
        <w:t xml:space="preserve"> </w:t>
      </w:r>
      <w:r w:rsidR="0070503C" w:rsidRPr="0070503C">
        <w:rPr>
          <w:rFonts w:ascii="Arial" w:hAnsi="Arial" w:cs="David" w:hint="cs"/>
          <w:rtl/>
        </w:rPr>
        <w:t>במקביל לעליית התוצר המקומי הגולמי</w:t>
      </w:r>
      <w:r w:rsidR="0070503C">
        <w:rPr>
          <w:rFonts w:ascii="Arial" w:hAnsi="Arial" w:cs="David" w:hint="cs"/>
          <w:rtl/>
        </w:rPr>
        <w:t>.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AD79F3" w:rsidRPr="00C30766">
        <w:rPr>
          <w:rFonts w:ascii="Arial" w:hAnsi="Arial" w:cs="David" w:hint="cs"/>
          <w:rtl/>
        </w:rPr>
        <w:t xml:space="preserve">). </w:t>
      </w:r>
      <w:r w:rsidR="00B80CBB">
        <w:rPr>
          <w:rFonts w:ascii="Arial" w:hAnsi="Arial" w:cs="David" w:hint="cs"/>
          <w:rtl/>
        </w:rPr>
        <w:t xml:space="preserve"> </w:t>
      </w:r>
    </w:p>
    <w:p w:rsidR="00170587" w:rsidRDefault="0068481C" w:rsidP="00B516A1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>
            <wp:extent cx="6021070" cy="3759835"/>
            <wp:effectExtent l="0" t="0" r="0" b="0"/>
            <wp:docPr id="48" name="תמונה 48" descr="תרשים 4: יחס החוב החיצוני בברוטו לתוצר" title="תרשים 4: יחס החוב החיצוני ב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C" w:rsidRPr="0068481C" w:rsidRDefault="005F7ED1" w:rsidP="0068481C">
      <w:pPr>
        <w:pStyle w:val="ad"/>
        <w:numPr>
          <w:ilvl w:val="0"/>
          <w:numId w:val="13"/>
        </w:numPr>
        <w:spacing w:before="480" w:line="360" w:lineRule="auto"/>
        <w:jc w:val="both"/>
        <w:rPr>
          <w:rFonts w:ascii="Arial" w:hAnsi="Arial" w:cs="David" w:hint="cs"/>
          <w:b/>
          <w:bCs/>
          <w:rtl/>
        </w:rPr>
      </w:pPr>
      <w:r w:rsidRPr="0068481C">
        <w:rPr>
          <w:rFonts w:ascii="Arial" w:hAnsi="Arial" w:cs="David" w:hint="cs"/>
          <w:b/>
          <w:bCs/>
          <w:rtl/>
        </w:rPr>
        <w:t>ה</w:t>
      </w:r>
      <w:r w:rsidR="009522BF" w:rsidRPr="0068481C">
        <w:rPr>
          <w:rFonts w:ascii="Arial" w:hAnsi="Arial" w:cs="David" w:hint="cs"/>
          <w:b/>
          <w:bCs/>
          <w:rtl/>
        </w:rPr>
        <w:t xml:space="preserve">חוב החיצוני נטו </w:t>
      </w:r>
    </w:p>
    <w:p w:rsidR="001F545C" w:rsidRPr="00690E6A" w:rsidRDefault="001F545C" w:rsidP="00EA0CA3">
      <w:pPr>
        <w:spacing w:line="360" w:lineRule="auto"/>
        <w:jc w:val="both"/>
        <w:rPr>
          <w:rFonts w:ascii="Arial" w:hAnsi="Arial" w:cs="David" w:hint="cs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66390E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ברביע הרביעי ב-10.8 מיליארדי דולרים (10%) ו</w:t>
      </w:r>
      <w:r w:rsidR="00986902">
        <w:rPr>
          <w:rFonts w:ascii="Arial" w:hAnsi="Arial" w:cs="David" w:hint="cs"/>
          <w:rtl/>
        </w:rPr>
        <w:t>ב</w:t>
      </w:r>
      <w:r w:rsidR="00EA0CA3">
        <w:rPr>
          <w:rFonts w:ascii="Arial" w:hAnsi="Arial" w:cs="David" w:hint="cs"/>
          <w:rtl/>
        </w:rPr>
        <w:t xml:space="preserve">מהלך </w:t>
      </w:r>
      <w:r w:rsidR="00986902">
        <w:rPr>
          <w:rFonts w:ascii="Arial" w:hAnsi="Arial" w:cs="David" w:hint="cs"/>
          <w:rtl/>
        </w:rPr>
        <w:t>שנת 201</w:t>
      </w:r>
      <w:r w:rsidR="00F17CC1">
        <w:rPr>
          <w:rFonts w:ascii="Arial" w:hAnsi="Arial" w:cs="David" w:hint="cs"/>
          <w:rtl/>
        </w:rPr>
        <w:t>5</w:t>
      </w:r>
      <w:r w:rsidR="00EA0CA3">
        <w:rPr>
          <w:rFonts w:ascii="Arial" w:hAnsi="Arial" w:cs="David" w:hint="cs"/>
          <w:rtl/>
        </w:rPr>
        <w:t xml:space="preserve"> כולה עלה</w:t>
      </w:r>
      <w:r w:rsidR="0066390E">
        <w:rPr>
          <w:rFonts w:ascii="Arial" w:hAnsi="Arial" w:cs="David" w:hint="cs"/>
          <w:rtl/>
        </w:rPr>
        <w:t xml:space="preserve"> </w:t>
      </w:r>
      <w:r w:rsidR="00E166FF" w:rsidRPr="00690E6A">
        <w:rPr>
          <w:rFonts w:ascii="Arial" w:hAnsi="Arial" w:cs="David" w:hint="cs"/>
          <w:rtl/>
        </w:rPr>
        <w:t>ב-</w:t>
      </w:r>
      <w:r w:rsidR="00F17CC1">
        <w:rPr>
          <w:rFonts w:ascii="Arial" w:hAnsi="Arial" w:cs="David" w:hint="cs"/>
          <w:rtl/>
        </w:rPr>
        <w:t>18.6</w:t>
      </w:r>
      <w:r w:rsidR="00E166FF" w:rsidRPr="00690E6A">
        <w:rPr>
          <w:rFonts w:ascii="Arial" w:hAnsi="Arial" w:cs="David" w:hint="cs"/>
          <w:rtl/>
        </w:rPr>
        <w:t xml:space="preserve"> מיליארדי דולרים</w:t>
      </w:r>
      <w:r w:rsidR="001B60EB" w:rsidRPr="00690E6A">
        <w:rPr>
          <w:rFonts w:ascii="Arial" w:hAnsi="Arial" w:cs="David" w:hint="cs"/>
          <w:rtl/>
        </w:rPr>
        <w:t xml:space="preserve"> </w:t>
      </w:r>
      <w:r w:rsidR="005465BF" w:rsidRPr="00690E6A">
        <w:rPr>
          <w:rFonts w:ascii="Arial" w:hAnsi="Arial" w:cs="David" w:hint="cs"/>
          <w:rtl/>
        </w:rPr>
        <w:t>(</w:t>
      </w:r>
      <w:r w:rsidR="00F17CC1">
        <w:rPr>
          <w:rFonts w:ascii="Arial" w:hAnsi="Arial" w:cs="David" w:hint="cs"/>
          <w:rtl/>
        </w:rPr>
        <w:t>18.7</w:t>
      </w:r>
      <w:r w:rsidR="005465BF" w:rsidRPr="00690E6A">
        <w:rPr>
          <w:rFonts w:ascii="Arial" w:hAnsi="Arial" w:cs="David" w:hint="cs"/>
          <w:rtl/>
        </w:rPr>
        <w:t>%)</w:t>
      </w:r>
      <w:r w:rsidR="00EA0CA3">
        <w:rPr>
          <w:rFonts w:ascii="Arial" w:hAnsi="Arial" w:cs="David" w:hint="cs"/>
          <w:rtl/>
        </w:rPr>
        <w:t xml:space="preserve">, כך שעמד </w:t>
      </w:r>
      <w:r w:rsidRPr="00690E6A">
        <w:rPr>
          <w:rFonts w:ascii="Arial" w:hAnsi="Arial" w:cs="David" w:hint="cs"/>
          <w:rtl/>
        </w:rPr>
        <w:t xml:space="preserve">בסוף </w:t>
      </w:r>
      <w:r w:rsidR="00986902">
        <w:rPr>
          <w:rFonts w:ascii="Arial" w:hAnsi="Arial" w:cs="David" w:hint="cs"/>
          <w:rtl/>
        </w:rPr>
        <w:t>השנה</w:t>
      </w:r>
      <w:r w:rsidRPr="00690E6A">
        <w:rPr>
          <w:rFonts w:ascii="Arial" w:hAnsi="Arial" w:cs="David" w:hint="cs"/>
          <w:rtl/>
        </w:rPr>
        <w:t xml:space="preserve"> על כ-</w:t>
      </w:r>
      <w:r w:rsidR="00F17CC1">
        <w:rPr>
          <w:rFonts w:ascii="Arial" w:hAnsi="Arial" w:cs="David" w:hint="cs"/>
          <w:rtl/>
        </w:rPr>
        <w:t>118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68481C">
      <w:pPr>
        <w:spacing w:line="360" w:lineRule="auto"/>
        <w:jc w:val="both"/>
        <w:rPr>
          <w:rFonts w:ascii="Arial" w:hAnsi="Arial" w:cs="David" w:hint="cs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152295">
        <w:rPr>
          <w:rFonts w:ascii="Arial" w:hAnsi="Arial" w:cs="David" w:hint="cs"/>
          <w:rtl/>
        </w:rPr>
        <w:t>שנת</w:t>
      </w:r>
      <w:r w:rsidRPr="00BD0A6B">
        <w:rPr>
          <w:rFonts w:ascii="Arial" w:hAnsi="Arial" w:cs="David"/>
          <w:rtl/>
        </w:rPr>
        <w:t xml:space="preserve"> </w:t>
      </w:r>
      <w:r w:rsidR="00EA39C7">
        <w:rPr>
          <w:rFonts w:ascii="Arial" w:hAnsi="Arial" w:cs="David" w:hint="cs"/>
          <w:rtl/>
        </w:rPr>
        <w:t>2015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F5353C" w:rsidRPr="00BD0A6B">
        <w:rPr>
          <w:rFonts w:ascii="Arial" w:hAnsi="Arial" w:cs="David" w:hint="cs"/>
          <w:rtl/>
        </w:rPr>
        <w:t>13</w:t>
      </w:r>
      <w:r w:rsidR="00986902">
        <w:rPr>
          <w:rFonts w:ascii="Arial" w:hAnsi="Arial" w:cs="David" w:hint="cs"/>
          <w:rtl/>
        </w:rPr>
        <w:t>8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690E6A" w:rsidRPr="00BD0A6B">
        <w:rPr>
          <w:rFonts w:ascii="Arial" w:hAnsi="Arial" w:cs="David" w:hint="cs"/>
          <w:rtl/>
        </w:rPr>
        <w:t>3.</w:t>
      </w:r>
      <w:r w:rsidR="00EA39C7">
        <w:rPr>
          <w:rFonts w:ascii="Arial" w:hAnsi="Arial" w:cs="David" w:hint="cs"/>
          <w:rtl/>
        </w:rPr>
        <w:t>8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6E70F9" w:rsidRPr="00BD0A6B">
        <w:rPr>
          <w:rFonts w:ascii="Arial" w:hAnsi="Arial" w:cs="David" w:hint="cs"/>
          <w:rtl/>
        </w:rPr>
        <w:t xml:space="preserve">, </w:t>
      </w:r>
      <w:r w:rsidR="00690E6A" w:rsidRPr="00BD0A6B">
        <w:rPr>
          <w:rFonts w:ascii="Arial" w:hAnsi="Arial" w:cs="David" w:hint="cs"/>
          <w:rtl/>
        </w:rPr>
        <w:t xml:space="preserve">עלייה </w:t>
      </w:r>
      <w:r w:rsidR="00EA39C7">
        <w:rPr>
          <w:rFonts w:ascii="Arial" w:hAnsi="Arial" w:cs="David" w:hint="cs"/>
          <w:rtl/>
        </w:rPr>
        <w:t xml:space="preserve">קלה </w:t>
      </w:r>
      <w:r w:rsidR="00986902">
        <w:rPr>
          <w:rFonts w:ascii="Arial" w:hAnsi="Arial" w:cs="David" w:hint="cs"/>
          <w:rtl/>
        </w:rPr>
        <w:t>ביחס ל</w:t>
      </w:r>
      <w:r w:rsidR="00690E6A" w:rsidRPr="00BD0A6B">
        <w:rPr>
          <w:rFonts w:ascii="Arial" w:hAnsi="Arial" w:cs="David" w:hint="cs"/>
          <w:rtl/>
        </w:rPr>
        <w:t>סוף שנת 201</w:t>
      </w:r>
      <w:r w:rsidR="00EA39C7">
        <w:rPr>
          <w:rFonts w:ascii="Arial" w:hAnsi="Arial" w:cs="David" w:hint="cs"/>
          <w:rtl/>
        </w:rPr>
        <w:t>4 (יחס של פי 3.4 מהחוב לזמן קצר)</w:t>
      </w:r>
      <w:r w:rsidR="00690E6A" w:rsidRPr="00BD0A6B">
        <w:rPr>
          <w:rFonts w:ascii="Arial" w:hAnsi="Arial" w:cs="David" w:hint="cs"/>
          <w:rtl/>
        </w:rPr>
        <w:t>.</w:t>
      </w:r>
    </w:p>
    <w:p w:rsidR="00A752BB" w:rsidRDefault="0068481C" w:rsidP="00690E6A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40F1FA08" wp14:editId="1E11E9E9">
            <wp:extent cx="6324600" cy="4242435"/>
            <wp:effectExtent l="0" t="0" r="0" b="5715"/>
            <wp:docPr id="49" name="תמונה 49" descr="תרשים 5: החוב החיצוני נטו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4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473DCB" w:rsidP="00473DCB">
      <w:pPr>
        <w:autoSpaceDE w:val="0"/>
        <w:autoSpaceDN w:val="0"/>
        <w:adjustRightInd w:val="0"/>
        <w:spacing w:before="960" w:line="360" w:lineRule="auto"/>
        <w:rPr>
          <w:rFonts w:ascii="Arial" w:hAnsi="Arial" w:cs="Arial" w:hint="cs"/>
          <w:sz w:val="18"/>
          <w:szCs w:val="18"/>
          <w:rtl/>
          <w:lang w:eastAsia="en-US"/>
        </w:rPr>
      </w:pPr>
      <w:hyperlink r:id="rId19" w:history="1">
        <w:r w:rsidR="00884A8B" w:rsidRPr="00473DCB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673D6C" w:rsidRPr="00473DCB">
          <w:rPr>
            <w:rStyle w:val="Hyperlink"/>
            <w:rFonts w:ascii="Arial" w:hAnsi="Arial" w:cs="David"/>
            <w:rtl/>
          </w:rPr>
          <w:t xml:space="preserve">הנכסים וההתחייבויות של המשק </w:t>
        </w:r>
        <w:r w:rsidR="00807F97" w:rsidRPr="00473DCB">
          <w:rPr>
            <w:rStyle w:val="Hyperlink"/>
            <w:rFonts w:ascii="Arial" w:hAnsi="Arial" w:cs="David" w:hint="cs"/>
            <w:rtl/>
          </w:rPr>
          <w:t xml:space="preserve">מול </w:t>
        </w:r>
        <w:r w:rsidR="00673D6C" w:rsidRPr="00473DCB">
          <w:rPr>
            <w:rStyle w:val="Hyperlink"/>
            <w:rFonts w:ascii="Arial" w:hAnsi="Arial" w:cs="David"/>
            <w:rtl/>
          </w:rPr>
          <w:t>חו"ל</w:t>
        </w:r>
        <w:r w:rsidR="000D4E41" w:rsidRPr="00473DCB">
          <w:rPr>
            <w:rStyle w:val="Hyperlink"/>
            <w:rFonts w:ascii="Arial" w:hAnsi="Arial" w:cs="David" w:hint="cs"/>
            <w:rtl/>
          </w:rPr>
          <w:t>.</w:t>
        </w:r>
      </w:hyperlink>
    </w:p>
    <w:sectPr w:rsidR="00884A8B" w:rsidRPr="00B516A1" w:rsidSect="00821218">
      <w:headerReference w:type="default" r:id="rId20"/>
      <w:footerReference w:type="default" r:id="rId21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6B" w:rsidRDefault="00BF2C6B">
      <w:r>
        <w:separator/>
      </w:r>
    </w:p>
  </w:endnote>
  <w:endnote w:type="continuationSeparator" w:id="0">
    <w:p w:rsidR="00BF2C6B" w:rsidRDefault="00B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473DCB" w:rsidRDefault="00D45CC6" w:rsidP="00473DCB">
    <w:pPr>
      <w:spacing w:line="360" w:lineRule="auto"/>
      <w:rPr>
        <w:rFonts w:cs="David"/>
      </w:rPr>
    </w:pPr>
    <w:r w:rsidRPr="00473DCB">
      <w:rPr>
        <w:rFonts w:cs="David" w:hint="cs"/>
        <w:rtl/>
      </w:rPr>
      <w:t xml:space="preserve">בנק ישראל </w:t>
    </w:r>
    <w:r w:rsidRPr="00473DCB">
      <w:rPr>
        <w:rFonts w:cs="David"/>
        <w:rtl/>
      </w:rPr>
      <w:t>–</w:t>
    </w:r>
    <w:r w:rsidRPr="00473DCB">
      <w:rPr>
        <w:rFonts w:cs="David" w:hint="cs"/>
        <w:rtl/>
      </w:rPr>
      <w:t xml:space="preserve"> הנכסים וההתחייבויות של המשק מול חו"ל ברביע הרביעי של שנת </w:t>
    </w:r>
    <w:r w:rsidR="005E7A76" w:rsidRPr="00473DCB">
      <w:rPr>
        <w:rFonts w:cs="David" w:hint="cs"/>
        <w:rtl/>
      </w:rPr>
      <w:t>2015</w:t>
    </w:r>
    <w:r w:rsidRPr="00473DCB">
      <w:rPr>
        <w:rFonts w:cs="David" w:hint="cs"/>
        <w:rtl/>
        <w:cs/>
        <w:lang w:val="he-IL"/>
      </w:rPr>
      <w:tab/>
    </w:r>
    <w:r w:rsidRPr="00473DCB">
      <w:rPr>
        <w:rFonts w:cs="David"/>
        <w:rtl/>
        <w:cs/>
        <w:lang w:val="he-IL"/>
      </w:rPr>
      <w:t xml:space="preserve">עמוד </w:t>
    </w:r>
    <w:r w:rsidRPr="00473DCB">
      <w:rPr>
        <w:rFonts w:cs="David"/>
        <w:b/>
        <w:bCs/>
      </w:rPr>
      <w:fldChar w:fldCharType="begin"/>
    </w:r>
    <w:r w:rsidRPr="00473DCB">
      <w:rPr>
        <w:rFonts w:cs="David"/>
        <w:b/>
        <w:bCs/>
        <w:rtl/>
        <w:cs/>
      </w:rPr>
      <w:instrText>PAGE</w:instrText>
    </w:r>
    <w:r w:rsidRPr="00473DCB">
      <w:rPr>
        <w:rFonts w:cs="David"/>
        <w:b/>
        <w:bCs/>
      </w:rPr>
      <w:fldChar w:fldCharType="separate"/>
    </w:r>
    <w:r w:rsidR="00473DCB">
      <w:rPr>
        <w:rFonts w:cs="David"/>
        <w:b/>
        <w:bCs/>
        <w:noProof/>
        <w:rtl/>
      </w:rPr>
      <w:t>2</w:t>
    </w:r>
    <w:r w:rsidRPr="00473DCB">
      <w:rPr>
        <w:rFonts w:cs="David"/>
        <w:b/>
        <w:bCs/>
      </w:rPr>
      <w:fldChar w:fldCharType="end"/>
    </w:r>
    <w:r w:rsidRPr="00473DCB">
      <w:rPr>
        <w:rFonts w:cs="David"/>
        <w:rtl/>
        <w:cs/>
        <w:lang w:val="he-IL"/>
      </w:rPr>
      <w:t xml:space="preserve"> מתוך </w:t>
    </w:r>
    <w:r w:rsidRPr="00473DCB">
      <w:rPr>
        <w:rFonts w:cs="David"/>
        <w:b/>
        <w:bCs/>
      </w:rPr>
      <w:fldChar w:fldCharType="begin"/>
    </w:r>
    <w:r w:rsidRPr="00473DCB">
      <w:rPr>
        <w:rFonts w:cs="David"/>
        <w:b/>
        <w:bCs/>
        <w:rtl/>
        <w:cs/>
      </w:rPr>
      <w:instrText>NUMPAGES</w:instrText>
    </w:r>
    <w:r w:rsidRPr="00473DCB">
      <w:rPr>
        <w:rFonts w:cs="David"/>
        <w:b/>
        <w:bCs/>
      </w:rPr>
      <w:fldChar w:fldCharType="separate"/>
    </w:r>
    <w:r w:rsidR="00473DCB">
      <w:rPr>
        <w:rFonts w:cs="David"/>
        <w:b/>
        <w:bCs/>
        <w:noProof/>
        <w:rtl/>
      </w:rPr>
      <w:t>7</w:t>
    </w:r>
    <w:r w:rsidRPr="00473DCB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6B" w:rsidRDefault="00BF2C6B">
      <w:r>
        <w:separator/>
      </w:r>
    </w:p>
  </w:footnote>
  <w:footnote w:type="continuationSeparator" w:id="0">
    <w:p w:rsidR="00BF2C6B" w:rsidRDefault="00BF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4682CEA"/>
    <w:multiLevelType w:val="hybridMultilevel"/>
    <w:tmpl w:val="A1547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46DDD"/>
    <w:multiLevelType w:val="hybridMultilevel"/>
    <w:tmpl w:val="99A28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D805FF"/>
    <w:multiLevelType w:val="hybridMultilevel"/>
    <w:tmpl w:val="8CE2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BCB"/>
    <w:rsid w:val="00016195"/>
    <w:rsid w:val="00016D54"/>
    <w:rsid w:val="00016D59"/>
    <w:rsid w:val="00016D85"/>
    <w:rsid w:val="00017A9A"/>
    <w:rsid w:val="00020465"/>
    <w:rsid w:val="00020B1B"/>
    <w:rsid w:val="000216F1"/>
    <w:rsid w:val="000218D0"/>
    <w:rsid w:val="000222AF"/>
    <w:rsid w:val="00023172"/>
    <w:rsid w:val="00023411"/>
    <w:rsid w:val="000246DB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91"/>
    <w:rsid w:val="00133F75"/>
    <w:rsid w:val="001353A4"/>
    <w:rsid w:val="00136576"/>
    <w:rsid w:val="00136F12"/>
    <w:rsid w:val="001409A7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B79"/>
    <w:rsid w:val="00172E92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6750"/>
    <w:rsid w:val="001D7B80"/>
    <w:rsid w:val="001E0513"/>
    <w:rsid w:val="001E0F32"/>
    <w:rsid w:val="001E1648"/>
    <w:rsid w:val="001E18A1"/>
    <w:rsid w:val="001E3E7B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1622"/>
    <w:rsid w:val="002D2ED8"/>
    <w:rsid w:val="002D4CFA"/>
    <w:rsid w:val="002D4FD1"/>
    <w:rsid w:val="002D52ED"/>
    <w:rsid w:val="002D5576"/>
    <w:rsid w:val="002D6205"/>
    <w:rsid w:val="002D63AF"/>
    <w:rsid w:val="002D72DF"/>
    <w:rsid w:val="002D748C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C8F"/>
    <w:rsid w:val="00351A3B"/>
    <w:rsid w:val="003520E4"/>
    <w:rsid w:val="00352F18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45B0"/>
    <w:rsid w:val="003B6784"/>
    <w:rsid w:val="003B722A"/>
    <w:rsid w:val="003C00A0"/>
    <w:rsid w:val="003C0CDF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1887"/>
    <w:rsid w:val="003D22F7"/>
    <w:rsid w:val="003D2ADE"/>
    <w:rsid w:val="003D42EC"/>
    <w:rsid w:val="003D4CAA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9F1"/>
    <w:rsid w:val="00446ACE"/>
    <w:rsid w:val="004477EF"/>
    <w:rsid w:val="00447840"/>
    <w:rsid w:val="00447F42"/>
    <w:rsid w:val="00450F55"/>
    <w:rsid w:val="00451909"/>
    <w:rsid w:val="00451A7F"/>
    <w:rsid w:val="00452549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7F09"/>
    <w:rsid w:val="00471261"/>
    <w:rsid w:val="004723C1"/>
    <w:rsid w:val="00473385"/>
    <w:rsid w:val="00473BE6"/>
    <w:rsid w:val="00473DCB"/>
    <w:rsid w:val="00473F16"/>
    <w:rsid w:val="00475AD2"/>
    <w:rsid w:val="0047620C"/>
    <w:rsid w:val="00476EF2"/>
    <w:rsid w:val="00480430"/>
    <w:rsid w:val="0048142E"/>
    <w:rsid w:val="00482083"/>
    <w:rsid w:val="00482AFD"/>
    <w:rsid w:val="00483CB4"/>
    <w:rsid w:val="00483EEC"/>
    <w:rsid w:val="004843D4"/>
    <w:rsid w:val="0048474B"/>
    <w:rsid w:val="00484FC4"/>
    <w:rsid w:val="00485C59"/>
    <w:rsid w:val="0048666F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733C"/>
    <w:rsid w:val="004C0706"/>
    <w:rsid w:val="004C0E4C"/>
    <w:rsid w:val="004C0FC6"/>
    <w:rsid w:val="004C1731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4DE1"/>
    <w:rsid w:val="0050675C"/>
    <w:rsid w:val="0051087E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077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61A"/>
    <w:rsid w:val="005A61AB"/>
    <w:rsid w:val="005A658A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773D"/>
    <w:rsid w:val="005B78A4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5EF4"/>
    <w:rsid w:val="005D6531"/>
    <w:rsid w:val="005D7D1D"/>
    <w:rsid w:val="005E0F18"/>
    <w:rsid w:val="005E155A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E7A76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B9C"/>
    <w:rsid w:val="0064455A"/>
    <w:rsid w:val="006445CF"/>
    <w:rsid w:val="00644A8D"/>
    <w:rsid w:val="00644EDA"/>
    <w:rsid w:val="00645481"/>
    <w:rsid w:val="0064559B"/>
    <w:rsid w:val="006468F3"/>
    <w:rsid w:val="00647984"/>
    <w:rsid w:val="006515C7"/>
    <w:rsid w:val="0065264C"/>
    <w:rsid w:val="006527F9"/>
    <w:rsid w:val="00653878"/>
    <w:rsid w:val="00654804"/>
    <w:rsid w:val="00655C1C"/>
    <w:rsid w:val="006570F2"/>
    <w:rsid w:val="00657198"/>
    <w:rsid w:val="006576B9"/>
    <w:rsid w:val="00662AC6"/>
    <w:rsid w:val="006630E0"/>
    <w:rsid w:val="0066390E"/>
    <w:rsid w:val="006646B7"/>
    <w:rsid w:val="00664DB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3371"/>
    <w:rsid w:val="00683FF7"/>
    <w:rsid w:val="0068481C"/>
    <w:rsid w:val="00685D31"/>
    <w:rsid w:val="006861D5"/>
    <w:rsid w:val="00686B36"/>
    <w:rsid w:val="00687650"/>
    <w:rsid w:val="00687F2A"/>
    <w:rsid w:val="00687FD9"/>
    <w:rsid w:val="0069025D"/>
    <w:rsid w:val="00690E6A"/>
    <w:rsid w:val="006915BC"/>
    <w:rsid w:val="0069228A"/>
    <w:rsid w:val="00694661"/>
    <w:rsid w:val="00695684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8C1"/>
    <w:rsid w:val="00726FD8"/>
    <w:rsid w:val="00727BDD"/>
    <w:rsid w:val="00733791"/>
    <w:rsid w:val="007347A9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22D6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4158"/>
    <w:rsid w:val="007E4451"/>
    <w:rsid w:val="007E457E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63DE"/>
    <w:rsid w:val="007F67F0"/>
    <w:rsid w:val="007F6937"/>
    <w:rsid w:val="007F7062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388A"/>
    <w:rsid w:val="008246D6"/>
    <w:rsid w:val="00824F15"/>
    <w:rsid w:val="008253A2"/>
    <w:rsid w:val="00825D8A"/>
    <w:rsid w:val="00826F9E"/>
    <w:rsid w:val="00827B38"/>
    <w:rsid w:val="00830CE0"/>
    <w:rsid w:val="00832B15"/>
    <w:rsid w:val="00832BAD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2A15"/>
    <w:rsid w:val="008637F8"/>
    <w:rsid w:val="00864EA9"/>
    <w:rsid w:val="00864F15"/>
    <w:rsid w:val="00865562"/>
    <w:rsid w:val="008677EF"/>
    <w:rsid w:val="00867E70"/>
    <w:rsid w:val="00870DB4"/>
    <w:rsid w:val="00871B0D"/>
    <w:rsid w:val="0087208C"/>
    <w:rsid w:val="0087334E"/>
    <w:rsid w:val="00873827"/>
    <w:rsid w:val="008742A1"/>
    <w:rsid w:val="0087447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461C"/>
    <w:rsid w:val="008949E2"/>
    <w:rsid w:val="0089562A"/>
    <w:rsid w:val="008960A5"/>
    <w:rsid w:val="008966DE"/>
    <w:rsid w:val="00897883"/>
    <w:rsid w:val="00897DE3"/>
    <w:rsid w:val="00897E35"/>
    <w:rsid w:val="008A18F4"/>
    <w:rsid w:val="008A23B2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A8F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3A6"/>
    <w:rsid w:val="0094759D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79D3"/>
    <w:rsid w:val="00A57A9C"/>
    <w:rsid w:val="00A57EB1"/>
    <w:rsid w:val="00A61ED0"/>
    <w:rsid w:val="00A63345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8D2"/>
    <w:rsid w:val="00B57676"/>
    <w:rsid w:val="00B6157B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4BBF"/>
    <w:rsid w:val="00BB6657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25F"/>
    <w:rsid w:val="00BE6D93"/>
    <w:rsid w:val="00BE7B05"/>
    <w:rsid w:val="00BF27E4"/>
    <w:rsid w:val="00BF2C6B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30766"/>
    <w:rsid w:val="00C33F8D"/>
    <w:rsid w:val="00C340A3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6AD"/>
    <w:rsid w:val="00C46071"/>
    <w:rsid w:val="00C46875"/>
    <w:rsid w:val="00C46E6D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38FD"/>
    <w:rsid w:val="00C73C05"/>
    <w:rsid w:val="00C73E9E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44D3"/>
    <w:rsid w:val="00DF5EB5"/>
    <w:rsid w:val="00DF6148"/>
    <w:rsid w:val="00DF67AE"/>
    <w:rsid w:val="00DF6832"/>
    <w:rsid w:val="00DF6967"/>
    <w:rsid w:val="00DF6E21"/>
    <w:rsid w:val="00E00723"/>
    <w:rsid w:val="00E0287B"/>
    <w:rsid w:val="00E05017"/>
    <w:rsid w:val="00E0534B"/>
    <w:rsid w:val="00E059F5"/>
    <w:rsid w:val="00E07169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31CA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61C6"/>
    <w:rsid w:val="00E465F4"/>
    <w:rsid w:val="00E46FD8"/>
    <w:rsid w:val="00E47276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830"/>
    <w:rsid w:val="00E95A20"/>
    <w:rsid w:val="00EA094B"/>
    <w:rsid w:val="00EA0CA3"/>
    <w:rsid w:val="00EA129E"/>
    <w:rsid w:val="00EA148F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A1"/>
    <w:rsid w:val="00EC535F"/>
    <w:rsid w:val="00EC540C"/>
    <w:rsid w:val="00EC797C"/>
    <w:rsid w:val="00EC7D6E"/>
    <w:rsid w:val="00ED0781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CC1"/>
    <w:rsid w:val="00F17EFC"/>
    <w:rsid w:val="00F209B4"/>
    <w:rsid w:val="00F20E07"/>
    <w:rsid w:val="00F20E33"/>
    <w:rsid w:val="00F22023"/>
    <w:rsid w:val="00F2481C"/>
    <w:rsid w:val="00F24DD9"/>
    <w:rsid w:val="00F2578E"/>
    <w:rsid w:val="00F26339"/>
    <w:rsid w:val="00F272B4"/>
    <w:rsid w:val="00F272E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5A6"/>
    <w:rsid w:val="00F968C5"/>
    <w:rsid w:val="00F96FB7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3247"/>
    <w:rsid w:val="00FC3506"/>
    <w:rsid w:val="00FC39C4"/>
    <w:rsid w:val="00FC3C71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FED"/>
    <w:rsid w:val="00FF231C"/>
    <w:rsid w:val="00FF31D8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paragraph" w:styleId="ab">
    <w:name w:val="Title"/>
    <w:basedOn w:val="1"/>
    <w:next w:val="a"/>
    <w:link w:val="ac"/>
    <w:qFormat/>
    <w:rsid w:val="0068481C"/>
    <w:rPr>
      <w:rFonts w:cs="David"/>
      <w:sz w:val="28"/>
      <w:szCs w:val="28"/>
    </w:rPr>
  </w:style>
  <w:style w:type="character" w:customStyle="1" w:styleId="ac">
    <w:name w:val="כותרת טקסט תו"/>
    <w:basedOn w:val="a0"/>
    <w:link w:val="ab"/>
    <w:rsid w:val="0068481C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68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paragraph" w:styleId="ab">
    <w:name w:val="Title"/>
    <w:basedOn w:val="1"/>
    <w:next w:val="a"/>
    <w:link w:val="ac"/>
    <w:qFormat/>
    <w:rsid w:val="0068481C"/>
    <w:rPr>
      <w:rFonts w:cs="David"/>
      <w:sz w:val="28"/>
      <w:szCs w:val="28"/>
    </w:rPr>
  </w:style>
  <w:style w:type="character" w:customStyle="1" w:styleId="ac">
    <w:name w:val="כותרת טקסט תו"/>
    <w:basedOn w:val="a0"/>
    <w:link w:val="ab"/>
    <w:rsid w:val="0068481C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68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/Users/internet.INTER/Downloads/&#1492;&#1504;&#1499;&#1505;&#1497;&#1501;%20&#1493;&#1492;&#1492;&#1514;&#1495;&#1497;&#1497;&#1489;&#1493;&#1497;&#1493;&#1514;%20&#1513;&#1500;%20&#1492;&#1502;&#1513;&#1511;%20&#1502;&#1493;&#1500;%20&#1495;&#1493;%22&#1500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253B1-62CE-4DC3-A68C-355554E369DD}"/>
</file>

<file path=customXml/itemProps2.xml><?xml version="1.0" encoding="utf-8"?>
<ds:datastoreItem xmlns:ds="http://schemas.openxmlformats.org/officeDocument/2006/customXml" ds:itemID="{EB0333BB-8430-4105-A2E4-12D78275BCE9}"/>
</file>

<file path=customXml/itemProps3.xml><?xml version="1.0" encoding="utf-8"?>
<ds:datastoreItem xmlns:ds="http://schemas.openxmlformats.org/officeDocument/2006/customXml" ds:itemID="{88CAAAC0-F1ED-4F7E-BE0A-392CE98597E5}"/>
</file>

<file path=customXml/itemProps4.xml><?xml version="1.0" encoding="utf-8"?>
<ds:datastoreItem xmlns:ds="http://schemas.openxmlformats.org/officeDocument/2006/customXml" ds:itemID="{C23825CE-535F-4AAF-BDD2-46DAB920C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1003</Words>
  <Characters>5018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6009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2016-06-22T07:11:00Z</dcterms:created>
  <dcterms:modified xsi:type="dcterms:W3CDTF">2016-06-22T07:11:00Z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