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AED7" w14:textId="77777777" w:rsidR="00B44B19" w:rsidRPr="00C928D8" w:rsidRDefault="00B44B19" w:rsidP="00C928D8">
      <w:pPr>
        <w:bidi w:val="0"/>
        <w:spacing w:line="360" w:lineRule="auto"/>
        <w:jc w:val="center"/>
        <w:rPr>
          <w:rFonts w:asciiTheme="minorHAnsi" w:hAnsiTheme="minorHAnsi" w:cstheme="minorHAnsi"/>
        </w:rPr>
      </w:pPr>
      <w:bookmarkStart w:id="0" w:name="_GoBack"/>
      <w:bookmarkEnd w:id="0"/>
      <w:r w:rsidRPr="00C928D8">
        <w:rPr>
          <w:rFonts w:asciiTheme="minorHAnsi" w:hAnsiTheme="minorHAnsi" w:cstheme="minorHAnsi"/>
          <w:noProof/>
          <w:rtl/>
        </w:rPr>
        <w:drawing>
          <wp:anchor distT="0" distB="0" distL="114300" distR="114300" simplePos="0" relativeHeight="251659264" behindDoc="0" locked="0" layoutInCell="1" allowOverlap="1" wp14:anchorId="3068A2D9" wp14:editId="393C2F15">
            <wp:simplePos x="0" y="0"/>
            <wp:positionH relativeFrom="margin">
              <wp:align>center</wp:align>
            </wp:positionH>
            <wp:positionV relativeFrom="margin">
              <wp:posOffset>-424180</wp:posOffset>
            </wp:positionV>
            <wp:extent cx="1054800" cy="105480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800" cy="105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4193" w14:textId="77777777" w:rsidR="00B44B19" w:rsidRPr="00C928D8" w:rsidRDefault="00B44B19" w:rsidP="00C928D8">
      <w:pPr>
        <w:bidi w:val="0"/>
        <w:spacing w:line="360" w:lineRule="auto"/>
        <w:jc w:val="center"/>
        <w:rPr>
          <w:rFonts w:asciiTheme="minorHAnsi" w:hAnsiTheme="minorHAnsi" w:cstheme="minorHAnsi"/>
          <w:rtl/>
        </w:rPr>
      </w:pPr>
    </w:p>
    <w:p w14:paraId="035D8B95" w14:textId="77777777" w:rsidR="00B44B19" w:rsidRPr="00C928D8" w:rsidRDefault="00B44B19" w:rsidP="00C928D8">
      <w:pPr>
        <w:pStyle w:val="LetterheadBOI"/>
        <w:spacing w:line="360" w:lineRule="auto"/>
        <w:rPr>
          <w:rFonts w:asciiTheme="minorHAnsi" w:hAnsiTheme="minorHAnsi" w:cstheme="minorHAnsi"/>
        </w:rPr>
      </w:pPr>
    </w:p>
    <w:p w14:paraId="36C08B2D" w14:textId="77777777" w:rsidR="00B44B19" w:rsidRPr="00C928D8" w:rsidRDefault="00B44B19" w:rsidP="00C928D8">
      <w:pPr>
        <w:pStyle w:val="LetterheadBOI"/>
        <w:spacing w:line="360" w:lineRule="auto"/>
        <w:rPr>
          <w:rFonts w:asciiTheme="minorHAnsi" w:hAnsiTheme="minorHAnsi" w:cstheme="minorHAnsi"/>
        </w:rPr>
      </w:pPr>
    </w:p>
    <w:p w14:paraId="13A81218" w14:textId="77777777" w:rsidR="00B44B19" w:rsidRPr="00C928D8" w:rsidRDefault="00B44B19" w:rsidP="00C928D8">
      <w:pPr>
        <w:pStyle w:val="LetterheadBOI"/>
        <w:spacing w:line="360" w:lineRule="auto"/>
        <w:rPr>
          <w:rFonts w:asciiTheme="minorHAnsi" w:hAnsiTheme="minorHAnsi" w:cstheme="minorHAnsi"/>
        </w:rPr>
      </w:pPr>
      <w:r w:rsidRPr="00C928D8">
        <w:rPr>
          <w:rFonts w:asciiTheme="minorHAnsi" w:hAnsiTheme="minorHAnsi" w:cstheme="minorHAnsi"/>
        </w:rPr>
        <w:t>BANK OF ISRAEL</w:t>
      </w:r>
    </w:p>
    <w:p w14:paraId="31CAE6E8" w14:textId="77777777" w:rsidR="00B44B19" w:rsidRPr="00C928D8" w:rsidRDefault="00B44B19" w:rsidP="00C928D8">
      <w:pPr>
        <w:pStyle w:val="Letterhead2"/>
        <w:spacing w:line="360" w:lineRule="auto"/>
        <w:rPr>
          <w:rFonts w:asciiTheme="minorHAnsi" w:hAnsiTheme="minorHAnsi" w:cstheme="minorHAnsi"/>
          <w:b/>
        </w:rPr>
      </w:pPr>
      <w:r w:rsidRPr="00C928D8">
        <w:rPr>
          <w:rFonts w:asciiTheme="minorHAnsi" w:hAnsiTheme="minorHAnsi" w:cstheme="minorHAnsi"/>
        </w:rPr>
        <w:t>Office of the Spokesperson and Economic Information</w:t>
      </w:r>
    </w:p>
    <w:p w14:paraId="500910FF" w14:textId="77777777" w:rsidR="00B44B19" w:rsidRPr="00C928D8" w:rsidRDefault="00B44B19" w:rsidP="00C928D8">
      <w:pPr>
        <w:bidi w:val="0"/>
        <w:spacing w:line="360" w:lineRule="auto"/>
        <w:jc w:val="center"/>
        <w:rPr>
          <w:rFonts w:asciiTheme="minorHAnsi" w:hAnsiTheme="minorHAnsi" w:cstheme="minorHAnsi"/>
          <w:b/>
          <w:bCs/>
          <w:sz w:val="26"/>
          <w:szCs w:val="26"/>
        </w:rPr>
      </w:pPr>
    </w:p>
    <w:p w14:paraId="06DDE1C1" w14:textId="7358CF01" w:rsidR="00B44B19" w:rsidRPr="00C928D8" w:rsidRDefault="00062FE3" w:rsidP="00C928D8">
      <w:pPr>
        <w:bidi w:val="0"/>
        <w:spacing w:line="360" w:lineRule="auto"/>
        <w:jc w:val="right"/>
        <w:rPr>
          <w:rFonts w:asciiTheme="minorHAnsi" w:hAnsiTheme="minorHAnsi" w:cstheme="minorHAnsi"/>
        </w:rPr>
      </w:pPr>
      <w:r w:rsidRPr="00C928D8">
        <w:rPr>
          <w:rFonts w:asciiTheme="minorHAnsi" w:hAnsiTheme="minorHAnsi" w:cstheme="minorHAnsi"/>
        </w:rPr>
        <w:t>July</w:t>
      </w:r>
      <w:r w:rsidR="00B525D0" w:rsidRPr="00C928D8">
        <w:rPr>
          <w:rFonts w:asciiTheme="minorHAnsi" w:hAnsiTheme="minorHAnsi" w:cstheme="minorHAnsi"/>
        </w:rPr>
        <w:t xml:space="preserve"> 8</w:t>
      </w:r>
      <w:r w:rsidR="00F31BDD" w:rsidRPr="00C928D8">
        <w:rPr>
          <w:rFonts w:asciiTheme="minorHAnsi" w:hAnsiTheme="minorHAnsi" w:cstheme="minorHAnsi"/>
        </w:rPr>
        <w:t>, 2024</w:t>
      </w:r>
    </w:p>
    <w:p w14:paraId="092A57CC" w14:textId="77777777" w:rsidR="00B44B19" w:rsidRPr="00C928D8" w:rsidRDefault="00B44B19" w:rsidP="00C928D8">
      <w:pPr>
        <w:bidi w:val="0"/>
        <w:spacing w:line="360" w:lineRule="auto"/>
        <w:jc w:val="center"/>
        <w:rPr>
          <w:rFonts w:asciiTheme="minorHAnsi" w:hAnsiTheme="minorHAnsi" w:cstheme="minorHAnsi"/>
          <w:b/>
          <w:bCs/>
        </w:rPr>
      </w:pPr>
    </w:p>
    <w:p w14:paraId="3876E6CE" w14:textId="41E7B2D1" w:rsidR="00A21D01" w:rsidRPr="00C928D8" w:rsidRDefault="00A21D01" w:rsidP="00C928D8">
      <w:pPr>
        <w:bidi w:val="0"/>
        <w:spacing w:line="360" w:lineRule="auto"/>
        <w:jc w:val="center"/>
        <w:rPr>
          <w:rFonts w:asciiTheme="minorHAnsi" w:hAnsiTheme="minorHAnsi" w:cstheme="minorHAnsi"/>
          <w:b/>
          <w:bCs/>
          <w:sz w:val="28"/>
          <w:szCs w:val="28"/>
        </w:rPr>
      </w:pPr>
      <w:r w:rsidRPr="00C928D8">
        <w:rPr>
          <w:rFonts w:asciiTheme="minorHAnsi" w:hAnsiTheme="minorHAnsi" w:cstheme="minorHAnsi"/>
          <w:b/>
          <w:bCs/>
          <w:sz w:val="28"/>
          <w:szCs w:val="28"/>
        </w:rPr>
        <w:t xml:space="preserve">Research Department Staff Forecast, </w:t>
      </w:r>
      <w:r w:rsidR="00062FE3" w:rsidRPr="00C928D8">
        <w:rPr>
          <w:rFonts w:asciiTheme="minorHAnsi" w:hAnsiTheme="minorHAnsi" w:cstheme="minorHAnsi"/>
          <w:b/>
          <w:bCs/>
          <w:sz w:val="28"/>
          <w:szCs w:val="28"/>
        </w:rPr>
        <w:t>July</w:t>
      </w:r>
      <w:r w:rsidR="00F31BDD" w:rsidRPr="00C928D8">
        <w:rPr>
          <w:rFonts w:asciiTheme="minorHAnsi" w:hAnsiTheme="minorHAnsi" w:cstheme="minorHAnsi"/>
          <w:b/>
          <w:bCs/>
          <w:sz w:val="28"/>
          <w:szCs w:val="28"/>
        </w:rPr>
        <w:t xml:space="preserve"> 2024</w:t>
      </w:r>
    </w:p>
    <w:p w14:paraId="4481416E" w14:textId="77777777" w:rsidR="00252B31" w:rsidRPr="00C928D8" w:rsidRDefault="00252B31" w:rsidP="00C928D8">
      <w:pPr>
        <w:bidi w:val="0"/>
        <w:spacing w:line="360" w:lineRule="auto"/>
        <w:jc w:val="both"/>
        <w:rPr>
          <w:rFonts w:asciiTheme="minorHAnsi" w:hAnsiTheme="minorHAnsi" w:cstheme="minorHAnsi"/>
          <w:b/>
          <w:bCs/>
        </w:rPr>
      </w:pPr>
    </w:p>
    <w:p w14:paraId="2DB7F593" w14:textId="77777777" w:rsidR="00A21D01" w:rsidRPr="00C928D8" w:rsidRDefault="00A21D01" w:rsidP="00C928D8">
      <w:pPr>
        <w:bidi w:val="0"/>
        <w:spacing w:line="360" w:lineRule="auto"/>
        <w:jc w:val="both"/>
        <w:rPr>
          <w:rFonts w:asciiTheme="minorHAnsi" w:hAnsiTheme="minorHAnsi" w:cstheme="minorHAnsi"/>
        </w:rPr>
      </w:pPr>
      <w:r w:rsidRPr="00C928D8">
        <w:rPr>
          <w:rFonts w:asciiTheme="minorHAnsi" w:hAnsiTheme="minorHAnsi" w:cstheme="minorHAnsi"/>
          <w:b/>
          <w:bCs/>
        </w:rPr>
        <w:t>Abstract</w:t>
      </w:r>
    </w:p>
    <w:p w14:paraId="0554CF5D" w14:textId="44A9F5D4" w:rsidR="00D52059" w:rsidRPr="00C928D8" w:rsidRDefault="00B766FF"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This document presents the macroeconomic staff forecast formulated by the Bank of Israel Research Department in </w:t>
      </w:r>
      <w:r w:rsidR="00062FE3" w:rsidRPr="00C928D8">
        <w:rPr>
          <w:rFonts w:asciiTheme="minorHAnsi" w:hAnsiTheme="minorHAnsi" w:cstheme="minorHAnsi"/>
        </w:rPr>
        <w:t>July</w:t>
      </w:r>
      <w:r w:rsidR="00F31BDD" w:rsidRPr="00C928D8">
        <w:rPr>
          <w:rFonts w:asciiTheme="minorHAnsi" w:hAnsiTheme="minorHAnsi" w:cstheme="minorHAnsi"/>
        </w:rPr>
        <w:t xml:space="preserve"> 2024</w:t>
      </w:r>
      <w:r w:rsidR="00A30AC5" w:rsidRPr="00C928D8">
        <w:rPr>
          <w:rStyle w:val="ac"/>
          <w:rFonts w:asciiTheme="minorHAnsi" w:hAnsiTheme="minorHAnsi" w:cstheme="minorHAnsi"/>
        </w:rPr>
        <w:footnoteReference w:id="1"/>
      </w:r>
      <w:r w:rsidRPr="00C928D8">
        <w:rPr>
          <w:rFonts w:asciiTheme="minorHAnsi" w:hAnsiTheme="minorHAnsi" w:cstheme="minorHAnsi"/>
        </w:rPr>
        <w:t xml:space="preserve"> concerning the main macroeconomic variables—GDP, inflation, and the interest rate.</w:t>
      </w:r>
      <w:r w:rsidR="00B525D0" w:rsidRPr="00C928D8">
        <w:rPr>
          <w:rFonts w:asciiTheme="minorHAnsi" w:hAnsiTheme="minorHAnsi" w:cstheme="minorHAnsi"/>
        </w:rPr>
        <w:t xml:space="preserve"> </w:t>
      </w:r>
      <w:r w:rsidR="00DB4F15" w:rsidRPr="00C928D8">
        <w:rPr>
          <w:rFonts w:asciiTheme="minorHAnsi" w:hAnsiTheme="minorHAnsi" w:cstheme="minorHAnsi"/>
        </w:rPr>
        <w:t>T</w:t>
      </w:r>
      <w:r w:rsidR="00B525D0" w:rsidRPr="00C928D8">
        <w:rPr>
          <w:rFonts w:asciiTheme="minorHAnsi" w:hAnsiTheme="minorHAnsi" w:cstheme="minorHAnsi"/>
        </w:rPr>
        <w:t>his forecast was formulated</w:t>
      </w:r>
      <w:r w:rsidR="007D6422" w:rsidRPr="00C928D8">
        <w:rPr>
          <w:rFonts w:asciiTheme="minorHAnsi" w:hAnsiTheme="minorHAnsi" w:cstheme="minorHAnsi"/>
        </w:rPr>
        <w:t xml:space="preserve"> under the assumption that the </w:t>
      </w:r>
      <w:r w:rsidR="00B525D0" w:rsidRPr="00C928D8">
        <w:rPr>
          <w:rFonts w:asciiTheme="minorHAnsi" w:hAnsiTheme="minorHAnsi" w:cstheme="minorHAnsi"/>
        </w:rPr>
        <w:t>Swords of Iron W</w:t>
      </w:r>
      <w:r w:rsidR="007D6422" w:rsidRPr="00C928D8">
        <w:rPr>
          <w:rFonts w:asciiTheme="minorHAnsi" w:hAnsiTheme="minorHAnsi" w:cstheme="minorHAnsi"/>
        </w:rPr>
        <w:t xml:space="preserve">ar’s direct impact on the economy </w:t>
      </w:r>
      <w:r w:rsidR="000B4DDD" w:rsidRPr="00C928D8">
        <w:rPr>
          <w:rFonts w:asciiTheme="minorHAnsi" w:hAnsiTheme="minorHAnsi" w:cstheme="minorHAnsi"/>
        </w:rPr>
        <w:t xml:space="preserve">from both the northern and southern fronts, </w:t>
      </w:r>
      <w:r w:rsidR="00F31BDD" w:rsidRPr="00C928D8">
        <w:rPr>
          <w:rFonts w:asciiTheme="minorHAnsi" w:hAnsiTheme="minorHAnsi" w:cstheme="minorHAnsi"/>
        </w:rPr>
        <w:t xml:space="preserve">will </w:t>
      </w:r>
      <w:r w:rsidR="007D6422" w:rsidRPr="00C928D8">
        <w:rPr>
          <w:rFonts w:asciiTheme="minorHAnsi" w:hAnsiTheme="minorHAnsi" w:cstheme="minorHAnsi"/>
        </w:rPr>
        <w:t xml:space="preserve">continue </w:t>
      </w:r>
      <w:r w:rsidR="00F31BDD" w:rsidRPr="00C928D8">
        <w:rPr>
          <w:rFonts w:asciiTheme="minorHAnsi" w:hAnsiTheme="minorHAnsi" w:cstheme="minorHAnsi"/>
        </w:rPr>
        <w:t xml:space="preserve">until the </w:t>
      </w:r>
      <w:r w:rsidR="00DB4F15" w:rsidRPr="00C928D8">
        <w:rPr>
          <w:rFonts w:asciiTheme="minorHAnsi" w:hAnsiTheme="minorHAnsi" w:cstheme="minorHAnsi"/>
        </w:rPr>
        <w:t>beginning</w:t>
      </w:r>
      <w:r w:rsidR="00F31BDD" w:rsidRPr="00C928D8">
        <w:rPr>
          <w:rFonts w:asciiTheme="minorHAnsi" w:hAnsiTheme="minorHAnsi" w:cstheme="minorHAnsi"/>
        </w:rPr>
        <w:t xml:space="preserve"> of</w:t>
      </w:r>
      <w:r w:rsidR="007D6422" w:rsidRPr="00C928D8">
        <w:rPr>
          <w:rFonts w:asciiTheme="minorHAnsi" w:hAnsiTheme="minorHAnsi" w:cstheme="minorHAnsi"/>
        </w:rPr>
        <w:t xml:space="preserve"> 202</w:t>
      </w:r>
      <w:r w:rsidR="00DB4F15" w:rsidRPr="00C928D8">
        <w:rPr>
          <w:rFonts w:asciiTheme="minorHAnsi" w:hAnsiTheme="minorHAnsi" w:cstheme="minorHAnsi"/>
        </w:rPr>
        <w:t>5</w:t>
      </w:r>
      <w:r w:rsidR="00F31BDD" w:rsidRPr="00C928D8">
        <w:rPr>
          <w:rFonts w:asciiTheme="minorHAnsi" w:hAnsiTheme="minorHAnsi" w:cstheme="minorHAnsi"/>
        </w:rPr>
        <w:t>.</w:t>
      </w:r>
      <w:r w:rsidR="00DB4F15" w:rsidRPr="00C928D8">
        <w:rPr>
          <w:rFonts w:asciiTheme="minorHAnsi" w:hAnsiTheme="minorHAnsi" w:cstheme="minorHAnsi"/>
        </w:rPr>
        <w:t xml:space="preserve">  This assumption reflects more prolonged fighting, and at a greater intensity, than the assumption underlying the April forecast.</w:t>
      </w:r>
      <w:r w:rsidR="00F31BDD" w:rsidRPr="00C928D8">
        <w:rPr>
          <w:rFonts w:asciiTheme="minorHAnsi" w:hAnsiTheme="minorHAnsi" w:cstheme="minorHAnsi"/>
        </w:rPr>
        <w:t xml:space="preserve">  </w:t>
      </w:r>
      <w:r w:rsidR="008F7582" w:rsidRPr="00C928D8">
        <w:rPr>
          <w:rFonts w:asciiTheme="minorHAnsi" w:hAnsiTheme="minorHAnsi" w:cstheme="minorHAnsi"/>
        </w:rPr>
        <w:t>The forecast features a high level of unce</w:t>
      </w:r>
      <w:r w:rsidR="00DB4F15" w:rsidRPr="00C928D8">
        <w:rPr>
          <w:rFonts w:asciiTheme="minorHAnsi" w:hAnsiTheme="minorHAnsi" w:cstheme="minorHAnsi"/>
        </w:rPr>
        <w:t xml:space="preserve">rtainty, </w:t>
      </w:r>
      <w:r w:rsidR="008F7582" w:rsidRPr="00C928D8">
        <w:rPr>
          <w:rFonts w:asciiTheme="minorHAnsi" w:hAnsiTheme="minorHAnsi" w:cstheme="minorHAnsi"/>
        </w:rPr>
        <w:t>part</w:t>
      </w:r>
      <w:r w:rsidR="00DB4F15" w:rsidRPr="00C928D8">
        <w:rPr>
          <w:rFonts w:asciiTheme="minorHAnsi" w:hAnsiTheme="minorHAnsi" w:cstheme="minorHAnsi"/>
        </w:rPr>
        <w:t>icularly the greater probability of more serious security scenarios than those included in the forecast such as a further extension of the war’s duration and its increased intensity on various fronts.</w:t>
      </w:r>
    </w:p>
    <w:p w14:paraId="21A3D6CA" w14:textId="77777777" w:rsidR="00D975F7" w:rsidRPr="00C928D8" w:rsidRDefault="00D975F7" w:rsidP="00C928D8">
      <w:pPr>
        <w:bidi w:val="0"/>
        <w:spacing w:line="360" w:lineRule="auto"/>
        <w:jc w:val="both"/>
        <w:rPr>
          <w:rFonts w:asciiTheme="minorHAnsi" w:hAnsiTheme="minorHAnsi" w:cstheme="minorHAnsi"/>
        </w:rPr>
      </w:pPr>
    </w:p>
    <w:p w14:paraId="2573B91C" w14:textId="0FC762C5"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According to the forecast, GDP is expected to grow by </w:t>
      </w:r>
      <w:r w:rsidR="00DB4F15" w:rsidRPr="00C928D8">
        <w:rPr>
          <w:rFonts w:asciiTheme="minorHAnsi" w:hAnsiTheme="minorHAnsi" w:cstheme="minorHAnsi"/>
        </w:rPr>
        <w:t>1.5</w:t>
      </w:r>
      <w:r w:rsidR="00CF7B7C" w:rsidRPr="00C928D8">
        <w:rPr>
          <w:rFonts w:asciiTheme="minorHAnsi" w:hAnsiTheme="minorHAnsi" w:cstheme="minorHAnsi"/>
        </w:rPr>
        <w:t xml:space="preserve"> </w:t>
      </w:r>
      <w:r w:rsidRPr="00C928D8">
        <w:rPr>
          <w:rFonts w:asciiTheme="minorHAnsi" w:hAnsiTheme="minorHAnsi" w:cstheme="minorHAnsi"/>
        </w:rPr>
        <w:t>percent in 202</w:t>
      </w:r>
      <w:r w:rsidR="00B525D0" w:rsidRPr="00C928D8">
        <w:rPr>
          <w:rFonts w:asciiTheme="minorHAnsi" w:hAnsiTheme="minorHAnsi" w:cstheme="minorHAnsi"/>
        </w:rPr>
        <w:t>4</w:t>
      </w:r>
      <w:r w:rsidRPr="00C928D8">
        <w:rPr>
          <w:rFonts w:asciiTheme="minorHAnsi" w:hAnsiTheme="minorHAnsi" w:cstheme="minorHAnsi"/>
        </w:rPr>
        <w:t xml:space="preserve"> </w:t>
      </w:r>
      <w:r w:rsidR="00F31BDD" w:rsidRPr="00C928D8">
        <w:rPr>
          <w:rFonts w:asciiTheme="minorHAnsi" w:hAnsiTheme="minorHAnsi" w:cstheme="minorHAnsi"/>
        </w:rPr>
        <w:t xml:space="preserve">and by </w:t>
      </w:r>
      <w:r w:rsidR="00DB4F15" w:rsidRPr="00C928D8">
        <w:rPr>
          <w:rFonts w:asciiTheme="minorHAnsi" w:hAnsiTheme="minorHAnsi" w:cstheme="minorHAnsi"/>
        </w:rPr>
        <w:t>4.2</w:t>
      </w:r>
      <w:r w:rsidR="00F31BDD" w:rsidRPr="00C928D8">
        <w:rPr>
          <w:rFonts w:asciiTheme="minorHAnsi" w:hAnsiTheme="minorHAnsi" w:cstheme="minorHAnsi"/>
        </w:rPr>
        <w:t xml:space="preserve"> percent in 2025</w:t>
      </w:r>
      <w:r w:rsidR="00DB4F15" w:rsidRPr="00C928D8">
        <w:rPr>
          <w:rFonts w:asciiTheme="minorHAnsi" w:hAnsiTheme="minorHAnsi" w:cstheme="minorHAnsi"/>
        </w:rPr>
        <w:t>—lower than</w:t>
      </w:r>
      <w:r w:rsidR="00B525D0" w:rsidRPr="00C928D8">
        <w:rPr>
          <w:rFonts w:asciiTheme="minorHAnsi" w:hAnsiTheme="minorHAnsi" w:cstheme="minorHAnsi"/>
        </w:rPr>
        <w:t xml:space="preserve"> our assessment in the </w:t>
      </w:r>
      <w:r w:rsidR="00DB4F15" w:rsidRPr="00C928D8">
        <w:rPr>
          <w:rFonts w:asciiTheme="minorHAnsi" w:hAnsiTheme="minorHAnsi" w:cstheme="minorHAnsi"/>
        </w:rPr>
        <w:t>April</w:t>
      </w:r>
      <w:r w:rsidR="00B525D0" w:rsidRPr="00C928D8">
        <w:rPr>
          <w:rFonts w:asciiTheme="minorHAnsi" w:hAnsiTheme="minorHAnsi" w:cstheme="minorHAnsi"/>
        </w:rPr>
        <w:t xml:space="preserve"> forecast</w:t>
      </w:r>
      <w:r w:rsidRPr="00C928D8">
        <w:rPr>
          <w:rFonts w:asciiTheme="minorHAnsi" w:hAnsiTheme="minorHAnsi" w:cstheme="minorHAnsi"/>
        </w:rPr>
        <w:t xml:space="preserve">.  The inflation rate in </w:t>
      </w:r>
      <w:r w:rsidR="00B525D0" w:rsidRPr="00C928D8">
        <w:rPr>
          <w:rFonts w:asciiTheme="minorHAnsi" w:hAnsiTheme="minorHAnsi" w:cstheme="minorHAnsi"/>
        </w:rPr>
        <w:t xml:space="preserve">the coming four quarters (ending in the </w:t>
      </w:r>
      <w:r w:rsidR="00DB4F15" w:rsidRPr="00C928D8">
        <w:rPr>
          <w:rFonts w:asciiTheme="minorHAnsi" w:hAnsiTheme="minorHAnsi" w:cstheme="minorHAnsi"/>
        </w:rPr>
        <w:t>second</w:t>
      </w:r>
      <w:r w:rsidR="00B525D0" w:rsidRPr="00C928D8">
        <w:rPr>
          <w:rFonts w:asciiTheme="minorHAnsi" w:hAnsiTheme="minorHAnsi" w:cstheme="minorHAnsi"/>
        </w:rPr>
        <w:t xml:space="preserve"> quarter of 2025) </w:t>
      </w:r>
      <w:r w:rsidRPr="00C928D8">
        <w:rPr>
          <w:rFonts w:asciiTheme="minorHAnsi" w:hAnsiTheme="minorHAnsi" w:cstheme="minorHAnsi"/>
        </w:rPr>
        <w:t xml:space="preserve">is expected to be </w:t>
      </w:r>
      <w:r w:rsidR="00DB4F15" w:rsidRPr="00C928D8">
        <w:rPr>
          <w:rFonts w:asciiTheme="minorHAnsi" w:hAnsiTheme="minorHAnsi" w:cstheme="minorHAnsi"/>
        </w:rPr>
        <w:t>3.</w:t>
      </w:r>
      <w:r w:rsidRPr="00C928D8">
        <w:rPr>
          <w:rFonts w:asciiTheme="minorHAnsi" w:hAnsiTheme="minorHAnsi" w:cstheme="minorHAnsi"/>
        </w:rPr>
        <w:t>2 percent</w:t>
      </w:r>
      <w:r w:rsidR="00DB4F15" w:rsidRPr="00C928D8">
        <w:rPr>
          <w:rFonts w:asciiTheme="minorHAnsi" w:hAnsiTheme="minorHAnsi" w:cstheme="minorHAnsi"/>
        </w:rPr>
        <w:t>, partly due to the impact of taxation measures that we assume will be approved in the coming year</w:t>
      </w:r>
      <w:r w:rsidR="00B525D0" w:rsidRPr="00C928D8">
        <w:rPr>
          <w:rFonts w:asciiTheme="minorHAnsi" w:hAnsiTheme="minorHAnsi" w:cstheme="minorHAnsi"/>
        </w:rPr>
        <w:t xml:space="preserve">.  Inflation in 2024 is expected to be </w:t>
      </w:r>
      <w:r w:rsidR="00DB4F15" w:rsidRPr="00C928D8">
        <w:rPr>
          <w:rFonts w:asciiTheme="minorHAnsi" w:hAnsiTheme="minorHAnsi" w:cstheme="minorHAnsi"/>
        </w:rPr>
        <w:t>3.0</w:t>
      </w:r>
      <w:r w:rsidR="00B525D0" w:rsidRPr="00C928D8">
        <w:rPr>
          <w:rFonts w:asciiTheme="minorHAnsi" w:hAnsiTheme="minorHAnsi" w:cstheme="minorHAnsi"/>
        </w:rPr>
        <w:t xml:space="preserve"> percent</w:t>
      </w:r>
      <w:r w:rsidR="00003666" w:rsidRPr="00C928D8">
        <w:rPr>
          <w:rFonts w:asciiTheme="minorHAnsi" w:hAnsiTheme="minorHAnsi" w:cstheme="minorHAnsi"/>
        </w:rPr>
        <w:t xml:space="preserve"> (compared with 2.7 percent in the April forecast)</w:t>
      </w:r>
      <w:r w:rsidR="00B525D0" w:rsidRPr="00C928D8">
        <w:rPr>
          <w:rFonts w:asciiTheme="minorHAnsi" w:hAnsiTheme="minorHAnsi" w:cstheme="minorHAnsi"/>
        </w:rPr>
        <w:t>,</w:t>
      </w:r>
      <w:r w:rsidRPr="00C928D8">
        <w:rPr>
          <w:rFonts w:asciiTheme="minorHAnsi" w:hAnsiTheme="minorHAnsi" w:cstheme="minorHAnsi"/>
        </w:rPr>
        <w:t xml:space="preserve"> and</w:t>
      </w:r>
      <w:r w:rsidR="00F31BDD" w:rsidRPr="00C928D8">
        <w:rPr>
          <w:rFonts w:asciiTheme="minorHAnsi" w:hAnsiTheme="minorHAnsi" w:cstheme="minorHAnsi"/>
        </w:rPr>
        <w:t xml:space="preserve"> in 2025 it is expected to be 2</w:t>
      </w:r>
      <w:r w:rsidR="00B525D0" w:rsidRPr="00C928D8">
        <w:rPr>
          <w:rFonts w:asciiTheme="minorHAnsi" w:hAnsiTheme="minorHAnsi" w:cstheme="minorHAnsi"/>
        </w:rPr>
        <w:t>.</w:t>
      </w:r>
      <w:r w:rsidR="00DB4F15" w:rsidRPr="00C928D8">
        <w:rPr>
          <w:rFonts w:asciiTheme="minorHAnsi" w:hAnsiTheme="minorHAnsi" w:cstheme="minorHAnsi"/>
        </w:rPr>
        <w:t>8</w:t>
      </w:r>
      <w:r w:rsidR="00F31BDD" w:rsidRPr="00C928D8">
        <w:rPr>
          <w:rFonts w:asciiTheme="minorHAnsi" w:hAnsiTheme="minorHAnsi" w:cstheme="minorHAnsi"/>
        </w:rPr>
        <w:t xml:space="preserve"> percent</w:t>
      </w:r>
      <w:r w:rsidR="00003666" w:rsidRPr="00C928D8">
        <w:rPr>
          <w:rFonts w:asciiTheme="minorHAnsi" w:hAnsiTheme="minorHAnsi" w:cstheme="minorHAnsi"/>
        </w:rPr>
        <w:t xml:space="preserve"> (compared with 2.3 percent in the April forecast)</w:t>
      </w:r>
      <w:r w:rsidR="00F31BDD" w:rsidRPr="00C928D8">
        <w:rPr>
          <w:rFonts w:asciiTheme="minorHAnsi" w:hAnsiTheme="minorHAnsi" w:cstheme="minorHAnsi"/>
        </w:rPr>
        <w:t>. T</w:t>
      </w:r>
      <w:r w:rsidRPr="00C928D8">
        <w:rPr>
          <w:rFonts w:asciiTheme="minorHAnsi" w:hAnsiTheme="minorHAnsi" w:cstheme="minorHAnsi"/>
        </w:rPr>
        <w:t xml:space="preserve">he interest rate in the </w:t>
      </w:r>
      <w:r w:rsidR="00DB4F15" w:rsidRPr="00C928D8">
        <w:rPr>
          <w:rFonts w:asciiTheme="minorHAnsi" w:hAnsiTheme="minorHAnsi" w:cstheme="minorHAnsi"/>
        </w:rPr>
        <w:t>second</w:t>
      </w:r>
      <w:r w:rsidRPr="00C928D8">
        <w:rPr>
          <w:rFonts w:asciiTheme="minorHAnsi" w:hAnsiTheme="minorHAnsi" w:cstheme="minorHAnsi"/>
        </w:rPr>
        <w:t xml:space="preserve"> quarter of 202</w:t>
      </w:r>
      <w:r w:rsidR="00B525D0" w:rsidRPr="00C928D8">
        <w:rPr>
          <w:rFonts w:asciiTheme="minorHAnsi" w:hAnsiTheme="minorHAnsi" w:cstheme="minorHAnsi"/>
        </w:rPr>
        <w:t>5</w:t>
      </w:r>
      <w:r w:rsidRPr="00C928D8">
        <w:rPr>
          <w:rFonts w:asciiTheme="minorHAnsi" w:hAnsiTheme="minorHAnsi" w:cstheme="minorHAnsi"/>
        </w:rPr>
        <w:t xml:space="preserve"> is expected to be </w:t>
      </w:r>
      <w:r w:rsidR="00DB4F15" w:rsidRPr="00C928D8">
        <w:rPr>
          <w:rFonts w:asciiTheme="minorHAnsi" w:hAnsiTheme="minorHAnsi" w:cstheme="minorHAnsi"/>
        </w:rPr>
        <w:t>4.25</w:t>
      </w:r>
      <w:r w:rsidRPr="00C928D8">
        <w:rPr>
          <w:rFonts w:asciiTheme="minorHAnsi" w:hAnsiTheme="minorHAnsi" w:cstheme="minorHAnsi"/>
        </w:rPr>
        <w:t xml:space="preserve"> percent.</w:t>
      </w:r>
      <w:r w:rsidR="00DB4F15" w:rsidRPr="00C928D8">
        <w:rPr>
          <w:rFonts w:asciiTheme="minorHAnsi" w:hAnsiTheme="minorHAnsi" w:cstheme="minorHAnsi"/>
        </w:rPr>
        <w:t xml:space="preserve">  In view of the increased probability that we attribute to more serious security scenarios</w:t>
      </w:r>
      <w:r w:rsidR="00003666" w:rsidRPr="00C928D8">
        <w:rPr>
          <w:rFonts w:asciiTheme="minorHAnsi" w:hAnsiTheme="minorHAnsi" w:cstheme="minorHAnsi"/>
        </w:rPr>
        <w:t xml:space="preserve"> such as </w:t>
      </w:r>
      <w:r w:rsidR="00003666" w:rsidRPr="00C928D8">
        <w:rPr>
          <w:rFonts w:asciiTheme="minorHAnsi" w:hAnsiTheme="minorHAnsi" w:cstheme="minorHAnsi"/>
        </w:rPr>
        <w:lastRenderedPageBreak/>
        <w:t>an increase in the intensity and duration of the war,</w:t>
      </w:r>
      <w:r w:rsidR="00DB4F15" w:rsidRPr="00C928D8">
        <w:rPr>
          <w:rFonts w:asciiTheme="minorHAnsi" w:hAnsiTheme="minorHAnsi" w:cstheme="minorHAnsi"/>
        </w:rPr>
        <w:t xml:space="preserve"> the risk to the growth forecast tends downward, and the risks to the inflation and interest rate forecasts </w:t>
      </w:r>
      <w:proofErr w:type="spellStart"/>
      <w:r w:rsidR="00DB4F15" w:rsidRPr="00C928D8">
        <w:rPr>
          <w:rFonts w:asciiTheme="minorHAnsi" w:hAnsiTheme="minorHAnsi" w:cstheme="minorHAnsi"/>
        </w:rPr>
        <w:t>tend</w:t>
      </w:r>
      <w:proofErr w:type="spellEnd"/>
      <w:r w:rsidR="00DB4F15" w:rsidRPr="00C928D8">
        <w:rPr>
          <w:rFonts w:asciiTheme="minorHAnsi" w:hAnsiTheme="minorHAnsi" w:cstheme="minorHAnsi"/>
        </w:rPr>
        <w:t xml:space="preserve"> upward.</w:t>
      </w:r>
    </w:p>
    <w:p w14:paraId="639123B6" w14:textId="77777777" w:rsidR="005D7D3B" w:rsidRPr="00C928D8" w:rsidRDefault="005D7D3B" w:rsidP="00C928D8">
      <w:pPr>
        <w:bidi w:val="0"/>
        <w:spacing w:line="360" w:lineRule="auto"/>
        <w:jc w:val="both"/>
        <w:rPr>
          <w:rFonts w:asciiTheme="minorHAnsi" w:hAnsiTheme="minorHAnsi" w:cstheme="minorHAnsi"/>
        </w:rPr>
      </w:pPr>
    </w:p>
    <w:p w14:paraId="5213F454" w14:textId="77777777" w:rsidR="00E932DD" w:rsidRPr="00C928D8" w:rsidRDefault="00F7707F" w:rsidP="00C928D8">
      <w:pPr>
        <w:bidi w:val="0"/>
        <w:spacing w:line="360" w:lineRule="auto"/>
        <w:jc w:val="both"/>
        <w:rPr>
          <w:rFonts w:asciiTheme="minorHAnsi" w:hAnsiTheme="minorHAnsi" w:cstheme="minorHAnsi"/>
          <w:b/>
          <w:bCs/>
        </w:rPr>
      </w:pPr>
      <w:r w:rsidRPr="00C928D8">
        <w:rPr>
          <w:rFonts w:asciiTheme="minorHAnsi" w:hAnsiTheme="minorHAnsi" w:cstheme="minorHAnsi"/>
          <w:b/>
          <w:bCs/>
        </w:rPr>
        <w:t>The forecast</w:t>
      </w:r>
    </w:p>
    <w:p w14:paraId="629113FA" w14:textId="77777777" w:rsidR="00F7707F" w:rsidRPr="00C928D8" w:rsidRDefault="00F7707F" w:rsidP="00C928D8">
      <w:pPr>
        <w:bidi w:val="0"/>
        <w:spacing w:line="360" w:lineRule="auto"/>
        <w:jc w:val="both"/>
        <w:rPr>
          <w:rFonts w:asciiTheme="minorHAnsi" w:hAnsiTheme="minorHAnsi" w:cstheme="minorHAnsi"/>
          <w:b/>
          <w:bCs/>
        </w:rPr>
      </w:pPr>
    </w:p>
    <w:p w14:paraId="72B85960" w14:textId="77777777" w:rsidR="004675C1" w:rsidRPr="00C928D8" w:rsidRDefault="004675C1"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The Bank of Israel Research Department compiles a staff forecast of macroeconomic developments based on several models, various data sources, and assessments based on economists’ judgment. The Bank’s DSGE (Dynamic Stochastic General Equilibrium) model—a structural model </w:t>
      </w:r>
      <w:r w:rsidR="00F7707F" w:rsidRPr="00C928D8">
        <w:rPr>
          <w:rFonts w:asciiTheme="minorHAnsi" w:hAnsiTheme="minorHAnsi" w:cstheme="minorHAnsi"/>
        </w:rPr>
        <w:t xml:space="preserve">developed in the Research Department and </w:t>
      </w:r>
      <w:r w:rsidRPr="00C928D8">
        <w:rPr>
          <w:rFonts w:asciiTheme="minorHAnsi" w:hAnsiTheme="minorHAnsi" w:cstheme="minorHAnsi"/>
        </w:rPr>
        <w:t>based on microeconomic foundations—plays a prim</w:t>
      </w:r>
      <w:r w:rsidR="00A83C38" w:rsidRPr="00C928D8">
        <w:rPr>
          <w:rFonts w:asciiTheme="minorHAnsi" w:hAnsiTheme="minorHAnsi" w:cstheme="minorHAnsi"/>
        </w:rPr>
        <w:t>e</w:t>
      </w:r>
      <w:r w:rsidRPr="00C928D8">
        <w:rPr>
          <w:rFonts w:asciiTheme="minorHAnsi" w:hAnsiTheme="minorHAnsi" w:cstheme="minorHAnsi"/>
        </w:rPr>
        <w:t xml:space="preserve"> role in formulating the macroeconomic forecast.</w:t>
      </w:r>
      <w:r w:rsidRPr="00C928D8">
        <w:rPr>
          <w:rStyle w:val="ac"/>
          <w:rFonts w:asciiTheme="minorHAnsi" w:hAnsiTheme="minorHAnsi" w:cstheme="minorHAnsi"/>
        </w:rPr>
        <w:footnoteReference w:id="2"/>
      </w:r>
      <w:r w:rsidRPr="00C928D8">
        <w:rPr>
          <w:rFonts w:asciiTheme="minorHAnsi" w:hAnsiTheme="minorHAnsi" w:cstheme="minorHAnsi"/>
        </w:rPr>
        <w:t xml:space="preserve"> The model provides a framework for analyzing the forces that have an effect on the economy, and allows information from various sources to be combined into a macroeconomic forecast of real and nominal variables, with an internally consistent “economic story”.</w:t>
      </w:r>
    </w:p>
    <w:p w14:paraId="2549A5DF" w14:textId="77777777" w:rsidR="00D975F7" w:rsidRPr="00C928D8" w:rsidRDefault="00D975F7" w:rsidP="00C928D8">
      <w:pPr>
        <w:bidi w:val="0"/>
        <w:spacing w:line="360" w:lineRule="auto"/>
        <w:jc w:val="both"/>
        <w:rPr>
          <w:rFonts w:asciiTheme="minorHAnsi" w:hAnsiTheme="minorHAnsi" w:cstheme="minorHAnsi"/>
        </w:rPr>
      </w:pPr>
    </w:p>
    <w:p w14:paraId="156D285E" w14:textId="48B940B6"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In order to formulate estimates of the economic impact of the war, special emphasis was placed on an analysis of </w:t>
      </w:r>
      <w:r w:rsidR="009E1E37" w:rsidRPr="00C928D8">
        <w:rPr>
          <w:rFonts w:asciiTheme="minorHAnsi" w:hAnsiTheme="minorHAnsi" w:cstheme="minorHAnsi"/>
        </w:rPr>
        <w:t>real-time</w:t>
      </w:r>
      <w:r w:rsidRPr="00C928D8">
        <w:rPr>
          <w:rFonts w:asciiTheme="minorHAnsi" w:hAnsiTheme="minorHAnsi" w:cstheme="minorHAnsi"/>
        </w:rPr>
        <w:t xml:space="preserve"> data that show the scope of the impact</w:t>
      </w:r>
      <w:r w:rsidR="00E37ABC" w:rsidRPr="00C928D8">
        <w:rPr>
          <w:rFonts w:asciiTheme="minorHAnsi" w:hAnsiTheme="minorHAnsi" w:cstheme="minorHAnsi"/>
        </w:rPr>
        <w:t xml:space="preserve"> on</w:t>
      </w:r>
      <w:r w:rsidR="005537E5" w:rsidRPr="00C928D8">
        <w:rPr>
          <w:rFonts w:asciiTheme="minorHAnsi" w:hAnsiTheme="minorHAnsi" w:cstheme="minorHAnsi"/>
        </w:rPr>
        <w:t>—</w:t>
      </w:r>
      <w:r w:rsidR="00B525D0" w:rsidRPr="00C928D8">
        <w:rPr>
          <w:rFonts w:asciiTheme="minorHAnsi" w:hAnsiTheme="minorHAnsi" w:cstheme="minorHAnsi"/>
        </w:rPr>
        <w:t>and the pace of recovery of</w:t>
      </w:r>
      <w:r w:rsidR="005537E5" w:rsidRPr="00C928D8">
        <w:rPr>
          <w:rFonts w:asciiTheme="minorHAnsi" w:hAnsiTheme="minorHAnsi" w:cstheme="minorHAnsi"/>
        </w:rPr>
        <w:t>—</w:t>
      </w:r>
      <w:r w:rsidRPr="00C928D8">
        <w:rPr>
          <w:rFonts w:asciiTheme="minorHAnsi" w:hAnsiTheme="minorHAnsi" w:cstheme="minorHAnsi"/>
        </w:rPr>
        <w:t xml:space="preserve">the output of various industries and uses, as well as on an analysis of past </w:t>
      </w:r>
      <w:r w:rsidR="003A247B" w:rsidRPr="00C928D8">
        <w:rPr>
          <w:rFonts w:asciiTheme="minorHAnsi" w:hAnsiTheme="minorHAnsi" w:cstheme="minorHAnsi"/>
        </w:rPr>
        <w:t>confrontations</w:t>
      </w:r>
      <w:r w:rsidRPr="00C928D8">
        <w:rPr>
          <w:rFonts w:asciiTheme="minorHAnsi" w:hAnsiTheme="minorHAnsi" w:cstheme="minorHAnsi"/>
        </w:rPr>
        <w:t xml:space="preserve">.  In addition to the </w:t>
      </w:r>
      <w:r w:rsidR="009E1E37" w:rsidRPr="00C928D8">
        <w:rPr>
          <w:rFonts w:asciiTheme="minorHAnsi" w:hAnsiTheme="minorHAnsi" w:cstheme="minorHAnsi"/>
        </w:rPr>
        <w:t>use of</w:t>
      </w:r>
      <w:r w:rsidRPr="00C928D8">
        <w:rPr>
          <w:rFonts w:asciiTheme="minorHAnsi" w:hAnsiTheme="minorHAnsi" w:cstheme="minorHAnsi"/>
        </w:rPr>
        <w:t xml:space="preserve"> the DSGE model, we used industry-level assessments of the volume of the supply-side impact derived partly from </w:t>
      </w:r>
      <w:r w:rsidR="00550958" w:rsidRPr="00C928D8">
        <w:rPr>
          <w:rFonts w:asciiTheme="minorHAnsi" w:hAnsiTheme="minorHAnsi" w:cstheme="minorHAnsi"/>
        </w:rPr>
        <w:t>the lack of workers during the war period and the security restrictions on activity. On the demand side, data obtained so far were analyzed in order to assess the impact on the various uses</w:t>
      </w:r>
      <w:r w:rsidR="00B525D0" w:rsidRPr="00C928D8">
        <w:rPr>
          <w:rFonts w:asciiTheme="minorHAnsi" w:hAnsiTheme="minorHAnsi" w:cstheme="minorHAnsi"/>
        </w:rPr>
        <w:t>, and in order to assess the pace of their recovery so far</w:t>
      </w:r>
      <w:r w:rsidR="00550958" w:rsidRPr="00C928D8">
        <w:rPr>
          <w:rFonts w:asciiTheme="minorHAnsi" w:hAnsiTheme="minorHAnsi" w:cstheme="minorHAnsi"/>
        </w:rPr>
        <w:t xml:space="preserve">.  The results were </w:t>
      </w:r>
      <w:r w:rsidR="00E718CD" w:rsidRPr="00C928D8">
        <w:rPr>
          <w:rFonts w:asciiTheme="minorHAnsi" w:hAnsiTheme="minorHAnsi" w:cstheme="minorHAnsi"/>
        </w:rPr>
        <w:t>integrated</w:t>
      </w:r>
      <w:r w:rsidR="00550958" w:rsidRPr="00C928D8">
        <w:rPr>
          <w:rFonts w:asciiTheme="minorHAnsi" w:hAnsiTheme="minorHAnsi" w:cstheme="minorHAnsi"/>
        </w:rPr>
        <w:t xml:space="preserve"> into a full forecast of the sources and uses</w:t>
      </w:r>
      <w:r w:rsidR="00060B61" w:rsidRPr="00C928D8">
        <w:rPr>
          <w:rFonts w:asciiTheme="minorHAnsi" w:hAnsiTheme="minorHAnsi" w:cstheme="minorHAnsi"/>
        </w:rPr>
        <w:t>, which contributed to the formulation of the forecast presented herein</w:t>
      </w:r>
      <w:r w:rsidR="00550958" w:rsidRPr="00C928D8">
        <w:rPr>
          <w:rFonts w:asciiTheme="minorHAnsi" w:hAnsiTheme="minorHAnsi" w:cstheme="minorHAnsi"/>
        </w:rPr>
        <w:t>.</w:t>
      </w:r>
    </w:p>
    <w:p w14:paraId="17B25526" w14:textId="77777777" w:rsidR="007D6422" w:rsidRPr="00C928D8" w:rsidRDefault="007D6422"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 </w:t>
      </w:r>
    </w:p>
    <w:p w14:paraId="2F7952B8"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The global environment</w:t>
      </w:r>
    </w:p>
    <w:p w14:paraId="5C67345C" w14:textId="676D0FFB" w:rsidR="00D52059" w:rsidRPr="00C928D8" w:rsidRDefault="00A21D01" w:rsidP="00C928D8">
      <w:pPr>
        <w:bidi w:val="0"/>
        <w:spacing w:line="360" w:lineRule="auto"/>
        <w:jc w:val="both"/>
        <w:rPr>
          <w:rFonts w:asciiTheme="minorHAnsi" w:hAnsiTheme="minorHAnsi" w:cstheme="minorHAnsi"/>
          <w:rtl/>
        </w:rPr>
      </w:pPr>
      <w:r w:rsidRPr="00C928D8">
        <w:rPr>
          <w:rFonts w:asciiTheme="minorHAnsi" w:hAnsiTheme="minorHAnsi" w:cstheme="minorHAnsi"/>
        </w:rPr>
        <w:t xml:space="preserve">Our assessments of expected developments in the global economy are based mainly on </w:t>
      </w:r>
      <w:proofErr w:type="gramStart"/>
      <w:r w:rsidRPr="00C928D8">
        <w:rPr>
          <w:rFonts w:asciiTheme="minorHAnsi" w:hAnsiTheme="minorHAnsi" w:cstheme="minorHAnsi"/>
        </w:rPr>
        <w:t>projections</w:t>
      </w:r>
      <w:proofErr w:type="gramEnd"/>
      <w:r w:rsidRPr="00C928D8">
        <w:rPr>
          <w:rFonts w:asciiTheme="minorHAnsi" w:hAnsiTheme="minorHAnsi" w:cstheme="minorHAnsi"/>
        </w:rPr>
        <w:t xml:space="preserve"> by international </w:t>
      </w:r>
      <w:r w:rsidR="00C45D20" w:rsidRPr="00C928D8">
        <w:rPr>
          <w:rFonts w:asciiTheme="minorHAnsi" w:hAnsiTheme="minorHAnsi" w:cstheme="minorHAnsi"/>
        </w:rPr>
        <w:t xml:space="preserve">financial </w:t>
      </w:r>
      <w:r w:rsidRPr="00C928D8">
        <w:rPr>
          <w:rFonts w:asciiTheme="minorHAnsi" w:hAnsiTheme="minorHAnsi" w:cstheme="minorHAnsi"/>
        </w:rPr>
        <w:t>institutions and foreign investment houses.</w:t>
      </w:r>
      <w:r w:rsidR="00C55EB9" w:rsidRPr="00C928D8">
        <w:rPr>
          <w:rFonts w:asciiTheme="minorHAnsi" w:hAnsiTheme="minorHAnsi" w:cstheme="minorHAnsi"/>
        </w:rPr>
        <w:t xml:space="preserve">  </w:t>
      </w:r>
      <w:r w:rsidR="00550958" w:rsidRPr="00C928D8">
        <w:rPr>
          <w:rFonts w:asciiTheme="minorHAnsi" w:hAnsiTheme="minorHAnsi" w:cstheme="minorHAnsi"/>
        </w:rPr>
        <w:t>The</w:t>
      </w:r>
      <w:r w:rsidR="005537E5" w:rsidRPr="00C928D8">
        <w:rPr>
          <w:rFonts w:asciiTheme="minorHAnsi" w:hAnsiTheme="minorHAnsi" w:cstheme="minorHAnsi"/>
        </w:rPr>
        <w:t xml:space="preserve">se projections—regarding growth, inflation and the interest rates in the advanced economies—were revised upward relative to </w:t>
      </w:r>
      <w:r w:rsidR="00F31BDD" w:rsidRPr="00C928D8">
        <w:rPr>
          <w:rFonts w:asciiTheme="minorHAnsi" w:hAnsiTheme="minorHAnsi" w:cstheme="minorHAnsi"/>
        </w:rPr>
        <w:t>those used in</w:t>
      </w:r>
      <w:r w:rsidR="00550958" w:rsidRPr="00C928D8">
        <w:rPr>
          <w:rFonts w:asciiTheme="minorHAnsi" w:hAnsiTheme="minorHAnsi" w:cstheme="minorHAnsi"/>
        </w:rPr>
        <w:t xml:space="preserve"> the </w:t>
      </w:r>
      <w:r w:rsidR="005537E5" w:rsidRPr="00C928D8">
        <w:rPr>
          <w:rFonts w:asciiTheme="minorHAnsi" w:hAnsiTheme="minorHAnsi" w:cstheme="minorHAnsi"/>
        </w:rPr>
        <w:t>April</w:t>
      </w:r>
      <w:r w:rsidR="00550958" w:rsidRPr="00C928D8">
        <w:rPr>
          <w:rFonts w:asciiTheme="minorHAnsi" w:hAnsiTheme="minorHAnsi" w:cstheme="minorHAnsi"/>
        </w:rPr>
        <w:t xml:space="preserve"> forecast.  </w:t>
      </w:r>
      <w:r w:rsidR="00D975F7" w:rsidRPr="00C928D8">
        <w:rPr>
          <w:rFonts w:asciiTheme="minorHAnsi" w:hAnsiTheme="minorHAnsi" w:cstheme="minorHAnsi"/>
        </w:rPr>
        <w:t xml:space="preserve">Accordingly, we assume that growth in the advanced economies </w:t>
      </w:r>
      <w:r w:rsidR="00060B61" w:rsidRPr="00C928D8">
        <w:rPr>
          <w:rFonts w:asciiTheme="minorHAnsi" w:hAnsiTheme="minorHAnsi" w:cstheme="minorHAnsi"/>
        </w:rPr>
        <w:t>will be</w:t>
      </w:r>
      <w:r w:rsidR="00D975F7" w:rsidRPr="00C928D8">
        <w:rPr>
          <w:rFonts w:asciiTheme="minorHAnsi" w:hAnsiTheme="minorHAnsi" w:cstheme="minorHAnsi"/>
        </w:rPr>
        <w:t xml:space="preserve"> </w:t>
      </w:r>
      <w:r w:rsidR="005537E5" w:rsidRPr="00C928D8">
        <w:rPr>
          <w:rFonts w:asciiTheme="minorHAnsi" w:hAnsiTheme="minorHAnsi" w:cstheme="minorHAnsi"/>
        </w:rPr>
        <w:t>1.4</w:t>
      </w:r>
      <w:r w:rsidR="00D975F7" w:rsidRPr="00C928D8">
        <w:rPr>
          <w:rFonts w:asciiTheme="minorHAnsi" w:hAnsiTheme="minorHAnsi" w:cstheme="minorHAnsi"/>
        </w:rPr>
        <w:t xml:space="preserve"> percent in 202</w:t>
      </w:r>
      <w:r w:rsidR="00060B61" w:rsidRPr="00C928D8">
        <w:rPr>
          <w:rFonts w:asciiTheme="minorHAnsi" w:hAnsiTheme="minorHAnsi" w:cstheme="minorHAnsi"/>
        </w:rPr>
        <w:t>4 (compared with</w:t>
      </w:r>
      <w:r w:rsidR="00E718CD" w:rsidRPr="00C928D8">
        <w:rPr>
          <w:rFonts w:asciiTheme="minorHAnsi" w:hAnsiTheme="minorHAnsi" w:cstheme="minorHAnsi"/>
        </w:rPr>
        <w:t xml:space="preserve"> </w:t>
      </w:r>
      <w:r w:rsidR="005537E5" w:rsidRPr="00C928D8">
        <w:rPr>
          <w:rFonts w:asciiTheme="minorHAnsi" w:hAnsiTheme="minorHAnsi" w:cstheme="minorHAnsi"/>
        </w:rPr>
        <w:t>1.</w:t>
      </w:r>
      <w:r w:rsidR="00D975F7" w:rsidRPr="00C928D8">
        <w:rPr>
          <w:rFonts w:asciiTheme="minorHAnsi" w:hAnsiTheme="minorHAnsi" w:cstheme="minorHAnsi"/>
        </w:rPr>
        <w:t xml:space="preserve">0 percent in </w:t>
      </w:r>
      <w:r w:rsidR="00060B61" w:rsidRPr="00C928D8">
        <w:rPr>
          <w:rFonts w:asciiTheme="minorHAnsi" w:hAnsiTheme="minorHAnsi" w:cstheme="minorHAnsi"/>
        </w:rPr>
        <w:lastRenderedPageBreak/>
        <w:t xml:space="preserve">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and 1.</w:t>
      </w:r>
      <w:r w:rsidR="005537E5" w:rsidRPr="00C928D8">
        <w:rPr>
          <w:rFonts w:asciiTheme="minorHAnsi" w:hAnsiTheme="minorHAnsi" w:cstheme="minorHAnsi"/>
        </w:rPr>
        <w:t>5</w:t>
      </w:r>
      <w:r w:rsidR="00C6384E" w:rsidRPr="00C928D8">
        <w:rPr>
          <w:rFonts w:asciiTheme="minorHAnsi" w:hAnsiTheme="minorHAnsi" w:cstheme="minorHAnsi"/>
        </w:rPr>
        <w:t xml:space="preserve"> percent in 2025</w:t>
      </w:r>
      <w:r w:rsidR="00060B61" w:rsidRPr="00C928D8">
        <w:rPr>
          <w:rFonts w:asciiTheme="minorHAnsi" w:hAnsiTheme="minorHAnsi" w:cstheme="minorHAnsi"/>
        </w:rPr>
        <w:t xml:space="preserve"> (compared with 1.</w:t>
      </w:r>
      <w:r w:rsidR="005537E5" w:rsidRPr="00C928D8">
        <w:rPr>
          <w:rFonts w:asciiTheme="minorHAnsi" w:hAnsiTheme="minorHAnsi" w:cstheme="minorHAnsi"/>
        </w:rPr>
        <w:t>4</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 xml:space="preserve">. </w:t>
      </w:r>
      <w:r w:rsidR="00550958" w:rsidRPr="00C928D8">
        <w:rPr>
          <w:rFonts w:asciiTheme="minorHAnsi" w:hAnsiTheme="minorHAnsi" w:cstheme="minorHAnsi"/>
        </w:rPr>
        <w:t>Our assumption is that</w:t>
      </w:r>
      <w:r w:rsidR="00D166DB" w:rsidRPr="00C928D8">
        <w:rPr>
          <w:rFonts w:asciiTheme="minorHAnsi" w:hAnsiTheme="minorHAnsi" w:cstheme="minorHAnsi"/>
        </w:rPr>
        <w:t xml:space="preserve"> world trade </w:t>
      </w:r>
      <w:r w:rsidR="00E718CD" w:rsidRPr="00C928D8">
        <w:rPr>
          <w:rFonts w:asciiTheme="minorHAnsi" w:hAnsiTheme="minorHAnsi" w:cstheme="minorHAnsi"/>
        </w:rPr>
        <w:t>will grow by</w:t>
      </w:r>
      <w:r w:rsidR="00D166DB" w:rsidRPr="00C928D8">
        <w:rPr>
          <w:rFonts w:asciiTheme="minorHAnsi" w:hAnsiTheme="minorHAnsi" w:cstheme="minorHAnsi"/>
        </w:rPr>
        <w:t xml:space="preserve"> 3.</w:t>
      </w:r>
      <w:r w:rsidR="005537E5" w:rsidRPr="00C928D8">
        <w:rPr>
          <w:rFonts w:asciiTheme="minorHAnsi" w:hAnsiTheme="minorHAnsi" w:cstheme="minorHAnsi"/>
        </w:rPr>
        <w:t>0</w:t>
      </w:r>
      <w:r w:rsidR="00D166DB" w:rsidRPr="00C928D8">
        <w:rPr>
          <w:rFonts w:asciiTheme="minorHAnsi" w:hAnsiTheme="minorHAnsi" w:cstheme="minorHAnsi"/>
        </w:rPr>
        <w:t xml:space="preserve"> percent in 2024</w:t>
      </w:r>
      <w:r w:rsidR="00060B61" w:rsidRPr="00C928D8">
        <w:rPr>
          <w:rFonts w:asciiTheme="minorHAnsi" w:hAnsiTheme="minorHAnsi" w:cstheme="minorHAnsi"/>
        </w:rPr>
        <w:t xml:space="preserve"> </w:t>
      </w:r>
      <w:r w:rsidR="005537E5" w:rsidRPr="00C928D8">
        <w:rPr>
          <w:rFonts w:asciiTheme="minorHAnsi" w:hAnsiTheme="minorHAnsi" w:cstheme="minorHAnsi"/>
        </w:rPr>
        <w:t>(</w:t>
      </w:r>
      <w:r w:rsidR="00060B61" w:rsidRPr="00C928D8">
        <w:rPr>
          <w:rFonts w:asciiTheme="minorHAnsi" w:hAnsiTheme="minorHAnsi" w:cstheme="minorHAnsi"/>
        </w:rPr>
        <w:t>compared with 3.</w:t>
      </w:r>
      <w:r w:rsidR="005537E5" w:rsidRPr="00C928D8">
        <w:rPr>
          <w:rFonts w:asciiTheme="minorHAnsi" w:hAnsiTheme="minorHAnsi" w:cstheme="minorHAnsi"/>
        </w:rPr>
        <w:t>1</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xml:space="preserve">, and </w:t>
      </w:r>
      <w:r w:rsidR="00E718CD" w:rsidRPr="00C928D8">
        <w:rPr>
          <w:rFonts w:asciiTheme="minorHAnsi" w:hAnsiTheme="minorHAnsi" w:cstheme="minorHAnsi"/>
        </w:rPr>
        <w:t xml:space="preserve">by </w:t>
      </w:r>
      <w:r w:rsidR="00C6384E" w:rsidRPr="00C928D8">
        <w:rPr>
          <w:rFonts w:asciiTheme="minorHAnsi" w:hAnsiTheme="minorHAnsi" w:cstheme="minorHAnsi"/>
        </w:rPr>
        <w:t>3</w:t>
      </w:r>
      <w:r w:rsidR="00060B61" w:rsidRPr="00C928D8">
        <w:rPr>
          <w:rFonts w:asciiTheme="minorHAnsi" w:hAnsiTheme="minorHAnsi" w:cstheme="minorHAnsi"/>
        </w:rPr>
        <w:t>.</w:t>
      </w:r>
      <w:r w:rsidR="005537E5" w:rsidRPr="00C928D8">
        <w:rPr>
          <w:rFonts w:asciiTheme="minorHAnsi" w:hAnsiTheme="minorHAnsi" w:cstheme="minorHAnsi"/>
        </w:rPr>
        <w:t>3</w:t>
      </w:r>
      <w:r w:rsidR="00C6384E" w:rsidRPr="00C928D8">
        <w:rPr>
          <w:rFonts w:asciiTheme="minorHAnsi" w:hAnsiTheme="minorHAnsi" w:cstheme="minorHAnsi"/>
        </w:rPr>
        <w:t xml:space="preserve"> percent in 2025</w:t>
      </w:r>
      <w:r w:rsidR="00060B61" w:rsidRPr="00C928D8">
        <w:rPr>
          <w:rFonts w:asciiTheme="minorHAnsi" w:hAnsiTheme="minorHAnsi" w:cstheme="minorHAnsi"/>
        </w:rPr>
        <w:t xml:space="preserve"> (compared with 3.</w:t>
      </w:r>
      <w:r w:rsidR="005537E5" w:rsidRPr="00C928D8">
        <w:rPr>
          <w:rFonts w:asciiTheme="minorHAnsi" w:hAnsiTheme="minorHAnsi" w:cstheme="minorHAnsi"/>
        </w:rPr>
        <w:t>4</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w:t>
      </w:r>
      <w:r w:rsidR="005A37A5" w:rsidRPr="00C928D8">
        <w:rPr>
          <w:rFonts w:asciiTheme="minorHAnsi" w:hAnsiTheme="minorHAnsi" w:cstheme="minorHAnsi"/>
        </w:rPr>
        <w:t xml:space="preserve"> </w:t>
      </w:r>
      <w:r w:rsidR="005537E5" w:rsidRPr="00C928D8">
        <w:rPr>
          <w:rFonts w:asciiTheme="minorHAnsi" w:hAnsiTheme="minorHAnsi" w:cstheme="minorHAnsi"/>
        </w:rPr>
        <w:t>Investment houses’</w:t>
      </w:r>
      <w:r w:rsidR="005A37A5" w:rsidRPr="00C928D8">
        <w:rPr>
          <w:rFonts w:asciiTheme="minorHAnsi" w:hAnsiTheme="minorHAnsi" w:cstheme="minorHAnsi"/>
        </w:rPr>
        <w:t xml:space="preserve"> inflation forecasts for the advanced economies </w:t>
      </w:r>
      <w:r w:rsidR="00060B61" w:rsidRPr="00C928D8">
        <w:rPr>
          <w:rFonts w:asciiTheme="minorHAnsi" w:hAnsiTheme="minorHAnsi" w:cstheme="minorHAnsi"/>
        </w:rPr>
        <w:t xml:space="preserve">for 2024 </w:t>
      </w:r>
      <w:r w:rsidR="00550958" w:rsidRPr="00C928D8">
        <w:rPr>
          <w:rFonts w:asciiTheme="minorHAnsi" w:hAnsiTheme="minorHAnsi" w:cstheme="minorHAnsi"/>
        </w:rPr>
        <w:t>were revised</w:t>
      </w:r>
      <w:r w:rsidR="00060B61" w:rsidRPr="00C928D8">
        <w:rPr>
          <w:rFonts w:asciiTheme="minorHAnsi" w:hAnsiTheme="minorHAnsi" w:cstheme="minorHAnsi"/>
        </w:rPr>
        <w:t xml:space="preserve"> </w:t>
      </w:r>
      <w:r w:rsidR="005537E5" w:rsidRPr="00C928D8">
        <w:rPr>
          <w:rFonts w:asciiTheme="minorHAnsi" w:hAnsiTheme="minorHAnsi" w:cstheme="minorHAnsi"/>
        </w:rPr>
        <w:t xml:space="preserve">upward </w:t>
      </w:r>
      <w:r w:rsidR="00060B61" w:rsidRPr="00C928D8">
        <w:rPr>
          <w:rFonts w:asciiTheme="minorHAnsi" w:hAnsiTheme="minorHAnsi" w:cstheme="minorHAnsi"/>
        </w:rPr>
        <w:t>to 2.</w:t>
      </w:r>
      <w:r w:rsidR="005537E5" w:rsidRPr="00C928D8">
        <w:rPr>
          <w:rFonts w:asciiTheme="minorHAnsi" w:hAnsiTheme="minorHAnsi" w:cstheme="minorHAnsi"/>
        </w:rPr>
        <w:t>6</w:t>
      </w:r>
      <w:r w:rsidR="00060B61" w:rsidRPr="00C928D8">
        <w:rPr>
          <w:rFonts w:asciiTheme="minorHAnsi" w:hAnsiTheme="minorHAnsi" w:cstheme="minorHAnsi"/>
        </w:rPr>
        <w:t xml:space="preserve"> percent (compared with </w:t>
      </w:r>
      <w:r w:rsidR="00D166DB" w:rsidRPr="00C928D8">
        <w:rPr>
          <w:rFonts w:asciiTheme="minorHAnsi" w:hAnsiTheme="minorHAnsi" w:cstheme="minorHAnsi"/>
        </w:rPr>
        <w:t>2.</w:t>
      </w:r>
      <w:r w:rsidR="005537E5" w:rsidRPr="00C928D8">
        <w:rPr>
          <w:rFonts w:asciiTheme="minorHAnsi" w:hAnsiTheme="minorHAnsi" w:cstheme="minorHAnsi"/>
        </w:rPr>
        <w:t>4</w:t>
      </w:r>
      <w:r w:rsidR="00D166DB" w:rsidRPr="00C928D8">
        <w:rPr>
          <w:rFonts w:asciiTheme="minorHAnsi" w:hAnsiTheme="minorHAnsi" w:cstheme="minorHAnsi"/>
        </w:rPr>
        <w:t xml:space="preserve"> percent in </w:t>
      </w:r>
      <w:r w:rsidR="00550958" w:rsidRPr="00C928D8">
        <w:rPr>
          <w:rFonts w:asciiTheme="minorHAnsi" w:hAnsiTheme="minorHAnsi" w:cstheme="minorHAnsi"/>
        </w:rPr>
        <w:t xml:space="preserve">the </w:t>
      </w:r>
      <w:r w:rsidR="005537E5" w:rsidRPr="00C928D8">
        <w:rPr>
          <w:rFonts w:asciiTheme="minorHAnsi" w:hAnsiTheme="minorHAnsi" w:cstheme="minorHAnsi"/>
        </w:rPr>
        <w:t>April</w:t>
      </w:r>
      <w:r w:rsidR="00550958" w:rsidRPr="00C928D8">
        <w:rPr>
          <w:rFonts w:asciiTheme="minorHAnsi" w:hAnsiTheme="minorHAnsi" w:cstheme="minorHAnsi"/>
        </w:rPr>
        <w:t xml:space="preserve"> for</w:t>
      </w:r>
      <w:r w:rsidR="00C6384E" w:rsidRPr="00C928D8">
        <w:rPr>
          <w:rFonts w:asciiTheme="minorHAnsi" w:hAnsiTheme="minorHAnsi" w:cstheme="minorHAnsi"/>
        </w:rPr>
        <w:t>ecast)</w:t>
      </w:r>
      <w:r w:rsidR="00060B61" w:rsidRPr="00C928D8">
        <w:rPr>
          <w:rFonts w:asciiTheme="minorHAnsi" w:hAnsiTheme="minorHAnsi" w:cstheme="minorHAnsi"/>
        </w:rPr>
        <w:t xml:space="preserve">, and the forecast for </w:t>
      </w:r>
      <w:r w:rsidR="00C6384E" w:rsidRPr="00C928D8">
        <w:rPr>
          <w:rFonts w:asciiTheme="minorHAnsi" w:hAnsiTheme="minorHAnsi" w:cstheme="minorHAnsi"/>
        </w:rPr>
        <w:t xml:space="preserve">2025 </w:t>
      </w:r>
      <w:r w:rsidR="00060B61" w:rsidRPr="00C928D8">
        <w:rPr>
          <w:rFonts w:asciiTheme="minorHAnsi" w:hAnsiTheme="minorHAnsi" w:cstheme="minorHAnsi"/>
        </w:rPr>
        <w:t>is</w:t>
      </w:r>
      <w:r w:rsidR="00C6384E" w:rsidRPr="00C928D8">
        <w:rPr>
          <w:rFonts w:asciiTheme="minorHAnsi" w:hAnsiTheme="minorHAnsi" w:cstheme="minorHAnsi"/>
        </w:rPr>
        <w:t xml:space="preserve"> 2.</w:t>
      </w:r>
      <w:r w:rsidR="005537E5" w:rsidRPr="00C928D8">
        <w:rPr>
          <w:rFonts w:asciiTheme="minorHAnsi" w:hAnsiTheme="minorHAnsi" w:cstheme="minorHAnsi"/>
        </w:rPr>
        <w:t>1</w:t>
      </w:r>
      <w:r w:rsidR="00C6384E" w:rsidRPr="00C928D8">
        <w:rPr>
          <w:rFonts w:asciiTheme="minorHAnsi" w:hAnsiTheme="minorHAnsi" w:cstheme="minorHAnsi"/>
        </w:rPr>
        <w:t xml:space="preserve"> percent</w:t>
      </w:r>
      <w:r w:rsidR="00060B61" w:rsidRPr="00C928D8">
        <w:rPr>
          <w:rFonts w:asciiTheme="minorHAnsi" w:hAnsiTheme="minorHAnsi" w:cstheme="minorHAnsi"/>
        </w:rPr>
        <w:t xml:space="preserve"> (</w:t>
      </w:r>
      <w:r w:rsidR="005537E5" w:rsidRPr="00C928D8">
        <w:rPr>
          <w:rFonts w:asciiTheme="minorHAnsi" w:hAnsiTheme="minorHAnsi" w:cstheme="minorHAnsi"/>
        </w:rPr>
        <w:t>compared to 2.2 percent</w:t>
      </w:r>
      <w:r w:rsidR="00060B61" w:rsidRPr="00C928D8">
        <w:rPr>
          <w:rFonts w:asciiTheme="minorHAnsi" w:hAnsiTheme="minorHAnsi" w:cstheme="minorHAnsi"/>
        </w:rPr>
        <w:t xml:space="preserve"> </w:t>
      </w:r>
      <w:r w:rsidR="005537E5" w:rsidRPr="00C928D8">
        <w:rPr>
          <w:rFonts w:asciiTheme="minorHAnsi" w:hAnsiTheme="minorHAnsi" w:cstheme="minorHAnsi"/>
        </w:rPr>
        <w:t>in</w:t>
      </w:r>
      <w:r w:rsidR="00060B61" w:rsidRPr="00C928D8">
        <w:rPr>
          <w:rFonts w:asciiTheme="minorHAnsi" w:hAnsiTheme="minorHAnsi" w:cstheme="minorHAnsi"/>
        </w:rPr>
        <w:t xml:space="preserve">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C6384E" w:rsidRPr="00C928D8">
        <w:rPr>
          <w:rFonts w:asciiTheme="minorHAnsi" w:hAnsiTheme="minorHAnsi" w:cstheme="minorHAnsi"/>
        </w:rPr>
        <w:t xml:space="preserve">. </w:t>
      </w:r>
      <w:r w:rsidR="00D166DB" w:rsidRPr="00C928D8">
        <w:rPr>
          <w:rFonts w:asciiTheme="minorHAnsi" w:hAnsiTheme="minorHAnsi" w:cstheme="minorHAnsi"/>
        </w:rPr>
        <w:t xml:space="preserve">Investment houses’ forecasts of </w:t>
      </w:r>
      <w:r w:rsidR="00550958" w:rsidRPr="00C928D8">
        <w:rPr>
          <w:rFonts w:asciiTheme="minorHAnsi" w:hAnsiTheme="minorHAnsi" w:cstheme="minorHAnsi"/>
        </w:rPr>
        <w:t xml:space="preserve">the </w:t>
      </w:r>
      <w:r w:rsidR="00D166DB" w:rsidRPr="00C928D8">
        <w:rPr>
          <w:rFonts w:asciiTheme="minorHAnsi" w:hAnsiTheme="minorHAnsi" w:cstheme="minorHAnsi"/>
        </w:rPr>
        <w:t xml:space="preserve">average </w:t>
      </w:r>
      <w:r w:rsidR="00550958" w:rsidRPr="00C928D8">
        <w:rPr>
          <w:rFonts w:asciiTheme="minorHAnsi" w:hAnsiTheme="minorHAnsi" w:cstheme="minorHAnsi"/>
        </w:rPr>
        <w:t>interest rate</w:t>
      </w:r>
      <w:r w:rsidR="00D166DB" w:rsidRPr="00C928D8">
        <w:rPr>
          <w:rFonts w:asciiTheme="minorHAnsi" w:hAnsiTheme="minorHAnsi" w:cstheme="minorHAnsi"/>
        </w:rPr>
        <w:t xml:space="preserve"> in the advanced economies </w:t>
      </w:r>
      <w:r w:rsidR="00060B61" w:rsidRPr="00C928D8">
        <w:rPr>
          <w:rFonts w:asciiTheme="minorHAnsi" w:hAnsiTheme="minorHAnsi" w:cstheme="minorHAnsi"/>
        </w:rPr>
        <w:t>were</w:t>
      </w:r>
      <w:r w:rsidR="005537E5" w:rsidRPr="00C928D8">
        <w:rPr>
          <w:rFonts w:asciiTheme="minorHAnsi" w:hAnsiTheme="minorHAnsi" w:cstheme="minorHAnsi"/>
        </w:rPr>
        <w:t xml:space="preserve"> also revised upward</w:t>
      </w:r>
      <w:r w:rsidR="00060B61" w:rsidRPr="00C928D8">
        <w:rPr>
          <w:rFonts w:asciiTheme="minorHAnsi" w:hAnsiTheme="minorHAnsi" w:cstheme="minorHAnsi"/>
        </w:rPr>
        <w:t xml:space="preserve">, to </w:t>
      </w:r>
      <w:r w:rsidR="005537E5" w:rsidRPr="00C928D8">
        <w:rPr>
          <w:rFonts w:asciiTheme="minorHAnsi" w:hAnsiTheme="minorHAnsi" w:cstheme="minorHAnsi"/>
        </w:rPr>
        <w:t>4.1</w:t>
      </w:r>
      <w:r w:rsidR="00D166DB" w:rsidRPr="00C928D8">
        <w:rPr>
          <w:rFonts w:asciiTheme="minorHAnsi" w:hAnsiTheme="minorHAnsi" w:cstheme="minorHAnsi"/>
        </w:rPr>
        <w:t xml:space="preserve"> percent at the end of 2024 (</w:t>
      </w:r>
      <w:r w:rsidR="00060B61" w:rsidRPr="00C928D8">
        <w:rPr>
          <w:rFonts w:asciiTheme="minorHAnsi" w:hAnsiTheme="minorHAnsi" w:cstheme="minorHAnsi"/>
        </w:rPr>
        <w:t xml:space="preserve">compared to </w:t>
      </w:r>
      <w:r w:rsidR="005537E5" w:rsidRPr="00C928D8">
        <w:rPr>
          <w:rFonts w:asciiTheme="minorHAnsi" w:hAnsiTheme="minorHAnsi" w:cstheme="minorHAnsi"/>
        </w:rPr>
        <w:t>3.8</w:t>
      </w:r>
      <w:r w:rsidR="00060B61" w:rsidRPr="00C928D8">
        <w:rPr>
          <w:rFonts w:asciiTheme="minorHAnsi" w:hAnsiTheme="minorHAnsi" w:cstheme="minorHAnsi"/>
        </w:rPr>
        <w:t xml:space="preserve"> percent in </w:t>
      </w:r>
      <w:r w:rsidR="00550958" w:rsidRPr="00C928D8">
        <w:rPr>
          <w:rFonts w:asciiTheme="minorHAnsi" w:hAnsiTheme="minorHAnsi" w:cstheme="minorHAnsi"/>
        </w:rPr>
        <w:t xml:space="preserve">the </w:t>
      </w:r>
      <w:r w:rsidR="005537E5" w:rsidRPr="00C928D8">
        <w:rPr>
          <w:rFonts w:asciiTheme="minorHAnsi" w:hAnsiTheme="minorHAnsi" w:cstheme="minorHAnsi"/>
        </w:rPr>
        <w:t>April</w:t>
      </w:r>
      <w:r w:rsidR="00D166DB" w:rsidRPr="00C928D8">
        <w:rPr>
          <w:rFonts w:asciiTheme="minorHAnsi" w:hAnsiTheme="minorHAnsi" w:cstheme="minorHAnsi"/>
        </w:rPr>
        <w:t xml:space="preserve"> forecast)</w:t>
      </w:r>
      <w:r w:rsidR="00C6384E" w:rsidRPr="00C928D8">
        <w:rPr>
          <w:rFonts w:asciiTheme="minorHAnsi" w:hAnsiTheme="minorHAnsi" w:cstheme="minorHAnsi"/>
        </w:rPr>
        <w:t xml:space="preserve"> and 3.</w:t>
      </w:r>
      <w:r w:rsidR="005537E5" w:rsidRPr="00C928D8">
        <w:rPr>
          <w:rFonts w:asciiTheme="minorHAnsi" w:hAnsiTheme="minorHAnsi" w:cstheme="minorHAnsi"/>
        </w:rPr>
        <w:t>2</w:t>
      </w:r>
      <w:r w:rsidR="00C6384E" w:rsidRPr="00C928D8">
        <w:rPr>
          <w:rFonts w:asciiTheme="minorHAnsi" w:hAnsiTheme="minorHAnsi" w:cstheme="minorHAnsi"/>
        </w:rPr>
        <w:t xml:space="preserve"> percent at the end of 2025</w:t>
      </w:r>
      <w:r w:rsidR="00060B61" w:rsidRPr="00C928D8">
        <w:rPr>
          <w:rFonts w:asciiTheme="minorHAnsi" w:hAnsiTheme="minorHAnsi" w:cstheme="minorHAnsi"/>
        </w:rPr>
        <w:t xml:space="preserve"> (compared to 3.</w:t>
      </w:r>
      <w:r w:rsidR="005537E5" w:rsidRPr="00C928D8">
        <w:rPr>
          <w:rFonts w:asciiTheme="minorHAnsi" w:hAnsiTheme="minorHAnsi" w:cstheme="minorHAnsi"/>
        </w:rPr>
        <w:t>0</w:t>
      </w:r>
      <w:r w:rsidR="00060B61" w:rsidRPr="00C928D8">
        <w:rPr>
          <w:rFonts w:asciiTheme="minorHAnsi" w:hAnsiTheme="minorHAnsi" w:cstheme="minorHAnsi"/>
        </w:rPr>
        <w:t xml:space="preserve"> percent in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D166DB" w:rsidRPr="00C928D8">
        <w:rPr>
          <w:rFonts w:asciiTheme="minorHAnsi" w:hAnsiTheme="minorHAnsi" w:cstheme="minorHAnsi"/>
        </w:rPr>
        <w:t>.</w:t>
      </w:r>
      <w:r w:rsidR="00060B61" w:rsidRPr="00C928D8">
        <w:rPr>
          <w:rFonts w:asciiTheme="minorHAnsi" w:hAnsiTheme="minorHAnsi" w:cstheme="minorHAnsi"/>
        </w:rPr>
        <w:t xml:space="preserve"> T</w:t>
      </w:r>
      <w:r w:rsidR="008F34C7" w:rsidRPr="00C928D8">
        <w:rPr>
          <w:rFonts w:asciiTheme="minorHAnsi" w:hAnsiTheme="minorHAnsi" w:cstheme="minorHAnsi"/>
        </w:rPr>
        <w:t xml:space="preserve">he price of Brent crude oil </w:t>
      </w:r>
      <w:r w:rsidR="005537E5" w:rsidRPr="00C928D8">
        <w:rPr>
          <w:rFonts w:asciiTheme="minorHAnsi" w:hAnsiTheme="minorHAnsi" w:cstheme="minorHAnsi"/>
        </w:rPr>
        <w:t>declined</w:t>
      </w:r>
      <w:r w:rsidR="00060B61" w:rsidRPr="00C928D8">
        <w:rPr>
          <w:rFonts w:asciiTheme="minorHAnsi" w:hAnsiTheme="minorHAnsi" w:cstheme="minorHAnsi"/>
        </w:rPr>
        <w:t xml:space="preserve"> </w:t>
      </w:r>
      <w:r w:rsidR="00003666" w:rsidRPr="00C928D8">
        <w:rPr>
          <w:rFonts w:asciiTheme="minorHAnsi" w:hAnsiTheme="minorHAnsi" w:cstheme="minorHAnsi"/>
        </w:rPr>
        <w:t xml:space="preserve">slightly </w:t>
      </w:r>
      <w:r w:rsidR="00060B61" w:rsidRPr="00C928D8">
        <w:rPr>
          <w:rFonts w:asciiTheme="minorHAnsi" w:hAnsiTheme="minorHAnsi" w:cstheme="minorHAnsi"/>
        </w:rPr>
        <w:t>to $</w:t>
      </w:r>
      <w:r w:rsidR="005537E5" w:rsidRPr="00C928D8">
        <w:rPr>
          <w:rFonts w:asciiTheme="minorHAnsi" w:hAnsiTheme="minorHAnsi" w:cstheme="minorHAnsi"/>
        </w:rPr>
        <w:t>8</w:t>
      </w:r>
      <w:r w:rsidR="00003666" w:rsidRPr="00C928D8">
        <w:rPr>
          <w:rFonts w:asciiTheme="minorHAnsi" w:hAnsiTheme="minorHAnsi" w:cstheme="minorHAnsi"/>
        </w:rPr>
        <w:t xml:space="preserve">7 </w:t>
      </w:r>
      <w:r w:rsidR="00060B61" w:rsidRPr="00C928D8">
        <w:rPr>
          <w:rFonts w:asciiTheme="minorHAnsi" w:hAnsiTheme="minorHAnsi" w:cstheme="minorHAnsi"/>
        </w:rPr>
        <w:t xml:space="preserve">per barrel, compared with </w:t>
      </w:r>
      <w:r w:rsidR="00C6384E" w:rsidRPr="00C928D8">
        <w:rPr>
          <w:rFonts w:asciiTheme="minorHAnsi" w:hAnsiTheme="minorHAnsi" w:cstheme="minorHAnsi"/>
        </w:rPr>
        <w:t>around</w:t>
      </w:r>
      <w:r w:rsidR="008F34C7" w:rsidRPr="00C928D8">
        <w:rPr>
          <w:rFonts w:asciiTheme="minorHAnsi" w:hAnsiTheme="minorHAnsi" w:cstheme="minorHAnsi"/>
        </w:rPr>
        <w:t xml:space="preserve"> $</w:t>
      </w:r>
      <w:r w:rsidR="005537E5" w:rsidRPr="00C928D8">
        <w:rPr>
          <w:rFonts w:asciiTheme="minorHAnsi" w:hAnsiTheme="minorHAnsi" w:cstheme="minorHAnsi"/>
        </w:rPr>
        <w:t>90</w:t>
      </w:r>
      <w:r w:rsidR="00060B61" w:rsidRPr="00C928D8">
        <w:rPr>
          <w:rFonts w:asciiTheme="minorHAnsi" w:hAnsiTheme="minorHAnsi" w:cstheme="minorHAnsi"/>
        </w:rPr>
        <w:t xml:space="preserve"> at the time of the </w:t>
      </w:r>
      <w:r w:rsidR="005537E5" w:rsidRPr="00C928D8">
        <w:rPr>
          <w:rFonts w:asciiTheme="minorHAnsi" w:hAnsiTheme="minorHAnsi" w:cstheme="minorHAnsi"/>
        </w:rPr>
        <w:t>April</w:t>
      </w:r>
      <w:r w:rsidR="00060B61" w:rsidRPr="00C928D8">
        <w:rPr>
          <w:rFonts w:asciiTheme="minorHAnsi" w:hAnsiTheme="minorHAnsi" w:cstheme="minorHAnsi"/>
        </w:rPr>
        <w:t xml:space="preserve"> forecast</w:t>
      </w:r>
      <w:r w:rsidR="00323260" w:rsidRPr="00C928D8">
        <w:rPr>
          <w:rFonts w:asciiTheme="minorHAnsi" w:hAnsiTheme="minorHAnsi" w:cstheme="minorHAnsi"/>
        </w:rPr>
        <w:t>.</w:t>
      </w:r>
    </w:p>
    <w:p w14:paraId="7E508D40" w14:textId="77777777" w:rsidR="00D52059" w:rsidRPr="00C928D8" w:rsidRDefault="00D52059" w:rsidP="00C928D8">
      <w:pPr>
        <w:bidi w:val="0"/>
        <w:spacing w:line="360" w:lineRule="auto"/>
        <w:jc w:val="both"/>
        <w:rPr>
          <w:rFonts w:asciiTheme="minorHAnsi" w:hAnsiTheme="minorHAnsi" w:cstheme="minorHAnsi"/>
        </w:rPr>
      </w:pPr>
    </w:p>
    <w:p w14:paraId="26E94EE2"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Real activity in Israel</w:t>
      </w:r>
    </w:p>
    <w:p w14:paraId="5F8407F2" w14:textId="50D209A9" w:rsidR="00F1274A" w:rsidRPr="00C928D8" w:rsidRDefault="00323260" w:rsidP="00C928D8">
      <w:pPr>
        <w:bidi w:val="0"/>
        <w:spacing w:line="360" w:lineRule="auto"/>
        <w:jc w:val="both"/>
        <w:rPr>
          <w:rFonts w:asciiTheme="minorHAnsi" w:hAnsiTheme="minorHAnsi" w:cstheme="minorHAnsi"/>
        </w:rPr>
      </w:pPr>
      <w:r w:rsidRPr="00C928D8">
        <w:rPr>
          <w:rFonts w:asciiTheme="minorHAnsi" w:hAnsiTheme="minorHAnsi" w:cstheme="minorHAnsi"/>
          <w:b/>
          <w:bCs/>
        </w:rPr>
        <w:t xml:space="preserve">GDP is expected to grow by </w:t>
      </w:r>
      <w:r w:rsidR="005537E5" w:rsidRPr="00C928D8">
        <w:rPr>
          <w:rFonts w:asciiTheme="minorHAnsi" w:hAnsiTheme="minorHAnsi" w:cstheme="minorHAnsi"/>
          <w:b/>
          <w:bCs/>
        </w:rPr>
        <w:t>1.5</w:t>
      </w:r>
      <w:r w:rsidRPr="00C928D8">
        <w:rPr>
          <w:rFonts w:asciiTheme="minorHAnsi" w:hAnsiTheme="minorHAnsi" w:cstheme="minorHAnsi"/>
          <w:b/>
          <w:bCs/>
        </w:rPr>
        <w:t xml:space="preserve"> percent in 2024 </w:t>
      </w:r>
      <w:r w:rsidR="000003FE" w:rsidRPr="00C928D8">
        <w:rPr>
          <w:rFonts w:asciiTheme="minorHAnsi" w:hAnsiTheme="minorHAnsi" w:cstheme="minorHAnsi"/>
          <w:b/>
          <w:bCs/>
        </w:rPr>
        <w:t xml:space="preserve">and by </w:t>
      </w:r>
      <w:r w:rsidR="005537E5" w:rsidRPr="00C928D8">
        <w:rPr>
          <w:rFonts w:asciiTheme="minorHAnsi" w:hAnsiTheme="minorHAnsi" w:cstheme="minorHAnsi"/>
          <w:b/>
          <w:bCs/>
        </w:rPr>
        <w:t>4.2</w:t>
      </w:r>
      <w:r w:rsidR="000003FE" w:rsidRPr="00C928D8">
        <w:rPr>
          <w:rFonts w:asciiTheme="minorHAnsi" w:hAnsiTheme="minorHAnsi" w:cstheme="minorHAnsi"/>
          <w:b/>
          <w:bCs/>
        </w:rPr>
        <w:t xml:space="preserve"> percent in 2025</w:t>
      </w:r>
      <w:r w:rsidR="000003FE" w:rsidRPr="00C928D8">
        <w:rPr>
          <w:rFonts w:asciiTheme="minorHAnsi" w:hAnsiTheme="minorHAnsi" w:cstheme="minorHAnsi"/>
        </w:rPr>
        <w:t xml:space="preserve"> </w:t>
      </w:r>
      <w:r w:rsidRPr="00C928D8">
        <w:rPr>
          <w:rFonts w:asciiTheme="minorHAnsi" w:hAnsiTheme="minorHAnsi" w:cstheme="minorHAnsi"/>
        </w:rPr>
        <w:t xml:space="preserve">(Table 1). </w:t>
      </w:r>
    </w:p>
    <w:p w14:paraId="6731B291" w14:textId="77777777" w:rsidR="00F1274A" w:rsidRPr="00C928D8" w:rsidRDefault="00F1274A" w:rsidP="00C928D8">
      <w:pPr>
        <w:bidi w:val="0"/>
        <w:spacing w:line="360" w:lineRule="auto"/>
        <w:jc w:val="both"/>
        <w:rPr>
          <w:rFonts w:asciiTheme="minorHAnsi" w:hAnsiTheme="minorHAnsi" w:cstheme="minorHAnsi"/>
        </w:rPr>
      </w:pPr>
    </w:p>
    <w:p w14:paraId="31475583" w14:textId="4E29A908" w:rsidR="00955DCC" w:rsidRPr="00C928D8" w:rsidRDefault="00F1274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The forecast is based on the assumption that </w:t>
      </w:r>
      <w:r w:rsidR="008839C3" w:rsidRPr="00C928D8">
        <w:rPr>
          <w:rFonts w:asciiTheme="minorHAnsi" w:hAnsiTheme="minorHAnsi" w:cstheme="minorHAnsi"/>
        </w:rPr>
        <w:t>t</w:t>
      </w:r>
      <w:r w:rsidRPr="00C928D8">
        <w:rPr>
          <w:rFonts w:asciiTheme="minorHAnsi" w:hAnsiTheme="minorHAnsi" w:cstheme="minorHAnsi"/>
        </w:rPr>
        <w:t>he war’s direct impact on the economy</w:t>
      </w:r>
      <w:r w:rsidR="005537E5" w:rsidRPr="00C928D8">
        <w:rPr>
          <w:rFonts w:asciiTheme="minorHAnsi" w:hAnsiTheme="minorHAnsi" w:cstheme="minorHAnsi"/>
        </w:rPr>
        <w:t>, including all fronts,</w:t>
      </w:r>
      <w:r w:rsidRPr="00C928D8">
        <w:rPr>
          <w:rFonts w:asciiTheme="minorHAnsi" w:hAnsiTheme="minorHAnsi" w:cstheme="minorHAnsi"/>
        </w:rPr>
        <w:t xml:space="preserve"> </w:t>
      </w:r>
      <w:r w:rsidR="005537E5" w:rsidRPr="00C928D8">
        <w:rPr>
          <w:rFonts w:asciiTheme="minorHAnsi" w:hAnsiTheme="minorHAnsi" w:cstheme="minorHAnsi"/>
        </w:rPr>
        <w:t>will continue until the beginning of 2025.  Compared to the previous forecast in April</w:t>
      </w:r>
      <w:r w:rsidR="00955DCC" w:rsidRPr="00C928D8">
        <w:rPr>
          <w:rFonts w:asciiTheme="minorHAnsi" w:hAnsiTheme="minorHAnsi" w:cstheme="minorHAnsi"/>
        </w:rPr>
        <w:t>, the growth forecast was revised downward, mainly due to a revision of the assumption regarding the intensity and duration of the fighting, and in view of the downward surprise in some of the data obtained since April—mainly regarding the developments in April and May.  In addition, in view of the continuation of the fighting, the recovery of economic activity during 2025 is expected to be more gradual.</w:t>
      </w:r>
    </w:p>
    <w:p w14:paraId="7ADBE864" w14:textId="616F4C06" w:rsidR="00955DCC" w:rsidRPr="00C928D8" w:rsidRDefault="00955DCC" w:rsidP="00C928D8">
      <w:pPr>
        <w:bidi w:val="0"/>
        <w:spacing w:line="360" w:lineRule="auto"/>
        <w:jc w:val="both"/>
        <w:rPr>
          <w:rFonts w:asciiTheme="minorHAnsi" w:hAnsiTheme="minorHAnsi" w:cstheme="minorHAnsi"/>
        </w:rPr>
      </w:pPr>
    </w:p>
    <w:p w14:paraId="05C45A39" w14:textId="5E0B0346" w:rsidR="00955DCC" w:rsidRPr="00C928D8" w:rsidRDefault="00955DCC"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As long as the fighting lasts, GDP growth is expected to be impaired both on the supply side and on the demand side.  On the supply side, while </w:t>
      </w:r>
      <w:r w:rsidR="000B4DDD" w:rsidRPr="00C928D8">
        <w:rPr>
          <w:rFonts w:asciiTheme="minorHAnsi" w:hAnsiTheme="minorHAnsi" w:cstheme="minorHAnsi"/>
        </w:rPr>
        <w:t>fewer</w:t>
      </w:r>
      <w:r w:rsidRPr="00C928D8">
        <w:rPr>
          <w:rFonts w:asciiTheme="minorHAnsi" w:hAnsiTheme="minorHAnsi" w:cstheme="minorHAnsi"/>
        </w:rPr>
        <w:t xml:space="preserve"> reserve soldiers </w:t>
      </w:r>
      <w:r w:rsidR="000B4DDD" w:rsidRPr="00C928D8">
        <w:rPr>
          <w:rFonts w:asciiTheme="minorHAnsi" w:hAnsiTheme="minorHAnsi" w:cstheme="minorHAnsi"/>
        </w:rPr>
        <w:t>are currently mobilized</w:t>
      </w:r>
      <w:r w:rsidRPr="00C928D8">
        <w:rPr>
          <w:rFonts w:asciiTheme="minorHAnsi" w:hAnsiTheme="minorHAnsi" w:cstheme="minorHAnsi"/>
        </w:rPr>
        <w:t xml:space="preserve"> than at the beginning of the war, </w:t>
      </w:r>
      <w:r w:rsidR="000B4DDD" w:rsidRPr="00C928D8">
        <w:rPr>
          <w:rFonts w:asciiTheme="minorHAnsi" w:hAnsiTheme="minorHAnsi" w:cstheme="minorHAnsi"/>
        </w:rPr>
        <w:t>reserve mobilization</w:t>
      </w:r>
      <w:r w:rsidRPr="00C928D8">
        <w:rPr>
          <w:rFonts w:asciiTheme="minorHAnsi" w:hAnsiTheme="minorHAnsi" w:cstheme="minorHAnsi"/>
        </w:rPr>
        <w:t xml:space="preserve"> continues to impair the supply of labor in all industries.  </w:t>
      </w:r>
      <w:r w:rsidR="000B4DDD" w:rsidRPr="00C928D8">
        <w:rPr>
          <w:rFonts w:asciiTheme="minorHAnsi" w:hAnsiTheme="minorHAnsi" w:cstheme="minorHAnsi"/>
        </w:rPr>
        <w:t>L</w:t>
      </w:r>
      <w:r w:rsidR="00887FE6" w:rsidRPr="00C928D8">
        <w:rPr>
          <w:rFonts w:asciiTheme="minorHAnsi" w:hAnsiTheme="minorHAnsi" w:cstheme="minorHAnsi"/>
        </w:rPr>
        <w:t xml:space="preserve">abor supply </w:t>
      </w:r>
      <w:r w:rsidR="000B4DDD" w:rsidRPr="00C928D8">
        <w:rPr>
          <w:rFonts w:asciiTheme="minorHAnsi" w:hAnsiTheme="minorHAnsi" w:cstheme="minorHAnsi"/>
        </w:rPr>
        <w:t xml:space="preserve">is a particular problem </w:t>
      </w:r>
      <w:r w:rsidRPr="00C928D8">
        <w:rPr>
          <w:rFonts w:asciiTheme="minorHAnsi" w:hAnsiTheme="minorHAnsi" w:cstheme="minorHAnsi"/>
        </w:rPr>
        <w:t xml:space="preserve">in the construction industry, due to the significant restrictions on the entry of Palestinian laborers from Judea and Samaria and the complete halt to the employment of laborers from Gaza.  Our assessment in this forecast is that the recovery in the supply of labor will take longer, in view of the revision to our assumption regarding the intensity of the fighting during the forecast period.  This is due to the need for greater and longer mobilization of reserve soldiers, and due to the assessment that it will take longer to solve the shortage of laborers in the construction </w:t>
      </w:r>
      <w:r w:rsidRPr="00C928D8">
        <w:rPr>
          <w:rFonts w:asciiTheme="minorHAnsi" w:hAnsiTheme="minorHAnsi" w:cstheme="minorHAnsi"/>
        </w:rPr>
        <w:lastRenderedPageBreak/>
        <w:t>industry.  In addition to the decline in the supply of labor, production capacity has been impaired in the combat and threatened areas due to the impact to physical capital and the ability to work.  The impact in the southern areas is declining in view of the gradual return of residents, while the evacuation of residents from the north is expected to continue for longer than our assessment in the April forecast was.</w:t>
      </w:r>
    </w:p>
    <w:p w14:paraId="474F26E8" w14:textId="7038AB4B" w:rsidR="00955DCC" w:rsidRPr="00C928D8" w:rsidRDefault="00955DCC" w:rsidP="00C928D8">
      <w:pPr>
        <w:bidi w:val="0"/>
        <w:spacing w:line="360" w:lineRule="auto"/>
        <w:jc w:val="both"/>
        <w:rPr>
          <w:rFonts w:asciiTheme="minorHAnsi" w:hAnsiTheme="minorHAnsi" w:cstheme="minorHAnsi"/>
        </w:rPr>
      </w:pPr>
    </w:p>
    <w:p w14:paraId="49104632" w14:textId="5F8AA86B" w:rsidR="001C0AC9" w:rsidRPr="00C928D8" w:rsidRDefault="001C0AC9" w:rsidP="00C928D8">
      <w:pPr>
        <w:bidi w:val="0"/>
        <w:spacing w:line="360" w:lineRule="auto"/>
        <w:jc w:val="both"/>
        <w:rPr>
          <w:rFonts w:asciiTheme="minorHAnsi" w:hAnsiTheme="minorHAnsi" w:cstheme="minorHAnsi"/>
        </w:rPr>
      </w:pPr>
      <w:r w:rsidRPr="00C928D8">
        <w:rPr>
          <w:rFonts w:asciiTheme="minorHAnsi" w:hAnsiTheme="minorHAnsi" w:cstheme="minorHAnsi"/>
        </w:rPr>
        <w:t>On the demand side, our assumption is that in 2025, the government will make significant adjustments to its budget, both on the expenditure side and on the revenue side, in order to restrain the increase in the debt to GDP ratio (details below).  The adjustments in government expenditures</w:t>
      </w:r>
      <w:r w:rsidR="004A0E7A" w:rsidRPr="00C928D8">
        <w:rPr>
          <w:rFonts w:asciiTheme="minorHAnsi" w:hAnsiTheme="minorHAnsi" w:cstheme="minorHAnsi"/>
        </w:rPr>
        <w:t xml:space="preserve"> and the decrease in defense expenditures</w:t>
      </w:r>
      <w:r w:rsidRPr="00C928D8">
        <w:rPr>
          <w:rFonts w:asciiTheme="minorHAnsi" w:hAnsiTheme="minorHAnsi" w:cstheme="minorHAnsi"/>
        </w:rPr>
        <w:t xml:space="preserve"> are expected to be reflected in a significant slowdown in public consumption in 2025, while tax increases are expected to restrain demand for private consumption.  In addition, demand for the export of tourism services (incoming tourism) has been significantly impacted, and experience from previous security incidents shows that this impact is expected to be prolonged, mainly insofar as the fighting on the various fronts continues.  In contrast, an increase in demand in the construction industry is expected within the forecast range, partly due to the need to rehabilitate buildings. </w:t>
      </w:r>
    </w:p>
    <w:p w14:paraId="248BED0D" w14:textId="2711D7A0" w:rsidR="001C0AC9" w:rsidRPr="00C928D8" w:rsidRDefault="001C0AC9" w:rsidP="00C928D8">
      <w:pPr>
        <w:bidi w:val="0"/>
        <w:spacing w:line="360" w:lineRule="auto"/>
        <w:jc w:val="both"/>
        <w:rPr>
          <w:rFonts w:asciiTheme="minorHAnsi" w:hAnsiTheme="minorHAnsi" w:cstheme="minorHAnsi"/>
        </w:rPr>
      </w:pPr>
    </w:p>
    <w:p w14:paraId="7289EF09" w14:textId="688C656C" w:rsidR="001C0AC9" w:rsidRPr="00C928D8" w:rsidRDefault="001C0AC9" w:rsidP="00C928D8">
      <w:pPr>
        <w:bidi w:val="0"/>
        <w:spacing w:line="360" w:lineRule="auto"/>
        <w:jc w:val="both"/>
        <w:rPr>
          <w:rFonts w:asciiTheme="minorHAnsi" w:hAnsiTheme="minorHAnsi" w:cstheme="minorHAnsi"/>
          <w:rtl/>
        </w:rPr>
      </w:pPr>
      <w:r w:rsidRPr="00C928D8">
        <w:rPr>
          <w:rFonts w:asciiTheme="minorHAnsi" w:hAnsiTheme="minorHAnsi" w:cstheme="minorHAnsi"/>
        </w:rPr>
        <w:t>In view of these developments, our assessment is that the broad unemployment rate among the main working ages will moderate only gradually, to 4.0 percent in 2024 and 3.8 percent in 2025.</w:t>
      </w:r>
      <w:r w:rsidRPr="00C928D8">
        <w:rPr>
          <w:rStyle w:val="ac"/>
          <w:rFonts w:asciiTheme="minorHAnsi" w:hAnsiTheme="minorHAnsi" w:cstheme="minorHAnsi"/>
        </w:rPr>
        <w:footnoteReference w:id="3"/>
      </w:r>
    </w:p>
    <w:p w14:paraId="0CB26712" w14:textId="77777777" w:rsidR="00BC0E38" w:rsidRPr="00C928D8" w:rsidRDefault="00BC0E38" w:rsidP="00C928D8">
      <w:pPr>
        <w:bidi w:val="0"/>
        <w:spacing w:line="360" w:lineRule="auto"/>
        <w:jc w:val="both"/>
        <w:rPr>
          <w:rFonts w:asciiTheme="minorHAnsi" w:hAnsiTheme="minorHAnsi" w:cstheme="minorHAnsi"/>
        </w:rPr>
      </w:pPr>
    </w:p>
    <w:p w14:paraId="6EADC545" w14:textId="47A50195" w:rsidR="001C0AC9" w:rsidRPr="00C928D8" w:rsidRDefault="003A247B" w:rsidP="00C928D8">
      <w:pPr>
        <w:bidi w:val="0"/>
        <w:spacing w:line="360" w:lineRule="auto"/>
        <w:jc w:val="both"/>
        <w:rPr>
          <w:rFonts w:asciiTheme="minorHAnsi" w:hAnsiTheme="minorHAnsi" w:cstheme="minorHAnsi"/>
        </w:rPr>
      </w:pPr>
      <w:r w:rsidRPr="00C928D8">
        <w:rPr>
          <w:rFonts w:asciiTheme="minorHAnsi" w:hAnsiTheme="minorHAnsi" w:cstheme="minorHAnsi"/>
          <w:b/>
          <w:bCs/>
        </w:rPr>
        <w:t>The government budget deficit is expected to be 6.</w:t>
      </w:r>
      <w:r w:rsidR="004B2862" w:rsidRPr="00C928D8">
        <w:rPr>
          <w:rFonts w:asciiTheme="minorHAnsi" w:hAnsiTheme="minorHAnsi" w:cstheme="minorHAnsi"/>
          <w:b/>
          <w:bCs/>
        </w:rPr>
        <w:t>6</w:t>
      </w:r>
      <w:r w:rsidRPr="00C928D8">
        <w:rPr>
          <w:rFonts w:asciiTheme="minorHAnsi" w:hAnsiTheme="minorHAnsi" w:cstheme="minorHAnsi"/>
          <w:b/>
          <w:bCs/>
        </w:rPr>
        <w:t xml:space="preserve"> percent of GDP in 2024 and 4.</w:t>
      </w:r>
      <w:r w:rsidR="001C0AC9" w:rsidRPr="00C928D8">
        <w:rPr>
          <w:rFonts w:asciiTheme="minorHAnsi" w:hAnsiTheme="minorHAnsi" w:cstheme="minorHAnsi"/>
          <w:b/>
          <w:bCs/>
        </w:rPr>
        <w:t xml:space="preserve">0 </w:t>
      </w:r>
      <w:r w:rsidRPr="00C928D8">
        <w:rPr>
          <w:rFonts w:asciiTheme="minorHAnsi" w:hAnsiTheme="minorHAnsi" w:cstheme="minorHAnsi"/>
          <w:b/>
          <w:bCs/>
        </w:rPr>
        <w:t xml:space="preserve">percent of GDP in 2025.  </w:t>
      </w:r>
      <w:r w:rsidR="001C0AC9" w:rsidRPr="00C928D8">
        <w:rPr>
          <w:rFonts w:asciiTheme="minorHAnsi" w:hAnsiTheme="minorHAnsi" w:cstheme="minorHAnsi"/>
          <w:b/>
          <w:bCs/>
        </w:rPr>
        <w:t>Public</w:t>
      </w:r>
      <w:r w:rsidRPr="00C928D8">
        <w:rPr>
          <w:rFonts w:asciiTheme="minorHAnsi" w:hAnsiTheme="minorHAnsi" w:cstheme="minorHAnsi"/>
          <w:b/>
          <w:bCs/>
        </w:rPr>
        <w:t xml:space="preserve"> debt is expected to rise to 67</w:t>
      </w:r>
      <w:r w:rsidR="001C0AC9" w:rsidRPr="00C928D8">
        <w:rPr>
          <w:rFonts w:asciiTheme="minorHAnsi" w:hAnsiTheme="minorHAnsi" w:cstheme="minorHAnsi"/>
          <w:b/>
          <w:bCs/>
        </w:rPr>
        <w:t>.</w:t>
      </w:r>
      <w:r w:rsidR="004B2862" w:rsidRPr="00C928D8">
        <w:rPr>
          <w:rFonts w:asciiTheme="minorHAnsi" w:hAnsiTheme="minorHAnsi" w:cstheme="minorHAnsi"/>
          <w:b/>
          <w:bCs/>
        </w:rPr>
        <w:t>5</w:t>
      </w:r>
      <w:r w:rsidRPr="00C928D8">
        <w:rPr>
          <w:rFonts w:asciiTheme="minorHAnsi" w:hAnsiTheme="minorHAnsi" w:cstheme="minorHAnsi"/>
          <w:b/>
          <w:bCs/>
        </w:rPr>
        <w:t xml:space="preserve"> percent of GDP in 2024, and </w:t>
      </w:r>
      <w:r w:rsidR="001C0AC9" w:rsidRPr="00C928D8">
        <w:rPr>
          <w:rFonts w:asciiTheme="minorHAnsi" w:hAnsiTheme="minorHAnsi" w:cstheme="minorHAnsi"/>
          <w:b/>
          <w:bCs/>
        </w:rPr>
        <w:t>68.5 percent of GDP</w:t>
      </w:r>
      <w:r w:rsidRPr="00C928D8">
        <w:rPr>
          <w:rFonts w:asciiTheme="minorHAnsi" w:hAnsiTheme="minorHAnsi" w:cstheme="minorHAnsi"/>
          <w:b/>
          <w:bCs/>
        </w:rPr>
        <w:t xml:space="preserve"> in 2025.</w:t>
      </w:r>
      <w:r w:rsidRPr="00C928D8">
        <w:rPr>
          <w:rFonts w:asciiTheme="minorHAnsi" w:hAnsiTheme="minorHAnsi" w:cstheme="minorHAnsi"/>
        </w:rPr>
        <w:t xml:space="preserve">  </w:t>
      </w:r>
      <w:r w:rsidR="001C0AC9" w:rsidRPr="00C928D8">
        <w:rPr>
          <w:rFonts w:asciiTheme="minorHAnsi" w:hAnsiTheme="minorHAnsi" w:cstheme="minorHAnsi"/>
        </w:rPr>
        <w:t xml:space="preserve">Relative to the previous forecast in April, </w:t>
      </w:r>
      <w:r w:rsidR="000B4DDD" w:rsidRPr="00C928D8">
        <w:rPr>
          <w:rFonts w:asciiTheme="minorHAnsi" w:hAnsiTheme="minorHAnsi" w:cstheme="minorHAnsi"/>
        </w:rPr>
        <w:t>there is</w:t>
      </w:r>
      <w:r w:rsidR="001C0AC9" w:rsidRPr="00C928D8">
        <w:rPr>
          <w:rFonts w:asciiTheme="minorHAnsi" w:hAnsiTheme="minorHAnsi" w:cstheme="minorHAnsi"/>
        </w:rPr>
        <w:t xml:space="preserve"> an upward revision of about half a percent of GDP in </w:t>
      </w:r>
      <w:r w:rsidR="001B55FD" w:rsidRPr="00C928D8">
        <w:rPr>
          <w:rFonts w:asciiTheme="minorHAnsi" w:hAnsiTheme="minorHAnsi" w:cstheme="minorHAnsi"/>
        </w:rPr>
        <w:t xml:space="preserve">the </w:t>
      </w:r>
      <w:r w:rsidR="001C0AC9" w:rsidRPr="00C928D8">
        <w:rPr>
          <w:rFonts w:asciiTheme="minorHAnsi" w:hAnsiTheme="minorHAnsi" w:cstheme="minorHAnsi"/>
        </w:rPr>
        <w:t xml:space="preserve">forecast </w:t>
      </w:r>
      <w:r w:rsidR="001B55FD" w:rsidRPr="00C928D8">
        <w:rPr>
          <w:rFonts w:asciiTheme="minorHAnsi" w:hAnsiTheme="minorHAnsi" w:cstheme="minorHAnsi"/>
        </w:rPr>
        <w:t xml:space="preserve">of </w:t>
      </w:r>
      <w:r w:rsidR="001C0AC9" w:rsidRPr="00C928D8">
        <w:rPr>
          <w:rFonts w:asciiTheme="minorHAnsi" w:hAnsiTheme="minorHAnsi" w:cstheme="minorHAnsi"/>
        </w:rPr>
        <w:t xml:space="preserve">defense expenditures in view of the revision to the working assumption regarding the intensity and duration of the fighting.  In addition, the forecast was compiled under the working assumption that the government will make permanent adjustments totaling </w:t>
      </w:r>
      <w:r w:rsidR="001B55FD" w:rsidRPr="00C928D8">
        <w:rPr>
          <w:rFonts w:asciiTheme="minorHAnsi" w:hAnsiTheme="minorHAnsi" w:cstheme="minorHAnsi"/>
        </w:rPr>
        <w:t xml:space="preserve">NIS 30 </w:t>
      </w:r>
      <w:r w:rsidR="001C0AC9" w:rsidRPr="00C928D8">
        <w:rPr>
          <w:rFonts w:asciiTheme="minorHAnsi" w:hAnsiTheme="minorHAnsi" w:cstheme="minorHAnsi"/>
        </w:rPr>
        <w:t xml:space="preserve">billion to lower the deficit in 2025, and that any additional expenditure decided upon by the government, including a permanent increase in the defense budget, will be balanced by additional measures.  </w:t>
      </w:r>
      <w:r w:rsidR="001B55FD" w:rsidRPr="00C928D8">
        <w:rPr>
          <w:rFonts w:asciiTheme="minorHAnsi" w:hAnsiTheme="minorHAnsi" w:cstheme="minorHAnsi"/>
        </w:rPr>
        <w:t>As a</w:t>
      </w:r>
      <w:r w:rsidR="001C0AC9" w:rsidRPr="00C928D8">
        <w:rPr>
          <w:rFonts w:asciiTheme="minorHAnsi" w:hAnsiTheme="minorHAnsi" w:cstheme="minorHAnsi"/>
        </w:rPr>
        <w:t xml:space="preserve"> working assumption, our </w:t>
      </w:r>
      <w:r w:rsidR="001C0AC9" w:rsidRPr="00C928D8">
        <w:rPr>
          <w:rFonts w:asciiTheme="minorHAnsi" w:hAnsiTheme="minorHAnsi" w:cstheme="minorHAnsi"/>
        </w:rPr>
        <w:lastRenderedPageBreak/>
        <w:t xml:space="preserve">assessment is that 60 percent of the adjustments (NIS 18 billion) will be on the revenue side, and 40 percent (NIS 12 billion) will be on the expenditure side.  These adjustments will moderate the increase in the debt to GDP ratio in 2025, and are expected to lead to a decline in the ratio </w:t>
      </w:r>
      <w:r w:rsidR="000B4DDD" w:rsidRPr="00C928D8">
        <w:rPr>
          <w:rFonts w:asciiTheme="minorHAnsi" w:hAnsiTheme="minorHAnsi" w:cstheme="minorHAnsi"/>
        </w:rPr>
        <w:t xml:space="preserve">beginning </w:t>
      </w:r>
      <w:r w:rsidR="001C0AC9" w:rsidRPr="00C928D8">
        <w:rPr>
          <w:rFonts w:asciiTheme="minorHAnsi" w:hAnsiTheme="minorHAnsi" w:cstheme="minorHAnsi"/>
        </w:rPr>
        <w:t xml:space="preserve">in 2026.  Without making these adjustments, our assessment is that public debt will continue to increase gradually in the medium term.  In addition, in </w:t>
      </w:r>
      <w:r w:rsidR="001B55FD" w:rsidRPr="00C928D8">
        <w:rPr>
          <w:rFonts w:asciiTheme="minorHAnsi" w:hAnsiTheme="minorHAnsi" w:cstheme="minorHAnsi"/>
        </w:rPr>
        <w:t xml:space="preserve">a </w:t>
      </w:r>
      <w:r w:rsidR="001C0AC9" w:rsidRPr="00C928D8">
        <w:rPr>
          <w:rFonts w:asciiTheme="minorHAnsi" w:hAnsiTheme="minorHAnsi" w:cstheme="minorHAnsi"/>
        </w:rPr>
        <w:t>risk scenario that the Research Department examined, in which the fighting continues even longer than what is accounted for in the base forecast, the public debt may reach about 72 percent of GDP.  A significant worsening on the northern front may lead to even higher debt levels.</w:t>
      </w:r>
    </w:p>
    <w:p w14:paraId="1CDBC69E" w14:textId="6C3DBFD5" w:rsidR="006866C5" w:rsidRPr="00C928D8" w:rsidRDefault="006866C5" w:rsidP="00C928D8">
      <w:pPr>
        <w:bidi w:val="0"/>
        <w:spacing w:after="200" w:line="360" w:lineRule="auto"/>
        <w:rPr>
          <w:rFonts w:asciiTheme="minorHAnsi" w:hAnsiTheme="minorHAnsi" w:cstheme="minorHAnsi"/>
          <w:color w:val="FF0000"/>
        </w:rPr>
      </w:pPr>
      <w:r w:rsidRPr="00C928D8">
        <w:rPr>
          <w:rFonts w:asciiTheme="minorHAnsi" w:hAnsiTheme="minorHAnsi" w:cstheme="minorHAnsi"/>
          <w:color w:val="FF0000"/>
        </w:rPr>
        <w:br w:type="page"/>
      </w:r>
    </w:p>
    <w:p w14:paraId="17F53E53" w14:textId="77777777" w:rsidR="003A247B" w:rsidRPr="00C928D8" w:rsidRDefault="003A247B" w:rsidP="00C928D8">
      <w:pPr>
        <w:bidi w:val="0"/>
        <w:spacing w:line="360" w:lineRule="auto"/>
        <w:jc w:val="both"/>
        <w:rPr>
          <w:rFonts w:asciiTheme="minorHAnsi" w:hAnsiTheme="minorHAnsi" w:cstheme="minorHAnsi"/>
          <w:color w:val="FF0000"/>
        </w:rPr>
      </w:pPr>
    </w:p>
    <w:tbl>
      <w:tblPr>
        <w:tblStyle w:val="a7"/>
        <w:tblpPr w:leftFromText="181" w:rightFromText="181" w:vertAnchor="text" w:horzAnchor="margin" w:tblpXSpec="center" w:tblpY="1"/>
        <w:tblOverlap w:val="never"/>
        <w:tblW w:w="10627" w:type="dxa"/>
        <w:tblLayout w:type="fixed"/>
        <w:tblLook w:val="04A0" w:firstRow="1" w:lastRow="0" w:firstColumn="1" w:lastColumn="0" w:noHBand="0" w:noVBand="1"/>
      </w:tblPr>
      <w:tblGrid>
        <w:gridCol w:w="5240"/>
        <w:gridCol w:w="1077"/>
        <w:gridCol w:w="1077"/>
        <w:gridCol w:w="1078"/>
        <w:gridCol w:w="1077"/>
        <w:gridCol w:w="1078"/>
      </w:tblGrid>
      <w:tr w:rsidR="00B518A6" w:rsidRPr="00C928D8" w14:paraId="49133C48" w14:textId="77777777" w:rsidTr="006A6BC6">
        <w:trPr>
          <w:trHeight w:val="200"/>
        </w:trPr>
        <w:tc>
          <w:tcPr>
            <w:tcW w:w="10627" w:type="dxa"/>
            <w:gridSpan w:val="6"/>
            <w:tcBorders>
              <w:top w:val="single" w:sz="4" w:space="0" w:color="auto"/>
              <w:bottom w:val="single" w:sz="4" w:space="0" w:color="auto"/>
              <w:right w:val="single" w:sz="4" w:space="0" w:color="auto"/>
            </w:tcBorders>
          </w:tcPr>
          <w:p w14:paraId="365F571E"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Table 1</w:t>
            </w:r>
          </w:p>
          <w:p w14:paraId="029DEAD3"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Research Department Staff Forecast for 202</w:t>
            </w:r>
            <w:r w:rsidR="00247644" w:rsidRPr="00C928D8">
              <w:rPr>
                <w:rFonts w:asciiTheme="minorHAnsi" w:hAnsiTheme="minorHAnsi" w:cstheme="minorHAnsi"/>
                <w:b/>
                <w:bCs/>
                <w:color w:val="0070C0"/>
              </w:rPr>
              <w:t>3</w:t>
            </w:r>
            <w:r w:rsidRPr="00C928D8">
              <w:rPr>
                <w:rFonts w:asciiTheme="minorHAnsi" w:hAnsiTheme="minorHAnsi" w:cstheme="minorHAnsi"/>
                <w:b/>
                <w:bCs/>
                <w:color w:val="0070C0"/>
              </w:rPr>
              <w:t>–202</w:t>
            </w:r>
            <w:r w:rsidR="00247644" w:rsidRPr="00C928D8">
              <w:rPr>
                <w:rFonts w:asciiTheme="minorHAnsi" w:hAnsiTheme="minorHAnsi" w:cstheme="minorHAnsi"/>
                <w:b/>
                <w:bCs/>
                <w:color w:val="0070C0"/>
              </w:rPr>
              <w:t>5</w:t>
            </w:r>
          </w:p>
          <w:p w14:paraId="7F465AB8" w14:textId="77777777" w:rsidR="00B518A6" w:rsidRPr="00C928D8" w:rsidRDefault="00B518A6" w:rsidP="00C928D8">
            <w:pPr>
              <w:bidi w:val="0"/>
              <w:spacing w:line="360" w:lineRule="auto"/>
              <w:rPr>
                <w:rFonts w:asciiTheme="minorHAnsi" w:hAnsiTheme="minorHAnsi" w:cstheme="minorHAnsi"/>
                <w:b/>
                <w:bCs/>
                <w:color w:val="0070C0"/>
              </w:rPr>
            </w:pPr>
            <w:r w:rsidRPr="00C928D8">
              <w:rPr>
                <w:rFonts w:asciiTheme="minorHAnsi" w:hAnsiTheme="minorHAnsi" w:cstheme="minorHAnsi"/>
                <w:color w:val="0070C0"/>
                <w:sz w:val="22"/>
                <w:szCs w:val="22"/>
              </w:rPr>
              <w:t xml:space="preserve">(rates of change, </w:t>
            </w:r>
            <w:proofErr w:type="spellStart"/>
            <w:r w:rsidRPr="00C928D8">
              <w:rPr>
                <w:rFonts w:asciiTheme="minorHAnsi" w:hAnsiTheme="minorHAnsi" w:cstheme="minorHAnsi"/>
                <w:color w:val="0070C0"/>
                <w:sz w:val="22"/>
                <w:szCs w:val="22"/>
              </w:rPr>
              <w:t>percent</w:t>
            </w:r>
            <w:r w:rsidRPr="00C928D8">
              <w:rPr>
                <w:rFonts w:asciiTheme="minorHAnsi" w:hAnsiTheme="minorHAnsi" w:cstheme="minorHAnsi"/>
                <w:color w:val="0070C0"/>
                <w:sz w:val="22"/>
                <w:szCs w:val="22"/>
                <w:vertAlign w:val="superscript"/>
              </w:rPr>
              <w:t>a</w:t>
            </w:r>
            <w:proofErr w:type="spellEnd"/>
            <w:r w:rsidRPr="00C928D8">
              <w:rPr>
                <w:rFonts w:asciiTheme="minorHAnsi" w:hAnsiTheme="minorHAnsi" w:cstheme="minorHAnsi"/>
                <w:color w:val="0070C0"/>
                <w:sz w:val="22"/>
                <w:szCs w:val="22"/>
              </w:rPr>
              <w:t>, unless stated otherwise)</w:t>
            </w:r>
          </w:p>
        </w:tc>
      </w:tr>
      <w:tr w:rsidR="005D1848" w:rsidRPr="00C928D8" w14:paraId="3D2CED80" w14:textId="77777777" w:rsidTr="00FB517F">
        <w:tc>
          <w:tcPr>
            <w:tcW w:w="5240" w:type="dxa"/>
            <w:tcBorders>
              <w:bottom w:val="nil"/>
            </w:tcBorders>
            <w:vAlign w:val="bottom"/>
          </w:tcPr>
          <w:p w14:paraId="01FC753F" w14:textId="77777777" w:rsidR="005D1848" w:rsidRPr="00C928D8" w:rsidRDefault="005D1848" w:rsidP="00C928D8">
            <w:pPr>
              <w:bidi w:val="0"/>
              <w:spacing w:line="360" w:lineRule="auto"/>
              <w:rPr>
                <w:rFonts w:asciiTheme="minorHAnsi" w:hAnsiTheme="minorHAnsi" w:cstheme="minorHAnsi"/>
                <w:sz w:val="20"/>
                <w:szCs w:val="20"/>
              </w:rPr>
            </w:pPr>
          </w:p>
        </w:tc>
        <w:tc>
          <w:tcPr>
            <w:tcW w:w="1077" w:type="dxa"/>
            <w:tcBorders>
              <w:left w:val="single" w:sz="4" w:space="0" w:color="auto"/>
              <w:bottom w:val="nil"/>
              <w:right w:val="nil"/>
            </w:tcBorders>
            <w:shd w:val="clear" w:color="auto" w:fill="auto"/>
          </w:tcPr>
          <w:p w14:paraId="4D2A9241"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2023</w:t>
            </w:r>
          </w:p>
          <w:p w14:paraId="7539B36F"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Actual</w:t>
            </w:r>
          </w:p>
        </w:tc>
        <w:tc>
          <w:tcPr>
            <w:tcW w:w="1077" w:type="dxa"/>
            <w:tcBorders>
              <w:left w:val="single" w:sz="4" w:space="0" w:color="auto"/>
              <w:bottom w:val="nil"/>
              <w:right w:val="nil"/>
            </w:tcBorders>
            <w:shd w:val="clear" w:color="auto" w:fill="auto"/>
          </w:tcPr>
          <w:p w14:paraId="41A5A8C7"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Forecast for 2024</w:t>
            </w:r>
          </w:p>
        </w:tc>
        <w:tc>
          <w:tcPr>
            <w:tcW w:w="1078" w:type="dxa"/>
            <w:tcBorders>
              <w:left w:val="nil"/>
              <w:bottom w:val="single" w:sz="4" w:space="0" w:color="auto"/>
              <w:right w:val="single" w:sz="4" w:space="0" w:color="auto"/>
            </w:tcBorders>
            <w:shd w:val="clear" w:color="auto" w:fill="C6D9F1" w:themeFill="text2" w:themeFillTint="33"/>
          </w:tcPr>
          <w:p w14:paraId="0B48B316" w14:textId="2A5E73D9"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 xml:space="preserve">Change from the  </w:t>
            </w:r>
            <w:r w:rsidR="005B7FE0" w:rsidRPr="00C928D8">
              <w:rPr>
                <w:rFonts w:asciiTheme="minorHAnsi" w:hAnsiTheme="minorHAnsi" w:cstheme="minorHAnsi"/>
              </w:rPr>
              <w:t xml:space="preserve"> </w:t>
            </w:r>
            <w:r w:rsidR="006B6F51" w:rsidRPr="00C928D8">
              <w:rPr>
                <w:rFonts w:asciiTheme="minorHAnsi" w:hAnsiTheme="minorHAnsi" w:cstheme="minorHAnsi"/>
                <w:sz w:val="20"/>
                <w:szCs w:val="20"/>
              </w:rPr>
              <w:t>April</w:t>
            </w:r>
            <w:r w:rsidR="005B7FE0" w:rsidRPr="00C928D8">
              <w:rPr>
                <w:rFonts w:asciiTheme="minorHAnsi" w:hAnsiTheme="minorHAnsi" w:cstheme="minorHAnsi"/>
                <w:sz w:val="20"/>
                <w:szCs w:val="20"/>
              </w:rPr>
              <w:t xml:space="preserve"> </w:t>
            </w:r>
            <w:r w:rsidRPr="00C928D8">
              <w:rPr>
                <w:rFonts w:asciiTheme="minorHAnsi" w:hAnsiTheme="minorHAnsi" w:cstheme="minorHAnsi"/>
                <w:sz w:val="20"/>
                <w:szCs w:val="20"/>
              </w:rPr>
              <w:t>forecast</w:t>
            </w:r>
          </w:p>
        </w:tc>
        <w:tc>
          <w:tcPr>
            <w:tcW w:w="1077" w:type="dxa"/>
            <w:tcBorders>
              <w:left w:val="nil"/>
              <w:bottom w:val="single" w:sz="4" w:space="0" w:color="auto"/>
              <w:right w:val="single" w:sz="4" w:space="0" w:color="auto"/>
            </w:tcBorders>
            <w:shd w:val="clear" w:color="auto" w:fill="auto"/>
          </w:tcPr>
          <w:p w14:paraId="7F0B0FD5"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Forecast for 2025</w:t>
            </w:r>
          </w:p>
        </w:tc>
        <w:tc>
          <w:tcPr>
            <w:tcW w:w="1078" w:type="dxa"/>
            <w:shd w:val="clear" w:color="auto" w:fill="B8CCE4" w:themeFill="accent1" w:themeFillTint="66"/>
          </w:tcPr>
          <w:p w14:paraId="666B4B19" w14:textId="432CA57E"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 xml:space="preserve">Change from the  </w:t>
            </w:r>
            <w:r w:rsidR="005B7FE0" w:rsidRPr="00C928D8">
              <w:rPr>
                <w:rFonts w:asciiTheme="minorHAnsi" w:hAnsiTheme="minorHAnsi" w:cstheme="minorHAnsi"/>
              </w:rPr>
              <w:t xml:space="preserve"> </w:t>
            </w:r>
            <w:r w:rsidR="006B6F51" w:rsidRPr="00C928D8">
              <w:rPr>
                <w:rFonts w:asciiTheme="minorHAnsi" w:hAnsiTheme="minorHAnsi" w:cstheme="minorHAnsi"/>
                <w:sz w:val="20"/>
                <w:szCs w:val="20"/>
              </w:rPr>
              <w:t>April</w:t>
            </w:r>
            <w:r w:rsidR="005B7FE0" w:rsidRPr="00C928D8">
              <w:rPr>
                <w:rFonts w:asciiTheme="minorHAnsi" w:hAnsiTheme="minorHAnsi" w:cstheme="minorHAnsi"/>
                <w:sz w:val="20"/>
                <w:szCs w:val="20"/>
              </w:rPr>
              <w:t xml:space="preserve"> </w:t>
            </w:r>
            <w:r w:rsidRPr="00C928D8">
              <w:rPr>
                <w:rFonts w:asciiTheme="minorHAnsi" w:hAnsiTheme="minorHAnsi" w:cstheme="minorHAnsi"/>
                <w:sz w:val="20"/>
                <w:szCs w:val="20"/>
              </w:rPr>
              <w:t>forecast</w:t>
            </w:r>
          </w:p>
        </w:tc>
      </w:tr>
      <w:tr w:rsidR="005D1848" w:rsidRPr="00C928D8" w14:paraId="6F831923" w14:textId="77777777" w:rsidTr="00FB517F">
        <w:tc>
          <w:tcPr>
            <w:tcW w:w="5240" w:type="dxa"/>
            <w:tcBorders>
              <w:bottom w:val="single" w:sz="4" w:space="0" w:color="auto"/>
            </w:tcBorders>
            <w:vAlign w:val="bottom"/>
          </w:tcPr>
          <w:p w14:paraId="7FA02528" w14:textId="77777777" w:rsidR="005D1848" w:rsidRPr="00C928D8" w:rsidRDefault="005D1848" w:rsidP="00C928D8">
            <w:pPr>
              <w:bidi w:val="0"/>
              <w:spacing w:line="360" w:lineRule="auto"/>
              <w:rPr>
                <w:rFonts w:asciiTheme="minorHAnsi" w:hAnsiTheme="minorHAnsi" w:cstheme="minorHAnsi"/>
                <w:b/>
                <w:bCs/>
                <w:sz w:val="20"/>
                <w:szCs w:val="20"/>
              </w:rPr>
            </w:pPr>
            <w:r w:rsidRPr="00C928D8">
              <w:rPr>
                <w:rFonts w:asciiTheme="minorHAnsi" w:hAnsiTheme="minorHAnsi" w:cstheme="minorHAnsi"/>
                <w:b/>
                <w:bCs/>
                <w:sz w:val="20"/>
                <w:szCs w:val="20"/>
              </w:rPr>
              <w:t>GDP</w:t>
            </w:r>
          </w:p>
        </w:tc>
        <w:tc>
          <w:tcPr>
            <w:tcW w:w="1077" w:type="dxa"/>
            <w:tcBorders>
              <w:left w:val="single" w:sz="4" w:space="0" w:color="auto"/>
              <w:bottom w:val="single" w:sz="4" w:space="0" w:color="auto"/>
              <w:right w:val="nil"/>
            </w:tcBorders>
            <w:shd w:val="clear" w:color="auto" w:fill="auto"/>
          </w:tcPr>
          <w:p w14:paraId="3DBE71AF" w14:textId="77777777"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2.0</w:t>
            </w:r>
          </w:p>
        </w:tc>
        <w:tc>
          <w:tcPr>
            <w:tcW w:w="1077" w:type="dxa"/>
            <w:tcBorders>
              <w:left w:val="single" w:sz="4" w:space="0" w:color="auto"/>
              <w:bottom w:val="single" w:sz="4" w:space="0" w:color="auto"/>
              <w:right w:val="nil"/>
            </w:tcBorders>
            <w:shd w:val="clear" w:color="auto" w:fill="auto"/>
          </w:tcPr>
          <w:p w14:paraId="4E1C0DAE" w14:textId="32DC9590" w:rsidR="005D1848" w:rsidRPr="00C928D8" w:rsidRDefault="006866C5"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1.5</w:t>
            </w:r>
          </w:p>
        </w:tc>
        <w:tc>
          <w:tcPr>
            <w:tcW w:w="1078" w:type="dxa"/>
            <w:tcBorders>
              <w:left w:val="nil"/>
              <w:bottom w:val="single" w:sz="4" w:space="0" w:color="auto"/>
              <w:right w:val="single" w:sz="4" w:space="0" w:color="auto"/>
            </w:tcBorders>
            <w:shd w:val="clear" w:color="auto" w:fill="C6D9F1" w:themeFill="text2" w:themeFillTint="33"/>
          </w:tcPr>
          <w:p w14:paraId="2545B483" w14:textId="624A85AD"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w:t>
            </w:r>
            <w:r w:rsidR="006866C5" w:rsidRPr="00C928D8">
              <w:rPr>
                <w:rFonts w:asciiTheme="minorHAnsi" w:hAnsiTheme="minorHAnsi" w:cstheme="minorHAnsi"/>
                <w:b/>
                <w:bCs/>
                <w:sz w:val="20"/>
                <w:szCs w:val="20"/>
              </w:rPr>
              <w:t>0.5</w:t>
            </w:r>
          </w:p>
        </w:tc>
        <w:tc>
          <w:tcPr>
            <w:tcW w:w="1077" w:type="dxa"/>
            <w:tcBorders>
              <w:left w:val="nil"/>
              <w:bottom w:val="single" w:sz="4" w:space="0" w:color="auto"/>
              <w:right w:val="single" w:sz="4" w:space="0" w:color="auto"/>
            </w:tcBorders>
            <w:shd w:val="clear" w:color="auto" w:fill="auto"/>
          </w:tcPr>
          <w:p w14:paraId="7E2AD96E" w14:textId="44ACCA62" w:rsidR="005D1848" w:rsidRPr="00C928D8" w:rsidRDefault="006866C5"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4.2</w:t>
            </w:r>
          </w:p>
        </w:tc>
        <w:tc>
          <w:tcPr>
            <w:tcW w:w="1078" w:type="dxa"/>
            <w:shd w:val="clear" w:color="auto" w:fill="B8CCE4" w:themeFill="accent1" w:themeFillTint="66"/>
            <w:vAlign w:val="bottom"/>
          </w:tcPr>
          <w:p w14:paraId="4CE45AFA" w14:textId="04E148DB" w:rsidR="005D1848" w:rsidRPr="00C928D8" w:rsidRDefault="005D1848" w:rsidP="00C928D8">
            <w:pPr>
              <w:bidi w:val="0"/>
              <w:spacing w:line="360" w:lineRule="auto"/>
              <w:jc w:val="center"/>
              <w:rPr>
                <w:rFonts w:asciiTheme="minorHAnsi" w:hAnsiTheme="minorHAnsi" w:cstheme="minorHAnsi"/>
                <w:b/>
                <w:bCs/>
                <w:sz w:val="20"/>
                <w:szCs w:val="20"/>
              </w:rPr>
            </w:pPr>
            <w:r w:rsidRPr="00C928D8">
              <w:rPr>
                <w:rFonts w:asciiTheme="minorHAnsi" w:hAnsiTheme="minorHAnsi" w:cstheme="minorHAnsi"/>
                <w:b/>
                <w:bCs/>
                <w:sz w:val="20"/>
                <w:szCs w:val="20"/>
              </w:rPr>
              <w:t>-</w:t>
            </w:r>
            <w:r w:rsidR="006866C5" w:rsidRPr="00C928D8">
              <w:rPr>
                <w:rFonts w:asciiTheme="minorHAnsi" w:hAnsiTheme="minorHAnsi" w:cstheme="minorHAnsi"/>
                <w:b/>
                <w:bCs/>
                <w:sz w:val="20"/>
                <w:szCs w:val="20"/>
              </w:rPr>
              <w:t>0.8</w:t>
            </w:r>
          </w:p>
        </w:tc>
      </w:tr>
      <w:tr w:rsidR="005D1848" w:rsidRPr="00C928D8" w14:paraId="5A2CCE04" w14:textId="77777777" w:rsidTr="00FB517F">
        <w:tc>
          <w:tcPr>
            <w:tcW w:w="5240" w:type="dxa"/>
            <w:tcBorders>
              <w:bottom w:val="single" w:sz="4" w:space="0" w:color="auto"/>
            </w:tcBorders>
            <w:vAlign w:val="bottom"/>
          </w:tcPr>
          <w:p w14:paraId="13683846"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Private consumption</w:t>
            </w:r>
          </w:p>
        </w:tc>
        <w:tc>
          <w:tcPr>
            <w:tcW w:w="1077" w:type="dxa"/>
            <w:tcBorders>
              <w:left w:val="single" w:sz="4" w:space="0" w:color="auto"/>
              <w:bottom w:val="single" w:sz="4" w:space="0" w:color="auto"/>
              <w:right w:val="nil"/>
            </w:tcBorders>
            <w:shd w:val="clear" w:color="auto" w:fill="auto"/>
          </w:tcPr>
          <w:p w14:paraId="20437FEB" w14:textId="50F43E54"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7</w:t>
            </w:r>
          </w:p>
        </w:tc>
        <w:tc>
          <w:tcPr>
            <w:tcW w:w="1077" w:type="dxa"/>
            <w:tcBorders>
              <w:left w:val="single" w:sz="4" w:space="0" w:color="auto"/>
              <w:bottom w:val="single" w:sz="4" w:space="0" w:color="auto"/>
              <w:right w:val="nil"/>
            </w:tcBorders>
            <w:shd w:val="clear" w:color="auto" w:fill="auto"/>
          </w:tcPr>
          <w:p w14:paraId="588F0D79" w14:textId="30069C32"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2.0</w:t>
            </w:r>
          </w:p>
        </w:tc>
        <w:tc>
          <w:tcPr>
            <w:tcW w:w="1078" w:type="dxa"/>
            <w:tcBorders>
              <w:left w:val="nil"/>
              <w:bottom w:val="single" w:sz="4" w:space="0" w:color="auto"/>
              <w:right w:val="single" w:sz="4" w:space="0" w:color="auto"/>
            </w:tcBorders>
            <w:shd w:val="clear" w:color="auto" w:fill="C6D9F1" w:themeFill="text2" w:themeFillTint="33"/>
          </w:tcPr>
          <w:p w14:paraId="0304B028" w14:textId="1772B5C7"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w:t>
            </w:r>
            <w:r w:rsidR="00FA56BE"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65E68FCC" w14:textId="1DE8A6B7"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5.</w:t>
            </w:r>
            <w:r w:rsidR="006866C5" w:rsidRPr="00C928D8">
              <w:rPr>
                <w:rFonts w:asciiTheme="minorHAnsi" w:hAnsiTheme="minorHAnsi" w:cstheme="minorHAnsi"/>
                <w:sz w:val="20"/>
                <w:szCs w:val="20"/>
              </w:rPr>
              <w:t>0</w:t>
            </w:r>
          </w:p>
        </w:tc>
        <w:tc>
          <w:tcPr>
            <w:tcW w:w="1078" w:type="dxa"/>
            <w:shd w:val="clear" w:color="auto" w:fill="B8CCE4" w:themeFill="accent1" w:themeFillTint="66"/>
            <w:vAlign w:val="bottom"/>
          </w:tcPr>
          <w:p w14:paraId="592777D3"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FA56BE" w:rsidRPr="00C928D8">
              <w:rPr>
                <w:rFonts w:asciiTheme="minorHAnsi" w:hAnsiTheme="minorHAnsi" w:cstheme="minorHAnsi"/>
                <w:sz w:val="20"/>
                <w:szCs w:val="20"/>
              </w:rPr>
              <w:t>0.5</w:t>
            </w:r>
          </w:p>
        </w:tc>
      </w:tr>
      <w:tr w:rsidR="005D1848" w:rsidRPr="00C928D8" w14:paraId="021CE3F5" w14:textId="77777777" w:rsidTr="00FB517F">
        <w:tc>
          <w:tcPr>
            <w:tcW w:w="5240" w:type="dxa"/>
            <w:tcBorders>
              <w:bottom w:val="single" w:sz="4" w:space="0" w:color="auto"/>
            </w:tcBorders>
            <w:vAlign w:val="bottom"/>
          </w:tcPr>
          <w:p w14:paraId="03E84CAB"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Fixed capital formation (excl. ships and aircraft)</w:t>
            </w:r>
          </w:p>
        </w:tc>
        <w:tc>
          <w:tcPr>
            <w:tcW w:w="1077" w:type="dxa"/>
            <w:tcBorders>
              <w:left w:val="single" w:sz="4" w:space="0" w:color="auto"/>
              <w:bottom w:val="single" w:sz="4" w:space="0" w:color="auto"/>
              <w:right w:val="nil"/>
            </w:tcBorders>
            <w:shd w:val="clear" w:color="auto" w:fill="auto"/>
          </w:tcPr>
          <w:p w14:paraId="01D1EE1A" w14:textId="4D429A9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-2.9</w:t>
            </w:r>
          </w:p>
        </w:tc>
        <w:tc>
          <w:tcPr>
            <w:tcW w:w="1077" w:type="dxa"/>
            <w:tcBorders>
              <w:left w:val="single" w:sz="4" w:space="0" w:color="auto"/>
              <w:bottom w:val="single" w:sz="4" w:space="0" w:color="auto"/>
              <w:right w:val="nil"/>
            </w:tcBorders>
            <w:shd w:val="clear" w:color="auto" w:fill="auto"/>
          </w:tcPr>
          <w:p w14:paraId="6DA814D7" w14:textId="0418795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9.0</w:t>
            </w:r>
          </w:p>
        </w:tc>
        <w:tc>
          <w:tcPr>
            <w:tcW w:w="1078" w:type="dxa"/>
            <w:tcBorders>
              <w:left w:val="nil"/>
              <w:bottom w:val="single" w:sz="4" w:space="0" w:color="auto"/>
              <w:right w:val="single" w:sz="4" w:space="0" w:color="auto"/>
            </w:tcBorders>
            <w:shd w:val="clear" w:color="auto" w:fill="C6D9F1" w:themeFill="text2" w:themeFillTint="33"/>
          </w:tcPr>
          <w:p w14:paraId="64345B31" w14:textId="68FA7B5B"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r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479B4489" w14:textId="06EDFD37"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8.0</w:t>
            </w:r>
          </w:p>
        </w:tc>
        <w:tc>
          <w:tcPr>
            <w:tcW w:w="1078" w:type="dxa"/>
            <w:shd w:val="clear" w:color="auto" w:fill="B8CCE4" w:themeFill="accent1" w:themeFillTint="66"/>
            <w:vAlign w:val="bottom"/>
          </w:tcPr>
          <w:p w14:paraId="2AA11E87" w14:textId="6B569AFF"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-2.5</w:t>
            </w:r>
          </w:p>
        </w:tc>
      </w:tr>
      <w:tr w:rsidR="005D1848" w:rsidRPr="00C928D8" w14:paraId="54E213C2" w14:textId="77777777" w:rsidTr="00FB517F">
        <w:tc>
          <w:tcPr>
            <w:tcW w:w="5240" w:type="dxa"/>
            <w:tcBorders>
              <w:bottom w:val="single" w:sz="4" w:space="0" w:color="auto"/>
            </w:tcBorders>
            <w:vAlign w:val="bottom"/>
          </w:tcPr>
          <w:p w14:paraId="2961E959"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Public consumption (excl. defense imports)</w:t>
            </w:r>
          </w:p>
        </w:tc>
        <w:tc>
          <w:tcPr>
            <w:tcW w:w="1077" w:type="dxa"/>
            <w:tcBorders>
              <w:left w:val="single" w:sz="4" w:space="0" w:color="auto"/>
              <w:bottom w:val="single" w:sz="4" w:space="0" w:color="auto"/>
              <w:right w:val="nil"/>
            </w:tcBorders>
            <w:shd w:val="clear" w:color="auto" w:fill="auto"/>
          </w:tcPr>
          <w:p w14:paraId="2C41CFC8"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7.2</w:t>
            </w:r>
          </w:p>
        </w:tc>
        <w:tc>
          <w:tcPr>
            <w:tcW w:w="1077" w:type="dxa"/>
            <w:tcBorders>
              <w:left w:val="single" w:sz="4" w:space="0" w:color="auto"/>
              <w:bottom w:val="single" w:sz="4" w:space="0" w:color="auto"/>
              <w:right w:val="nil"/>
            </w:tcBorders>
            <w:shd w:val="clear" w:color="auto" w:fill="auto"/>
          </w:tcPr>
          <w:p w14:paraId="73CCEAF8" w14:textId="5AB9D96A"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8</w:t>
            </w:r>
            <w:r w:rsidR="00FA56BE" w:rsidRPr="00C928D8">
              <w:rPr>
                <w:rFonts w:asciiTheme="minorHAnsi" w:hAnsiTheme="minorHAnsi" w:cstheme="minorHAnsi"/>
                <w:sz w:val="20"/>
                <w:szCs w:val="20"/>
              </w:rPr>
              <w:t>.</w:t>
            </w:r>
            <w:r w:rsidR="004A0E7A" w:rsidRPr="00C928D8">
              <w:rPr>
                <w:rFonts w:asciiTheme="minorHAnsi" w:hAnsiTheme="minorHAnsi" w:cstheme="minorHAnsi"/>
                <w:sz w:val="20"/>
                <w:szCs w:val="20"/>
              </w:rPr>
              <w:t>0</w:t>
            </w:r>
          </w:p>
        </w:tc>
        <w:tc>
          <w:tcPr>
            <w:tcW w:w="1078" w:type="dxa"/>
            <w:tcBorders>
              <w:left w:val="nil"/>
              <w:bottom w:val="single" w:sz="4" w:space="0" w:color="auto"/>
              <w:right w:val="single" w:sz="4" w:space="0" w:color="auto"/>
            </w:tcBorders>
            <w:shd w:val="clear" w:color="auto" w:fill="C6D9F1" w:themeFill="text2" w:themeFillTint="33"/>
          </w:tcPr>
          <w:p w14:paraId="175F1898" w14:textId="4E5E8B05" w:rsidR="005D1848" w:rsidRPr="00C928D8" w:rsidRDefault="004A0E7A"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3.5</w:t>
            </w:r>
          </w:p>
        </w:tc>
        <w:tc>
          <w:tcPr>
            <w:tcW w:w="1077" w:type="dxa"/>
            <w:tcBorders>
              <w:left w:val="nil"/>
              <w:bottom w:val="single" w:sz="4" w:space="0" w:color="auto"/>
              <w:right w:val="single" w:sz="4" w:space="0" w:color="auto"/>
            </w:tcBorders>
            <w:shd w:val="clear" w:color="auto" w:fill="auto"/>
          </w:tcPr>
          <w:p w14:paraId="363F334B" w14:textId="7FA93F8D"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4A0E7A" w:rsidRPr="00C928D8">
              <w:rPr>
                <w:rFonts w:asciiTheme="minorHAnsi" w:hAnsiTheme="minorHAnsi" w:cstheme="minorHAnsi"/>
                <w:sz w:val="20"/>
                <w:szCs w:val="20"/>
              </w:rPr>
              <w:t>5</w:t>
            </w:r>
            <w:r w:rsidR="006866C5" w:rsidRPr="00C928D8">
              <w:rPr>
                <w:rFonts w:asciiTheme="minorHAnsi" w:hAnsiTheme="minorHAnsi" w:cstheme="minorHAnsi"/>
                <w:sz w:val="20"/>
                <w:szCs w:val="20"/>
              </w:rPr>
              <w:t>.5</w:t>
            </w:r>
          </w:p>
        </w:tc>
        <w:tc>
          <w:tcPr>
            <w:tcW w:w="1078" w:type="dxa"/>
            <w:shd w:val="clear" w:color="auto" w:fill="B8CCE4" w:themeFill="accent1" w:themeFillTint="66"/>
            <w:vAlign w:val="bottom"/>
          </w:tcPr>
          <w:p w14:paraId="319FA74D" w14:textId="3B704C4D"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4A0E7A" w:rsidRPr="00C928D8">
              <w:rPr>
                <w:rFonts w:asciiTheme="minorHAnsi" w:hAnsiTheme="minorHAnsi" w:cstheme="minorHAnsi"/>
                <w:sz w:val="20"/>
                <w:szCs w:val="20"/>
              </w:rPr>
              <w:t>3</w:t>
            </w:r>
            <w:r w:rsidRPr="00C928D8">
              <w:rPr>
                <w:rFonts w:asciiTheme="minorHAnsi" w:hAnsiTheme="minorHAnsi" w:cstheme="minorHAnsi"/>
                <w:sz w:val="20"/>
                <w:szCs w:val="20"/>
              </w:rPr>
              <w:t>.5</w:t>
            </w:r>
          </w:p>
        </w:tc>
      </w:tr>
      <w:tr w:rsidR="005D1848" w:rsidRPr="00C928D8" w14:paraId="1E545054" w14:textId="77777777" w:rsidTr="00FB517F">
        <w:tc>
          <w:tcPr>
            <w:tcW w:w="5240" w:type="dxa"/>
            <w:tcBorders>
              <w:bottom w:val="single" w:sz="4" w:space="0" w:color="auto"/>
            </w:tcBorders>
            <w:vAlign w:val="bottom"/>
          </w:tcPr>
          <w:p w14:paraId="001CCAB4"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Exports (excl. diamonds and startups)</w:t>
            </w:r>
          </w:p>
        </w:tc>
        <w:tc>
          <w:tcPr>
            <w:tcW w:w="1077" w:type="dxa"/>
            <w:tcBorders>
              <w:left w:val="single" w:sz="4" w:space="0" w:color="auto"/>
              <w:bottom w:val="single" w:sz="4" w:space="0" w:color="auto"/>
              <w:right w:val="nil"/>
            </w:tcBorders>
            <w:shd w:val="clear" w:color="auto" w:fill="auto"/>
          </w:tcPr>
          <w:p w14:paraId="6B990AF8" w14:textId="0AAB3AAC"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0.1</w:t>
            </w:r>
          </w:p>
        </w:tc>
        <w:tc>
          <w:tcPr>
            <w:tcW w:w="1077" w:type="dxa"/>
            <w:tcBorders>
              <w:left w:val="single" w:sz="4" w:space="0" w:color="auto"/>
              <w:bottom w:val="single" w:sz="4" w:space="0" w:color="auto"/>
              <w:right w:val="nil"/>
            </w:tcBorders>
            <w:shd w:val="clear" w:color="auto" w:fill="auto"/>
          </w:tcPr>
          <w:p w14:paraId="6946B30B" w14:textId="671F4A95"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-1.</w:t>
            </w:r>
            <w:r w:rsidR="006866C5" w:rsidRPr="00C928D8">
              <w:rPr>
                <w:rFonts w:asciiTheme="minorHAnsi" w:hAnsiTheme="minorHAnsi" w:cstheme="minorHAnsi"/>
                <w:sz w:val="20"/>
                <w:szCs w:val="20"/>
              </w:rPr>
              <w:t>5</w:t>
            </w:r>
          </w:p>
        </w:tc>
        <w:tc>
          <w:tcPr>
            <w:tcW w:w="1078" w:type="dxa"/>
            <w:tcBorders>
              <w:left w:val="nil"/>
              <w:bottom w:val="single" w:sz="4" w:space="0" w:color="auto"/>
              <w:right w:val="single" w:sz="4" w:space="0" w:color="auto"/>
            </w:tcBorders>
            <w:shd w:val="clear" w:color="auto" w:fill="C6D9F1" w:themeFill="text2" w:themeFillTint="33"/>
          </w:tcPr>
          <w:p w14:paraId="584FAB40" w14:textId="737BD3CA"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0</w:t>
            </w:r>
            <w:r w:rsidR="00FA56BE" w:rsidRPr="00C928D8">
              <w:rPr>
                <w:rFonts w:asciiTheme="minorHAnsi" w:hAnsiTheme="minorHAnsi" w:cstheme="minorHAnsi"/>
                <w:sz w:val="20"/>
                <w:szCs w:val="20"/>
              </w:rPr>
              <w:t>.5</w:t>
            </w:r>
          </w:p>
        </w:tc>
        <w:tc>
          <w:tcPr>
            <w:tcW w:w="1077" w:type="dxa"/>
            <w:tcBorders>
              <w:left w:val="nil"/>
              <w:bottom w:val="single" w:sz="4" w:space="0" w:color="auto"/>
              <w:right w:val="single" w:sz="4" w:space="0" w:color="auto"/>
            </w:tcBorders>
            <w:shd w:val="clear" w:color="auto" w:fill="auto"/>
          </w:tcPr>
          <w:p w14:paraId="03699291" w14:textId="11CABF6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w:t>
            </w:r>
            <w:r w:rsidR="005D1848"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p>
        </w:tc>
        <w:tc>
          <w:tcPr>
            <w:tcW w:w="1078" w:type="dxa"/>
            <w:shd w:val="clear" w:color="auto" w:fill="B8CCE4" w:themeFill="accent1" w:themeFillTint="66"/>
            <w:vAlign w:val="bottom"/>
          </w:tcPr>
          <w:p w14:paraId="04286FC3" w14:textId="17A597B6"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0A1603CD" w14:textId="77777777" w:rsidTr="00FB517F">
        <w:tc>
          <w:tcPr>
            <w:tcW w:w="5240" w:type="dxa"/>
            <w:tcBorders>
              <w:bottom w:val="nil"/>
            </w:tcBorders>
            <w:vAlign w:val="bottom"/>
          </w:tcPr>
          <w:p w14:paraId="239A5ABE"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Civilian imports (excl. diamonds, ships, and aircraft)</w:t>
            </w:r>
          </w:p>
        </w:tc>
        <w:tc>
          <w:tcPr>
            <w:tcW w:w="1077" w:type="dxa"/>
            <w:tcBorders>
              <w:left w:val="single" w:sz="4" w:space="0" w:color="auto"/>
              <w:bottom w:val="nil"/>
              <w:right w:val="nil"/>
            </w:tcBorders>
            <w:shd w:val="clear" w:color="auto" w:fill="auto"/>
          </w:tcPr>
          <w:p w14:paraId="7397F5A6"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-7.2</w:t>
            </w:r>
          </w:p>
        </w:tc>
        <w:tc>
          <w:tcPr>
            <w:tcW w:w="1077" w:type="dxa"/>
            <w:tcBorders>
              <w:left w:val="single" w:sz="4" w:space="0" w:color="auto"/>
              <w:bottom w:val="nil"/>
              <w:right w:val="nil"/>
            </w:tcBorders>
            <w:shd w:val="clear" w:color="auto" w:fill="auto"/>
          </w:tcPr>
          <w:p w14:paraId="27B7DE36" w14:textId="7B91B872"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5</w:t>
            </w:r>
            <w:r w:rsidRPr="00C928D8">
              <w:rPr>
                <w:rFonts w:asciiTheme="minorHAnsi" w:hAnsiTheme="minorHAnsi" w:cstheme="minorHAnsi"/>
                <w:sz w:val="20"/>
                <w:szCs w:val="20"/>
              </w:rPr>
              <w:t>.0</w:t>
            </w:r>
          </w:p>
        </w:tc>
        <w:tc>
          <w:tcPr>
            <w:tcW w:w="1078" w:type="dxa"/>
            <w:tcBorders>
              <w:left w:val="nil"/>
              <w:bottom w:val="single" w:sz="4" w:space="0" w:color="auto"/>
              <w:right w:val="single" w:sz="4" w:space="0" w:color="auto"/>
            </w:tcBorders>
            <w:shd w:val="clear" w:color="auto" w:fill="C6D9F1" w:themeFill="text2" w:themeFillTint="33"/>
          </w:tcPr>
          <w:p w14:paraId="53D48FAA" w14:textId="08BF5705"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1.0</w:t>
            </w:r>
          </w:p>
        </w:tc>
        <w:tc>
          <w:tcPr>
            <w:tcW w:w="1077" w:type="dxa"/>
            <w:tcBorders>
              <w:left w:val="nil"/>
              <w:bottom w:val="single" w:sz="4" w:space="0" w:color="auto"/>
              <w:right w:val="single" w:sz="4" w:space="0" w:color="auto"/>
            </w:tcBorders>
            <w:shd w:val="clear" w:color="auto" w:fill="auto"/>
          </w:tcPr>
          <w:p w14:paraId="1C9842A1" w14:textId="4CD08B7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3.5</w:t>
            </w:r>
          </w:p>
        </w:tc>
        <w:tc>
          <w:tcPr>
            <w:tcW w:w="1078" w:type="dxa"/>
            <w:shd w:val="clear" w:color="auto" w:fill="B8CCE4" w:themeFill="accent1" w:themeFillTint="66"/>
            <w:vAlign w:val="bottom"/>
          </w:tcPr>
          <w:p w14:paraId="1840D41C" w14:textId="66EE2A2E"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6866C5" w:rsidRPr="00C928D8">
              <w:rPr>
                <w:rFonts w:asciiTheme="minorHAnsi" w:hAnsiTheme="minorHAnsi" w:cstheme="minorHAnsi"/>
                <w:sz w:val="20"/>
                <w:szCs w:val="20"/>
              </w:rPr>
              <w:t>4</w:t>
            </w:r>
            <w:r w:rsidRPr="00C928D8">
              <w:rPr>
                <w:rFonts w:asciiTheme="minorHAnsi" w:hAnsiTheme="minorHAnsi" w:cstheme="minorHAnsi"/>
                <w:sz w:val="20"/>
                <w:szCs w:val="20"/>
              </w:rPr>
              <w:t>.5</w:t>
            </w:r>
          </w:p>
        </w:tc>
      </w:tr>
      <w:tr w:rsidR="005D1848" w:rsidRPr="00C928D8" w14:paraId="31A7C88F" w14:textId="77777777" w:rsidTr="00FB517F">
        <w:tc>
          <w:tcPr>
            <w:tcW w:w="5240" w:type="dxa"/>
            <w:tcBorders>
              <w:top w:val="single" w:sz="4" w:space="0" w:color="auto"/>
              <w:bottom w:val="single" w:sz="4" w:space="0" w:color="auto"/>
            </w:tcBorders>
            <w:vAlign w:val="bottom"/>
          </w:tcPr>
          <w:p w14:paraId="099C89D8" w14:textId="77777777" w:rsidR="005D1848" w:rsidRPr="00C928D8" w:rsidRDefault="005D1848" w:rsidP="00C928D8">
            <w:pPr>
              <w:bidi w:val="0"/>
              <w:spacing w:line="360" w:lineRule="auto"/>
              <w:rPr>
                <w:rFonts w:asciiTheme="minorHAnsi" w:hAnsiTheme="minorHAnsi" w:cstheme="minorHAnsi"/>
                <w:sz w:val="20"/>
                <w:szCs w:val="20"/>
                <w:vertAlign w:val="superscript"/>
              </w:rPr>
            </w:pPr>
            <w:r w:rsidRPr="00C928D8">
              <w:rPr>
                <w:rFonts w:asciiTheme="minorHAnsi" w:hAnsiTheme="minorHAnsi" w:cstheme="minorHAnsi"/>
                <w:sz w:val="20"/>
                <w:szCs w:val="20"/>
              </w:rPr>
              <w:t>Broad unemployment rate (average for the year, ages 25–64)</w:t>
            </w:r>
            <w:r w:rsidRPr="00C928D8">
              <w:rPr>
                <w:rFonts w:asciiTheme="minorHAnsi" w:hAnsiTheme="minorHAnsi" w:cstheme="minorHAnsi"/>
                <w:sz w:val="20"/>
                <w:szCs w:val="20"/>
                <w:vertAlign w:val="superscript"/>
              </w:rPr>
              <w:t>b</w:t>
            </w:r>
          </w:p>
        </w:tc>
        <w:tc>
          <w:tcPr>
            <w:tcW w:w="1077" w:type="dxa"/>
            <w:tcBorders>
              <w:top w:val="single" w:sz="4" w:space="0" w:color="auto"/>
              <w:left w:val="single" w:sz="4" w:space="0" w:color="auto"/>
              <w:bottom w:val="single" w:sz="4" w:space="0" w:color="auto"/>
              <w:right w:val="nil"/>
            </w:tcBorders>
            <w:shd w:val="clear" w:color="auto" w:fill="auto"/>
          </w:tcPr>
          <w:p w14:paraId="5560EA0D"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4.4</w:t>
            </w:r>
          </w:p>
        </w:tc>
        <w:tc>
          <w:tcPr>
            <w:tcW w:w="1077" w:type="dxa"/>
            <w:tcBorders>
              <w:top w:val="single" w:sz="4" w:space="0" w:color="auto"/>
              <w:left w:val="single" w:sz="4" w:space="0" w:color="auto"/>
              <w:bottom w:val="single" w:sz="4" w:space="0" w:color="auto"/>
              <w:right w:val="nil"/>
            </w:tcBorders>
            <w:shd w:val="clear" w:color="auto" w:fill="auto"/>
          </w:tcPr>
          <w:p w14:paraId="01FFD29D" w14:textId="38EB5CF3"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4.0</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4E3F7500" w14:textId="17561731"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0.3</w:t>
            </w:r>
          </w:p>
        </w:tc>
        <w:tc>
          <w:tcPr>
            <w:tcW w:w="1077" w:type="dxa"/>
            <w:tcBorders>
              <w:top w:val="single" w:sz="4" w:space="0" w:color="auto"/>
              <w:left w:val="nil"/>
              <w:bottom w:val="single" w:sz="4" w:space="0" w:color="auto"/>
              <w:right w:val="single" w:sz="4" w:space="0" w:color="auto"/>
            </w:tcBorders>
            <w:shd w:val="clear" w:color="auto" w:fill="auto"/>
          </w:tcPr>
          <w:p w14:paraId="73786208" w14:textId="60AD376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w:t>
            </w:r>
            <w:r w:rsidR="006866C5" w:rsidRPr="00C928D8">
              <w:rPr>
                <w:rFonts w:asciiTheme="minorHAnsi" w:hAnsiTheme="minorHAnsi" w:cstheme="minorHAnsi"/>
                <w:sz w:val="20"/>
                <w:szCs w:val="20"/>
              </w:rPr>
              <w:t>8</w:t>
            </w:r>
          </w:p>
        </w:tc>
        <w:tc>
          <w:tcPr>
            <w:tcW w:w="1078" w:type="dxa"/>
            <w:shd w:val="clear" w:color="auto" w:fill="B8CCE4" w:themeFill="accent1" w:themeFillTint="66"/>
          </w:tcPr>
          <w:p w14:paraId="6C55C65D" w14:textId="7D1B83A0"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5D48064E" w14:textId="77777777" w:rsidTr="00FB517F">
        <w:tc>
          <w:tcPr>
            <w:tcW w:w="5240" w:type="dxa"/>
            <w:tcBorders>
              <w:top w:val="single" w:sz="4" w:space="0" w:color="auto"/>
              <w:bottom w:val="single" w:sz="4" w:space="0" w:color="auto"/>
            </w:tcBorders>
            <w:vAlign w:val="bottom"/>
          </w:tcPr>
          <w:p w14:paraId="0CC5E9A6"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Adjusted employment rate (average for the year, ages 25–64)</w:t>
            </w:r>
            <w:r w:rsidRPr="00C928D8">
              <w:rPr>
                <w:rFonts w:asciiTheme="minorHAnsi" w:hAnsiTheme="minorHAnsi" w:cstheme="minorHAnsi"/>
                <w:sz w:val="20"/>
                <w:szCs w:val="20"/>
                <w:vertAlign w:val="superscript"/>
              </w:rPr>
              <w:t>b</w:t>
            </w:r>
          </w:p>
        </w:tc>
        <w:tc>
          <w:tcPr>
            <w:tcW w:w="1077" w:type="dxa"/>
            <w:tcBorders>
              <w:top w:val="single" w:sz="4" w:space="0" w:color="auto"/>
              <w:left w:val="single" w:sz="4" w:space="0" w:color="auto"/>
              <w:bottom w:val="single" w:sz="4" w:space="0" w:color="auto"/>
              <w:right w:val="nil"/>
            </w:tcBorders>
            <w:shd w:val="clear" w:color="auto" w:fill="auto"/>
          </w:tcPr>
          <w:p w14:paraId="1FA134A9"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77.</w:t>
            </w:r>
            <w:r w:rsidR="00FA56BE" w:rsidRPr="00C928D8">
              <w:rPr>
                <w:rFonts w:asciiTheme="minorHAnsi" w:hAnsiTheme="minorHAnsi" w:cstheme="minorHAnsi"/>
                <w:sz w:val="20"/>
                <w:szCs w:val="20"/>
              </w:rPr>
              <w:t>8</w:t>
            </w:r>
          </w:p>
        </w:tc>
        <w:tc>
          <w:tcPr>
            <w:tcW w:w="1077" w:type="dxa"/>
            <w:tcBorders>
              <w:top w:val="single" w:sz="4" w:space="0" w:color="auto"/>
              <w:left w:val="single" w:sz="4" w:space="0" w:color="auto"/>
              <w:bottom w:val="single" w:sz="4" w:space="0" w:color="auto"/>
              <w:right w:val="nil"/>
            </w:tcBorders>
            <w:shd w:val="clear" w:color="auto" w:fill="auto"/>
          </w:tcPr>
          <w:p w14:paraId="066E0972" w14:textId="791B1AD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77.</w:t>
            </w:r>
            <w:r w:rsidR="006866C5" w:rsidRPr="00C928D8">
              <w:rPr>
                <w:rFonts w:asciiTheme="minorHAnsi" w:hAnsiTheme="minorHAnsi" w:cstheme="minorHAnsi"/>
                <w:sz w:val="20"/>
                <w:szCs w:val="20"/>
              </w:rPr>
              <w:t>6</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466D09EB" w14:textId="41414340"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3</w:t>
            </w:r>
          </w:p>
        </w:tc>
        <w:tc>
          <w:tcPr>
            <w:tcW w:w="1077" w:type="dxa"/>
            <w:tcBorders>
              <w:top w:val="single" w:sz="4" w:space="0" w:color="auto"/>
              <w:left w:val="nil"/>
              <w:bottom w:val="single" w:sz="4" w:space="0" w:color="auto"/>
              <w:right w:val="single" w:sz="4" w:space="0" w:color="auto"/>
            </w:tcBorders>
            <w:shd w:val="clear" w:color="auto" w:fill="auto"/>
          </w:tcPr>
          <w:p w14:paraId="60225C5A" w14:textId="4DD69395"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7</w:t>
            </w:r>
            <w:r w:rsidR="006866C5" w:rsidRPr="00C928D8">
              <w:rPr>
                <w:rFonts w:asciiTheme="minorHAnsi" w:hAnsiTheme="minorHAnsi" w:cstheme="minorHAnsi"/>
                <w:sz w:val="20"/>
                <w:szCs w:val="20"/>
              </w:rPr>
              <w:t>7.7</w:t>
            </w:r>
          </w:p>
        </w:tc>
        <w:tc>
          <w:tcPr>
            <w:tcW w:w="1078" w:type="dxa"/>
            <w:shd w:val="clear" w:color="auto" w:fill="B8CCE4" w:themeFill="accent1" w:themeFillTint="66"/>
          </w:tcPr>
          <w:p w14:paraId="213DDCB0" w14:textId="77777777"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FA56BE" w:rsidRPr="00C928D8">
              <w:rPr>
                <w:rFonts w:asciiTheme="minorHAnsi" w:hAnsiTheme="minorHAnsi" w:cstheme="minorHAnsi"/>
                <w:sz w:val="20"/>
                <w:szCs w:val="20"/>
              </w:rPr>
              <w:t>5</w:t>
            </w:r>
          </w:p>
        </w:tc>
      </w:tr>
      <w:tr w:rsidR="005D1848" w:rsidRPr="00C928D8" w14:paraId="614BFC06" w14:textId="77777777" w:rsidTr="00FB517F">
        <w:tc>
          <w:tcPr>
            <w:tcW w:w="5240" w:type="dxa"/>
            <w:tcBorders>
              <w:top w:val="single" w:sz="4" w:space="0" w:color="auto"/>
              <w:bottom w:val="single" w:sz="4" w:space="0" w:color="auto"/>
            </w:tcBorders>
            <w:vAlign w:val="bottom"/>
          </w:tcPr>
          <w:p w14:paraId="2F26CB48"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Government deficit (percent of GDP)</w:t>
            </w:r>
          </w:p>
        </w:tc>
        <w:tc>
          <w:tcPr>
            <w:tcW w:w="1077" w:type="dxa"/>
            <w:tcBorders>
              <w:top w:val="single" w:sz="4" w:space="0" w:color="auto"/>
              <w:left w:val="single" w:sz="4" w:space="0" w:color="auto"/>
              <w:bottom w:val="single" w:sz="4" w:space="0" w:color="auto"/>
              <w:right w:val="nil"/>
            </w:tcBorders>
            <w:shd w:val="clear" w:color="auto" w:fill="auto"/>
          </w:tcPr>
          <w:p w14:paraId="7E51670A" w14:textId="05E2F4BD" w:rsidR="005D1848" w:rsidRPr="00C928D8" w:rsidRDefault="0096107D" w:rsidP="00C928D8">
            <w:pPr>
              <w:bidi w:val="0"/>
              <w:spacing w:line="360" w:lineRule="auto"/>
              <w:jc w:val="center"/>
              <w:rPr>
                <w:rFonts w:asciiTheme="minorHAnsi" w:hAnsiTheme="minorHAnsi" w:cstheme="minorHAnsi"/>
                <w:sz w:val="20"/>
                <w:szCs w:val="20"/>
                <w:rtl/>
              </w:rPr>
            </w:pPr>
            <w:r w:rsidRPr="00C928D8">
              <w:rPr>
                <w:rFonts w:asciiTheme="minorHAnsi" w:hAnsiTheme="minorHAnsi" w:cstheme="minorHAnsi"/>
                <w:sz w:val="20"/>
                <w:szCs w:val="20"/>
              </w:rPr>
              <w:t>4.1</w:t>
            </w:r>
          </w:p>
        </w:tc>
        <w:tc>
          <w:tcPr>
            <w:tcW w:w="1077" w:type="dxa"/>
            <w:tcBorders>
              <w:top w:val="single" w:sz="4" w:space="0" w:color="auto"/>
              <w:left w:val="single" w:sz="4" w:space="0" w:color="auto"/>
              <w:bottom w:val="single" w:sz="4" w:space="0" w:color="auto"/>
              <w:right w:val="nil"/>
            </w:tcBorders>
            <w:shd w:val="clear" w:color="auto" w:fill="auto"/>
          </w:tcPr>
          <w:p w14:paraId="13EADB54" w14:textId="17C6D27A"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w:t>
            </w:r>
            <w:r w:rsidR="004B2862" w:rsidRPr="00C928D8">
              <w:rPr>
                <w:rFonts w:asciiTheme="minorHAnsi" w:hAnsiTheme="minorHAnsi" w:cstheme="minorHAnsi"/>
                <w:sz w:val="20"/>
                <w:szCs w:val="20"/>
              </w:rPr>
              <w:t>6</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33ECE02F" w14:textId="29331DDC" w:rsidR="005D1848" w:rsidRPr="00C928D8" w:rsidRDefault="004B2862"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0.0</w:t>
            </w:r>
          </w:p>
        </w:tc>
        <w:tc>
          <w:tcPr>
            <w:tcW w:w="1077" w:type="dxa"/>
            <w:tcBorders>
              <w:top w:val="single" w:sz="4" w:space="0" w:color="auto"/>
              <w:left w:val="nil"/>
              <w:bottom w:val="single" w:sz="4" w:space="0" w:color="auto"/>
              <w:right w:val="single" w:sz="4" w:space="0" w:color="auto"/>
            </w:tcBorders>
            <w:shd w:val="clear" w:color="auto" w:fill="auto"/>
          </w:tcPr>
          <w:p w14:paraId="21614D88" w14:textId="7C0FEE2B"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4.</w:t>
            </w:r>
            <w:r w:rsidR="004B2862" w:rsidRPr="00C928D8">
              <w:rPr>
                <w:rFonts w:asciiTheme="minorHAnsi" w:hAnsiTheme="minorHAnsi" w:cstheme="minorHAnsi"/>
                <w:sz w:val="20"/>
                <w:szCs w:val="20"/>
              </w:rPr>
              <w:t>0</w:t>
            </w:r>
          </w:p>
        </w:tc>
        <w:tc>
          <w:tcPr>
            <w:tcW w:w="1078" w:type="dxa"/>
            <w:shd w:val="clear" w:color="auto" w:fill="B8CCE4" w:themeFill="accent1" w:themeFillTint="66"/>
            <w:vAlign w:val="bottom"/>
          </w:tcPr>
          <w:p w14:paraId="2CE827CF" w14:textId="12990BA0"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w:t>
            </w:r>
            <w:r w:rsidR="005D1848" w:rsidRPr="00C928D8">
              <w:rPr>
                <w:rFonts w:asciiTheme="minorHAnsi" w:hAnsiTheme="minorHAnsi" w:cstheme="minorHAnsi"/>
                <w:sz w:val="20"/>
                <w:szCs w:val="20"/>
              </w:rPr>
              <w:t>0.</w:t>
            </w:r>
            <w:r w:rsidR="004B2862" w:rsidRPr="00C928D8">
              <w:rPr>
                <w:rFonts w:asciiTheme="minorHAnsi" w:hAnsiTheme="minorHAnsi" w:cstheme="minorHAnsi"/>
                <w:sz w:val="20"/>
                <w:szCs w:val="20"/>
              </w:rPr>
              <w:t>6</w:t>
            </w:r>
          </w:p>
        </w:tc>
      </w:tr>
      <w:tr w:rsidR="005D1848" w:rsidRPr="00C928D8" w14:paraId="08657FB4" w14:textId="77777777" w:rsidTr="00FB517F">
        <w:tc>
          <w:tcPr>
            <w:tcW w:w="5240" w:type="dxa"/>
            <w:tcBorders>
              <w:top w:val="single" w:sz="4" w:space="0" w:color="auto"/>
              <w:bottom w:val="single" w:sz="4" w:space="0" w:color="auto"/>
            </w:tcBorders>
            <w:vAlign w:val="bottom"/>
          </w:tcPr>
          <w:p w14:paraId="3B106B7D" w14:textId="77777777" w:rsidR="005D1848" w:rsidRPr="00C928D8" w:rsidRDefault="005D1848" w:rsidP="00C928D8">
            <w:p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Debt to GDP ratio (percent)</w:t>
            </w:r>
          </w:p>
        </w:tc>
        <w:tc>
          <w:tcPr>
            <w:tcW w:w="1077" w:type="dxa"/>
            <w:tcBorders>
              <w:top w:val="single" w:sz="4" w:space="0" w:color="auto"/>
              <w:left w:val="single" w:sz="4" w:space="0" w:color="auto"/>
              <w:bottom w:val="single" w:sz="4" w:space="0" w:color="auto"/>
              <w:right w:val="nil"/>
            </w:tcBorders>
            <w:shd w:val="clear" w:color="auto" w:fill="auto"/>
          </w:tcPr>
          <w:p w14:paraId="7FF8772B" w14:textId="2B48F4C4"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62</w:t>
            </w:r>
            <w:r w:rsidR="001971AC" w:rsidRPr="00C928D8">
              <w:rPr>
                <w:rFonts w:asciiTheme="minorHAnsi" w:hAnsiTheme="minorHAnsi" w:cstheme="minorHAnsi"/>
                <w:sz w:val="20"/>
                <w:szCs w:val="20"/>
              </w:rPr>
              <w:t>.0</w:t>
            </w:r>
          </w:p>
        </w:tc>
        <w:tc>
          <w:tcPr>
            <w:tcW w:w="1077" w:type="dxa"/>
            <w:tcBorders>
              <w:top w:val="single" w:sz="4" w:space="0" w:color="auto"/>
              <w:left w:val="single" w:sz="4" w:space="0" w:color="auto"/>
              <w:bottom w:val="single" w:sz="4" w:space="0" w:color="auto"/>
              <w:right w:val="nil"/>
            </w:tcBorders>
            <w:shd w:val="clear" w:color="auto" w:fill="auto"/>
          </w:tcPr>
          <w:p w14:paraId="7A00A7E0" w14:textId="35CC3D5A" w:rsidR="005D1848" w:rsidRPr="00C928D8" w:rsidRDefault="000C62F4"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tl/>
              </w:rPr>
              <w:t>67</w:t>
            </w:r>
            <w:r w:rsidR="004B2862" w:rsidRPr="00C928D8">
              <w:rPr>
                <w:rFonts w:asciiTheme="minorHAnsi" w:hAnsiTheme="minorHAnsi" w:cstheme="minorHAnsi"/>
                <w:sz w:val="20"/>
                <w:szCs w:val="20"/>
              </w:rPr>
              <w:t>.5</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063534F0" w14:textId="62A8414C"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4B2862" w:rsidRPr="00C928D8">
              <w:rPr>
                <w:rFonts w:asciiTheme="minorHAnsi" w:hAnsiTheme="minorHAnsi" w:cstheme="minorHAnsi"/>
                <w:sz w:val="20"/>
                <w:szCs w:val="20"/>
              </w:rPr>
              <w:t>5</w:t>
            </w:r>
          </w:p>
        </w:tc>
        <w:tc>
          <w:tcPr>
            <w:tcW w:w="1077" w:type="dxa"/>
            <w:tcBorders>
              <w:top w:val="single" w:sz="4" w:space="0" w:color="auto"/>
              <w:left w:val="nil"/>
              <w:bottom w:val="single" w:sz="4" w:space="0" w:color="auto"/>
              <w:right w:val="single" w:sz="4" w:space="0" w:color="auto"/>
            </w:tcBorders>
            <w:shd w:val="clear" w:color="auto" w:fill="auto"/>
          </w:tcPr>
          <w:p w14:paraId="423C98B4" w14:textId="0E930AE4"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6</w:t>
            </w:r>
            <w:r w:rsidR="006866C5" w:rsidRPr="00C928D8">
              <w:rPr>
                <w:rFonts w:asciiTheme="minorHAnsi" w:hAnsiTheme="minorHAnsi" w:cstheme="minorHAnsi"/>
                <w:sz w:val="20"/>
                <w:szCs w:val="20"/>
              </w:rPr>
              <w:t>8.5</w:t>
            </w:r>
          </w:p>
        </w:tc>
        <w:tc>
          <w:tcPr>
            <w:tcW w:w="1078" w:type="dxa"/>
            <w:shd w:val="clear" w:color="auto" w:fill="B8CCE4" w:themeFill="accent1" w:themeFillTint="66"/>
            <w:vAlign w:val="bottom"/>
          </w:tcPr>
          <w:p w14:paraId="29BB101A" w14:textId="66B418D3"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1</w:t>
            </w:r>
            <w:r w:rsidR="006866C5" w:rsidRPr="00C928D8">
              <w:rPr>
                <w:rFonts w:asciiTheme="minorHAnsi" w:hAnsiTheme="minorHAnsi" w:cstheme="minorHAnsi"/>
                <w:sz w:val="20"/>
                <w:szCs w:val="20"/>
              </w:rPr>
              <w:t>.5</w:t>
            </w:r>
          </w:p>
        </w:tc>
      </w:tr>
      <w:tr w:rsidR="005D1848" w:rsidRPr="00C928D8" w14:paraId="3A3FF564" w14:textId="77777777" w:rsidTr="00FB517F">
        <w:tc>
          <w:tcPr>
            <w:tcW w:w="5240" w:type="dxa"/>
            <w:tcBorders>
              <w:top w:val="single" w:sz="4" w:space="0" w:color="auto"/>
              <w:bottom w:val="single" w:sz="4" w:space="0" w:color="auto"/>
            </w:tcBorders>
            <w:vAlign w:val="bottom"/>
          </w:tcPr>
          <w:p w14:paraId="38E0D018" w14:textId="77777777" w:rsidR="005D1848" w:rsidRPr="00C928D8" w:rsidRDefault="005D1848" w:rsidP="00C928D8">
            <w:pPr>
              <w:bidi w:val="0"/>
              <w:spacing w:line="360" w:lineRule="auto"/>
              <w:rPr>
                <w:rFonts w:asciiTheme="minorHAnsi" w:hAnsiTheme="minorHAnsi" w:cstheme="minorHAnsi"/>
                <w:sz w:val="20"/>
                <w:szCs w:val="20"/>
                <w:vertAlign w:val="superscript"/>
              </w:rPr>
            </w:pPr>
            <w:r w:rsidRPr="00C928D8">
              <w:rPr>
                <w:rFonts w:asciiTheme="minorHAnsi" w:hAnsiTheme="minorHAnsi" w:cstheme="minorHAnsi"/>
                <w:sz w:val="20"/>
                <w:szCs w:val="20"/>
              </w:rPr>
              <w:t>Inflation (percent)</w:t>
            </w:r>
            <w:r w:rsidRPr="00C928D8">
              <w:rPr>
                <w:rFonts w:asciiTheme="minorHAnsi" w:hAnsiTheme="minorHAnsi" w:cstheme="minorHAnsi"/>
                <w:sz w:val="20"/>
                <w:szCs w:val="20"/>
                <w:vertAlign w:val="superscript"/>
              </w:rPr>
              <w:t>c</w:t>
            </w:r>
          </w:p>
        </w:tc>
        <w:tc>
          <w:tcPr>
            <w:tcW w:w="1077" w:type="dxa"/>
            <w:tcBorders>
              <w:top w:val="single" w:sz="4" w:space="0" w:color="auto"/>
              <w:left w:val="single" w:sz="4" w:space="0" w:color="auto"/>
              <w:bottom w:val="single" w:sz="4" w:space="0" w:color="auto"/>
              <w:right w:val="nil"/>
            </w:tcBorders>
            <w:shd w:val="clear" w:color="auto" w:fill="auto"/>
          </w:tcPr>
          <w:p w14:paraId="239BE8EF" w14:textId="77777777" w:rsidR="005D1848" w:rsidRPr="00C928D8" w:rsidRDefault="00F84544"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w:t>
            </w:r>
            <w:r w:rsidR="00DC0990" w:rsidRPr="00C928D8">
              <w:rPr>
                <w:rFonts w:asciiTheme="minorHAnsi" w:hAnsiTheme="minorHAnsi" w:cstheme="minorHAnsi"/>
                <w:sz w:val="20"/>
                <w:szCs w:val="20"/>
              </w:rPr>
              <w:t>3</w:t>
            </w:r>
          </w:p>
        </w:tc>
        <w:tc>
          <w:tcPr>
            <w:tcW w:w="1077" w:type="dxa"/>
            <w:tcBorders>
              <w:top w:val="single" w:sz="4" w:space="0" w:color="auto"/>
              <w:left w:val="single" w:sz="4" w:space="0" w:color="auto"/>
              <w:bottom w:val="single" w:sz="4" w:space="0" w:color="auto"/>
              <w:right w:val="nil"/>
            </w:tcBorders>
            <w:shd w:val="clear" w:color="auto" w:fill="auto"/>
          </w:tcPr>
          <w:p w14:paraId="2F43E5DA" w14:textId="1707BF34" w:rsidR="005D1848" w:rsidRPr="00C928D8" w:rsidRDefault="006866C5"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3.0</w:t>
            </w:r>
          </w:p>
        </w:tc>
        <w:tc>
          <w:tcPr>
            <w:tcW w:w="1078" w:type="dxa"/>
            <w:tcBorders>
              <w:top w:val="single" w:sz="4" w:space="0" w:color="auto"/>
              <w:left w:val="nil"/>
              <w:bottom w:val="single" w:sz="4" w:space="0" w:color="auto"/>
              <w:right w:val="single" w:sz="4" w:space="0" w:color="auto"/>
            </w:tcBorders>
            <w:shd w:val="clear" w:color="auto" w:fill="C6D9F1" w:themeFill="text2" w:themeFillTint="33"/>
          </w:tcPr>
          <w:p w14:paraId="5AD5AB8B" w14:textId="77777777"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0.3</w:t>
            </w:r>
          </w:p>
        </w:tc>
        <w:tc>
          <w:tcPr>
            <w:tcW w:w="1077" w:type="dxa"/>
            <w:tcBorders>
              <w:top w:val="single" w:sz="4" w:space="0" w:color="auto"/>
              <w:left w:val="nil"/>
              <w:bottom w:val="single" w:sz="4" w:space="0" w:color="auto"/>
              <w:right w:val="single" w:sz="4" w:space="0" w:color="auto"/>
            </w:tcBorders>
            <w:shd w:val="clear" w:color="auto" w:fill="auto"/>
          </w:tcPr>
          <w:p w14:paraId="5222DB0C" w14:textId="1749EB86" w:rsidR="005D1848" w:rsidRPr="00C928D8" w:rsidRDefault="005D1848"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2.</w:t>
            </w:r>
            <w:r w:rsidR="006866C5" w:rsidRPr="00C928D8">
              <w:rPr>
                <w:rFonts w:asciiTheme="minorHAnsi" w:hAnsiTheme="minorHAnsi" w:cstheme="minorHAnsi"/>
                <w:sz w:val="20"/>
                <w:szCs w:val="20"/>
              </w:rPr>
              <w:t>8</w:t>
            </w:r>
          </w:p>
        </w:tc>
        <w:tc>
          <w:tcPr>
            <w:tcW w:w="1078" w:type="dxa"/>
            <w:shd w:val="clear" w:color="auto" w:fill="B8CCE4" w:themeFill="accent1" w:themeFillTint="66"/>
            <w:vAlign w:val="bottom"/>
          </w:tcPr>
          <w:p w14:paraId="1E3A3640" w14:textId="04DD9394" w:rsidR="005D1848" w:rsidRPr="00C928D8" w:rsidRDefault="00FA56BE" w:rsidP="00C928D8">
            <w:pPr>
              <w:bidi w:val="0"/>
              <w:spacing w:line="360" w:lineRule="auto"/>
              <w:jc w:val="center"/>
              <w:rPr>
                <w:rFonts w:asciiTheme="minorHAnsi" w:hAnsiTheme="minorHAnsi" w:cstheme="minorHAnsi"/>
                <w:sz w:val="20"/>
                <w:szCs w:val="20"/>
              </w:rPr>
            </w:pPr>
            <w:r w:rsidRPr="00C928D8">
              <w:rPr>
                <w:rFonts w:asciiTheme="minorHAnsi" w:hAnsiTheme="minorHAnsi" w:cstheme="minorHAnsi"/>
                <w:sz w:val="20"/>
                <w:szCs w:val="20"/>
              </w:rPr>
              <w:t>0.</w:t>
            </w:r>
            <w:r w:rsidR="006866C5" w:rsidRPr="00C928D8">
              <w:rPr>
                <w:rFonts w:asciiTheme="minorHAnsi" w:hAnsiTheme="minorHAnsi" w:cstheme="minorHAnsi"/>
                <w:sz w:val="20"/>
                <w:szCs w:val="20"/>
              </w:rPr>
              <w:t>5</w:t>
            </w:r>
          </w:p>
        </w:tc>
      </w:tr>
      <w:tr w:rsidR="005D1848" w:rsidRPr="00C928D8" w14:paraId="299251E9" w14:textId="77777777" w:rsidTr="006A6BC6">
        <w:tc>
          <w:tcPr>
            <w:tcW w:w="10627" w:type="dxa"/>
            <w:gridSpan w:val="6"/>
            <w:tcBorders>
              <w:top w:val="single" w:sz="4" w:space="0" w:color="auto"/>
              <w:bottom w:val="single" w:sz="4" w:space="0" w:color="auto"/>
              <w:right w:val="single" w:sz="4" w:space="0" w:color="auto"/>
            </w:tcBorders>
            <w:vAlign w:val="bottom"/>
          </w:tcPr>
          <w:p w14:paraId="42B5C363" w14:textId="3FFCA8B7" w:rsidR="005D1848" w:rsidRPr="00C928D8" w:rsidRDefault="005D1848" w:rsidP="00C928D8">
            <w:pPr>
              <w:bidi w:val="0"/>
              <w:spacing w:line="360" w:lineRule="auto"/>
              <w:rPr>
                <w:rFonts w:asciiTheme="minorHAnsi" w:hAnsiTheme="minorHAnsi" w:cstheme="minorHAnsi"/>
                <w:sz w:val="18"/>
                <w:szCs w:val="18"/>
              </w:rPr>
            </w:pPr>
            <w:proofErr w:type="spellStart"/>
            <w:proofErr w:type="gramStart"/>
            <w:r w:rsidRPr="00C928D8">
              <w:rPr>
                <w:rFonts w:asciiTheme="minorHAnsi" w:hAnsiTheme="minorHAnsi" w:cstheme="minorHAnsi"/>
                <w:sz w:val="18"/>
                <w:szCs w:val="18"/>
                <w:vertAlign w:val="superscript"/>
              </w:rPr>
              <w:t>a</w:t>
            </w:r>
            <w:proofErr w:type="spellEnd"/>
            <w:proofErr w:type="gramEnd"/>
            <w:r w:rsidRPr="00C928D8">
              <w:rPr>
                <w:rFonts w:asciiTheme="minorHAnsi" w:hAnsiTheme="minorHAnsi" w:cstheme="minorHAnsi"/>
                <w:sz w:val="18"/>
                <w:szCs w:val="18"/>
                <w:vertAlign w:val="superscript"/>
              </w:rPr>
              <w:t xml:space="preserve"> </w:t>
            </w:r>
            <w:r w:rsidR="001971AC" w:rsidRPr="00C928D8">
              <w:rPr>
                <w:rFonts w:asciiTheme="minorHAnsi" w:hAnsiTheme="minorHAnsi" w:cstheme="minorHAnsi"/>
                <w:sz w:val="18"/>
                <w:szCs w:val="18"/>
              </w:rPr>
              <w:t>T</w:t>
            </w:r>
            <w:r w:rsidRPr="00C928D8">
              <w:rPr>
                <w:rFonts w:asciiTheme="minorHAnsi" w:hAnsiTheme="minorHAnsi" w:cstheme="minorHAnsi"/>
                <w:sz w:val="18"/>
                <w:szCs w:val="18"/>
              </w:rPr>
              <w:t>he forecast</w:t>
            </w:r>
            <w:r w:rsidR="000B4DDD" w:rsidRPr="00C928D8">
              <w:rPr>
                <w:rFonts w:asciiTheme="minorHAnsi" w:hAnsiTheme="minorHAnsi" w:cstheme="minorHAnsi"/>
                <w:sz w:val="18"/>
                <w:szCs w:val="18"/>
              </w:rPr>
              <w:t>s</w:t>
            </w:r>
            <w:r w:rsidRPr="00C928D8">
              <w:rPr>
                <w:rFonts w:asciiTheme="minorHAnsi" w:hAnsiTheme="minorHAnsi" w:cstheme="minorHAnsi"/>
                <w:sz w:val="18"/>
                <w:szCs w:val="18"/>
              </w:rPr>
              <w:t xml:space="preserve"> of </w:t>
            </w:r>
            <w:r w:rsidR="000B4DDD" w:rsidRPr="00C928D8">
              <w:rPr>
                <w:rFonts w:asciiTheme="minorHAnsi" w:hAnsiTheme="minorHAnsi" w:cstheme="minorHAnsi"/>
                <w:sz w:val="18"/>
                <w:szCs w:val="18"/>
              </w:rPr>
              <w:t xml:space="preserve">the </w:t>
            </w:r>
            <w:r w:rsidRPr="00C928D8">
              <w:rPr>
                <w:rFonts w:asciiTheme="minorHAnsi" w:hAnsiTheme="minorHAnsi" w:cstheme="minorHAnsi"/>
                <w:sz w:val="18"/>
                <w:szCs w:val="18"/>
              </w:rPr>
              <w:t>National Accounts components</w:t>
            </w:r>
            <w:r w:rsidR="001971AC" w:rsidRPr="00C928D8">
              <w:rPr>
                <w:rFonts w:asciiTheme="minorHAnsi" w:hAnsiTheme="minorHAnsi" w:cstheme="minorHAnsi"/>
                <w:sz w:val="18"/>
                <w:szCs w:val="18"/>
              </w:rPr>
              <w:t xml:space="preserve"> and </w:t>
            </w:r>
            <w:r w:rsidR="000B4DDD" w:rsidRPr="00C928D8">
              <w:rPr>
                <w:rFonts w:asciiTheme="minorHAnsi" w:hAnsiTheme="minorHAnsi" w:cstheme="minorHAnsi"/>
                <w:sz w:val="18"/>
                <w:szCs w:val="18"/>
              </w:rPr>
              <w:t>the d</w:t>
            </w:r>
            <w:r w:rsidR="001971AC" w:rsidRPr="00C928D8">
              <w:rPr>
                <w:rFonts w:asciiTheme="minorHAnsi" w:hAnsiTheme="minorHAnsi" w:cstheme="minorHAnsi"/>
                <w:sz w:val="18"/>
                <w:szCs w:val="18"/>
              </w:rPr>
              <w:t>ebt to GDP ratio</w:t>
            </w:r>
            <w:r w:rsidRPr="00C928D8">
              <w:rPr>
                <w:rFonts w:asciiTheme="minorHAnsi" w:hAnsiTheme="minorHAnsi" w:cstheme="minorHAnsi"/>
                <w:sz w:val="18"/>
                <w:szCs w:val="18"/>
              </w:rPr>
              <w:t xml:space="preserve"> </w:t>
            </w:r>
            <w:r w:rsidR="000B4DDD" w:rsidRPr="00C928D8">
              <w:rPr>
                <w:rFonts w:asciiTheme="minorHAnsi" w:hAnsiTheme="minorHAnsi" w:cstheme="minorHAnsi"/>
                <w:sz w:val="18"/>
                <w:szCs w:val="18"/>
              </w:rPr>
              <w:t>are</w:t>
            </w:r>
            <w:r w:rsidRPr="00C928D8">
              <w:rPr>
                <w:rFonts w:asciiTheme="minorHAnsi" w:hAnsiTheme="minorHAnsi" w:cstheme="minorHAnsi"/>
                <w:sz w:val="18"/>
                <w:szCs w:val="18"/>
              </w:rPr>
              <w:t xml:space="preserve"> rounded to the nearest half percentage point.</w:t>
            </w:r>
          </w:p>
          <w:p w14:paraId="5215806F" w14:textId="77777777" w:rsidR="005D1848" w:rsidRPr="00C928D8" w:rsidRDefault="005D1848" w:rsidP="00C928D8">
            <w:pPr>
              <w:bidi w:val="0"/>
              <w:spacing w:line="360" w:lineRule="auto"/>
              <w:rPr>
                <w:rFonts w:asciiTheme="minorHAnsi" w:hAnsiTheme="minorHAnsi" w:cstheme="minorHAnsi"/>
                <w:sz w:val="18"/>
                <w:szCs w:val="18"/>
              </w:rPr>
            </w:pPr>
            <w:r w:rsidRPr="00C928D8">
              <w:rPr>
                <w:rFonts w:asciiTheme="minorHAnsi" w:hAnsiTheme="minorHAnsi" w:cstheme="minorHAnsi"/>
                <w:sz w:val="18"/>
                <w:szCs w:val="18"/>
                <w:vertAlign w:val="superscript"/>
              </w:rPr>
              <w:t>b</w:t>
            </w:r>
            <w:r w:rsidRPr="00C928D8">
              <w:rPr>
                <w:rFonts w:asciiTheme="minorHAnsi" w:hAnsiTheme="minorHAnsi" w:cstheme="minorHAnsi"/>
                <w:sz w:val="18"/>
                <w:szCs w:val="18"/>
              </w:rPr>
              <w:t xml:space="preserv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  Accordingly, the adjusted employment rate does not include those temporarily absent from their jobs for economic reasons.</w:t>
            </w:r>
          </w:p>
          <w:p w14:paraId="1DED0981" w14:textId="77777777" w:rsidR="005D1848" w:rsidRPr="00C928D8" w:rsidRDefault="005D1848" w:rsidP="00C928D8">
            <w:pPr>
              <w:bidi w:val="0"/>
              <w:spacing w:line="360" w:lineRule="auto"/>
              <w:rPr>
                <w:rFonts w:asciiTheme="minorHAnsi" w:hAnsiTheme="minorHAnsi" w:cstheme="minorHAnsi"/>
                <w:sz w:val="18"/>
                <w:szCs w:val="18"/>
                <w:vertAlign w:val="superscript"/>
              </w:rPr>
            </w:pPr>
            <w:proofErr w:type="gramStart"/>
            <w:r w:rsidRPr="00C928D8">
              <w:rPr>
                <w:rFonts w:asciiTheme="minorHAnsi" w:hAnsiTheme="minorHAnsi" w:cstheme="minorHAnsi"/>
                <w:sz w:val="18"/>
                <w:szCs w:val="18"/>
                <w:vertAlign w:val="superscript"/>
              </w:rPr>
              <w:t>c</w:t>
            </w:r>
            <w:proofErr w:type="gramEnd"/>
            <w:r w:rsidRPr="00C928D8">
              <w:rPr>
                <w:rFonts w:asciiTheme="minorHAnsi" w:hAnsiTheme="minorHAnsi" w:cstheme="minorHAnsi"/>
                <w:sz w:val="18"/>
                <w:szCs w:val="18"/>
              </w:rPr>
              <w:t xml:space="preserve"> The average of the Consumer Price Index in the last quarter of the year compared with the average in the last quarter of the previous year.</w:t>
            </w:r>
          </w:p>
        </w:tc>
      </w:tr>
    </w:tbl>
    <w:p w14:paraId="6D5D2C63" w14:textId="77777777" w:rsidR="00E718CD" w:rsidRPr="00C928D8" w:rsidRDefault="00E718CD" w:rsidP="00C928D8">
      <w:pPr>
        <w:bidi w:val="0"/>
        <w:spacing w:line="360" w:lineRule="auto"/>
        <w:jc w:val="both"/>
        <w:rPr>
          <w:rFonts w:asciiTheme="minorHAnsi" w:hAnsiTheme="minorHAnsi" w:cstheme="minorHAnsi"/>
          <w:b/>
          <w:bCs/>
        </w:rPr>
      </w:pPr>
    </w:p>
    <w:p w14:paraId="2A7CBC84" w14:textId="77777777" w:rsidR="00A21D01" w:rsidRPr="00C928D8" w:rsidRDefault="00A21D01"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 xml:space="preserve">Inflation and interest rates </w:t>
      </w:r>
    </w:p>
    <w:p w14:paraId="0E58D2D2" w14:textId="0AE845E0" w:rsidR="00BC70AC" w:rsidRPr="00C928D8" w:rsidRDefault="004F6E9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According to our assessment, </w:t>
      </w:r>
      <w:r w:rsidR="002260C5" w:rsidRPr="00C928D8">
        <w:rPr>
          <w:rFonts w:asciiTheme="minorHAnsi" w:hAnsiTheme="minorHAnsi" w:cstheme="minorHAnsi"/>
          <w:b/>
          <w:bCs/>
        </w:rPr>
        <w:t xml:space="preserve">inflation </w:t>
      </w:r>
      <w:r w:rsidR="00CF669B" w:rsidRPr="00C928D8">
        <w:rPr>
          <w:rFonts w:asciiTheme="minorHAnsi" w:hAnsiTheme="minorHAnsi" w:cstheme="minorHAnsi"/>
          <w:b/>
          <w:bCs/>
        </w:rPr>
        <w:t>in</w:t>
      </w:r>
      <w:r w:rsidR="00FA56BE" w:rsidRPr="00C928D8">
        <w:rPr>
          <w:rFonts w:asciiTheme="minorHAnsi" w:hAnsiTheme="minorHAnsi" w:cstheme="minorHAnsi"/>
          <w:b/>
          <w:bCs/>
        </w:rPr>
        <w:t xml:space="preserve"> the coming four quarters (ending in the </w:t>
      </w:r>
      <w:r w:rsidR="007A06BA" w:rsidRPr="00C928D8">
        <w:rPr>
          <w:rFonts w:asciiTheme="minorHAnsi" w:hAnsiTheme="minorHAnsi" w:cstheme="minorHAnsi"/>
          <w:b/>
          <w:bCs/>
        </w:rPr>
        <w:t>second</w:t>
      </w:r>
      <w:r w:rsidR="00FA56BE" w:rsidRPr="00C928D8">
        <w:rPr>
          <w:rFonts w:asciiTheme="minorHAnsi" w:hAnsiTheme="minorHAnsi" w:cstheme="minorHAnsi"/>
          <w:b/>
          <w:bCs/>
        </w:rPr>
        <w:t xml:space="preserve"> quarter of 2025) is expected to be </w:t>
      </w:r>
      <w:r w:rsidR="007A06BA" w:rsidRPr="00C928D8">
        <w:rPr>
          <w:rFonts w:asciiTheme="minorHAnsi" w:hAnsiTheme="minorHAnsi" w:cstheme="minorHAnsi"/>
          <w:b/>
          <w:bCs/>
        </w:rPr>
        <w:t>3.2</w:t>
      </w:r>
      <w:r w:rsidR="00FA56BE" w:rsidRPr="00C928D8">
        <w:rPr>
          <w:rFonts w:asciiTheme="minorHAnsi" w:hAnsiTheme="minorHAnsi" w:cstheme="minorHAnsi"/>
          <w:b/>
          <w:bCs/>
        </w:rPr>
        <w:t xml:space="preserve"> percent</w:t>
      </w:r>
      <w:r w:rsidR="001971AC" w:rsidRPr="00C928D8">
        <w:rPr>
          <w:rFonts w:asciiTheme="minorHAnsi" w:hAnsiTheme="minorHAnsi" w:cstheme="minorHAnsi"/>
          <w:b/>
          <w:bCs/>
        </w:rPr>
        <w:t xml:space="preserve"> </w:t>
      </w:r>
      <w:r w:rsidR="001971AC" w:rsidRPr="00C928D8">
        <w:rPr>
          <w:rFonts w:asciiTheme="minorHAnsi" w:hAnsiTheme="minorHAnsi" w:cstheme="minorHAnsi"/>
        </w:rPr>
        <w:t>(Table 2)</w:t>
      </w:r>
      <w:r w:rsidR="00FA56BE" w:rsidRPr="00C928D8">
        <w:rPr>
          <w:rFonts w:asciiTheme="minorHAnsi" w:hAnsiTheme="minorHAnsi" w:cstheme="minorHAnsi"/>
          <w:b/>
          <w:bCs/>
        </w:rPr>
        <w:t xml:space="preserve">.  </w:t>
      </w:r>
      <w:r w:rsidR="00FA56BE" w:rsidRPr="00C928D8">
        <w:rPr>
          <w:rFonts w:asciiTheme="minorHAnsi" w:hAnsiTheme="minorHAnsi" w:cstheme="minorHAnsi"/>
        </w:rPr>
        <w:t>Inflation in</w:t>
      </w:r>
      <w:r w:rsidR="00541457" w:rsidRPr="00C928D8">
        <w:rPr>
          <w:rFonts w:asciiTheme="minorHAnsi" w:hAnsiTheme="minorHAnsi" w:cstheme="minorHAnsi"/>
        </w:rPr>
        <w:t xml:space="preserve"> 202</w:t>
      </w:r>
      <w:r w:rsidR="002C2B40" w:rsidRPr="00C928D8">
        <w:rPr>
          <w:rFonts w:asciiTheme="minorHAnsi" w:hAnsiTheme="minorHAnsi" w:cstheme="minorHAnsi"/>
        </w:rPr>
        <w:t>4</w:t>
      </w:r>
      <w:r w:rsidR="002260C5" w:rsidRPr="00C928D8">
        <w:rPr>
          <w:rFonts w:asciiTheme="minorHAnsi" w:hAnsiTheme="minorHAnsi" w:cstheme="minorHAnsi"/>
        </w:rPr>
        <w:t xml:space="preserve"> is expected to be</w:t>
      </w:r>
      <w:r w:rsidR="00FA56BE" w:rsidRPr="00C928D8">
        <w:rPr>
          <w:rFonts w:asciiTheme="minorHAnsi" w:hAnsiTheme="minorHAnsi" w:cstheme="minorHAnsi"/>
        </w:rPr>
        <w:t xml:space="preserve"> </w:t>
      </w:r>
      <w:r w:rsidR="007A06BA" w:rsidRPr="00C928D8">
        <w:rPr>
          <w:rFonts w:asciiTheme="minorHAnsi" w:hAnsiTheme="minorHAnsi" w:cstheme="minorHAnsi"/>
        </w:rPr>
        <w:t>3.0</w:t>
      </w:r>
      <w:r w:rsidR="00FA56BE" w:rsidRPr="00C928D8">
        <w:rPr>
          <w:rFonts w:asciiTheme="minorHAnsi" w:hAnsiTheme="minorHAnsi" w:cstheme="minorHAnsi"/>
        </w:rPr>
        <w:t xml:space="preserve"> percent</w:t>
      </w:r>
      <w:r w:rsidR="00003666" w:rsidRPr="00C928D8">
        <w:rPr>
          <w:rFonts w:asciiTheme="minorHAnsi" w:hAnsiTheme="minorHAnsi" w:cstheme="minorHAnsi"/>
        </w:rPr>
        <w:t>, compared with 2.7 percent in the April forecast</w:t>
      </w:r>
      <w:r w:rsidR="00FA56BE" w:rsidRPr="00C928D8">
        <w:rPr>
          <w:rFonts w:asciiTheme="minorHAnsi" w:hAnsiTheme="minorHAnsi" w:cstheme="minorHAnsi"/>
        </w:rPr>
        <w:t>, and inflation 2025 is expected to be 2.</w:t>
      </w:r>
      <w:r w:rsidR="007A06BA" w:rsidRPr="00C928D8">
        <w:rPr>
          <w:rFonts w:asciiTheme="minorHAnsi" w:hAnsiTheme="minorHAnsi" w:cstheme="minorHAnsi"/>
        </w:rPr>
        <w:t>8</w:t>
      </w:r>
      <w:r w:rsidR="00FA56BE" w:rsidRPr="00C928D8">
        <w:rPr>
          <w:rFonts w:asciiTheme="minorHAnsi" w:hAnsiTheme="minorHAnsi" w:cstheme="minorHAnsi"/>
        </w:rPr>
        <w:t xml:space="preserve"> percent</w:t>
      </w:r>
      <w:r w:rsidR="00003666" w:rsidRPr="00C928D8">
        <w:rPr>
          <w:rFonts w:asciiTheme="minorHAnsi" w:hAnsiTheme="minorHAnsi" w:cstheme="minorHAnsi"/>
        </w:rPr>
        <w:t>, compared with 2.3 percent in the April forecast</w:t>
      </w:r>
      <w:r w:rsidR="00296525" w:rsidRPr="00C928D8">
        <w:rPr>
          <w:rFonts w:asciiTheme="minorHAnsi" w:hAnsiTheme="minorHAnsi" w:cstheme="minorHAnsi"/>
        </w:rPr>
        <w:t xml:space="preserve"> (Table 1)</w:t>
      </w:r>
      <w:r w:rsidR="00F71FEA" w:rsidRPr="00C928D8">
        <w:rPr>
          <w:rFonts w:asciiTheme="minorHAnsi" w:hAnsiTheme="minorHAnsi" w:cstheme="minorHAnsi"/>
        </w:rPr>
        <w:t>.</w:t>
      </w:r>
      <w:r w:rsidR="00014365" w:rsidRPr="00C928D8">
        <w:rPr>
          <w:rFonts w:asciiTheme="minorHAnsi" w:hAnsiTheme="minorHAnsi" w:cstheme="minorHAnsi"/>
        </w:rPr>
        <w:t xml:space="preserve">  </w:t>
      </w:r>
      <w:r w:rsidR="007A06BA" w:rsidRPr="00C928D8">
        <w:rPr>
          <w:rFonts w:asciiTheme="minorHAnsi" w:hAnsiTheme="minorHAnsi" w:cstheme="minorHAnsi"/>
        </w:rPr>
        <w:t xml:space="preserve">There are a number of forces affecting inflation within the forecast range.  First, increases in indirect taxes on consumption goods are expected to contribute to a temporary increase in measured inflation.  These tax increases include the expected increase in VAT (from 17 to 18 percent) which was already passed by the Knesset, as well as additional increases in indirect taxes as part of the </w:t>
      </w:r>
      <w:r w:rsidR="007A06BA" w:rsidRPr="00C928D8">
        <w:rPr>
          <w:rFonts w:asciiTheme="minorHAnsi" w:hAnsiTheme="minorHAnsi" w:cstheme="minorHAnsi"/>
        </w:rPr>
        <w:lastRenderedPageBreak/>
        <w:t>budget adjustments that we assume the government will implement.  Net of the impact of indirect taxes, our assessment is that inflation</w:t>
      </w:r>
      <w:r w:rsidR="004B2862" w:rsidRPr="00C928D8">
        <w:rPr>
          <w:rFonts w:asciiTheme="minorHAnsi" w:hAnsiTheme="minorHAnsi" w:cstheme="minorHAnsi"/>
        </w:rPr>
        <w:t xml:space="preserve"> in 2025</w:t>
      </w:r>
      <w:r w:rsidR="007A06BA" w:rsidRPr="00C928D8">
        <w:rPr>
          <w:rFonts w:asciiTheme="minorHAnsi" w:hAnsiTheme="minorHAnsi" w:cstheme="minorHAnsi"/>
        </w:rPr>
        <w:t xml:space="preserve"> will be close to the midpoint of the target range.  </w:t>
      </w:r>
    </w:p>
    <w:p w14:paraId="59F550D1" w14:textId="332A540B" w:rsidR="007A06BA" w:rsidRPr="00C928D8" w:rsidRDefault="007A06BA" w:rsidP="00C928D8">
      <w:pPr>
        <w:bidi w:val="0"/>
        <w:spacing w:line="360" w:lineRule="auto"/>
        <w:jc w:val="both"/>
        <w:rPr>
          <w:rFonts w:asciiTheme="minorHAnsi" w:hAnsiTheme="minorHAnsi" w:cstheme="minorHAnsi"/>
        </w:rPr>
      </w:pPr>
    </w:p>
    <w:p w14:paraId="79E6F5F8" w14:textId="4F665662" w:rsidR="007A06BA" w:rsidRPr="00C928D8" w:rsidRDefault="007A06BA" w:rsidP="00C928D8">
      <w:pPr>
        <w:bidi w:val="0"/>
        <w:spacing w:line="360" w:lineRule="auto"/>
        <w:jc w:val="both"/>
        <w:rPr>
          <w:rFonts w:asciiTheme="minorHAnsi" w:hAnsiTheme="minorHAnsi" w:cstheme="minorHAnsi"/>
        </w:rPr>
      </w:pPr>
      <w:r w:rsidRPr="00C928D8">
        <w:rPr>
          <w:rFonts w:asciiTheme="minorHAnsi" w:hAnsiTheme="minorHAnsi" w:cstheme="minorHAnsi"/>
        </w:rPr>
        <w:t>Second, labor</w:t>
      </w:r>
      <w:r w:rsidR="001971AC" w:rsidRPr="00C928D8">
        <w:rPr>
          <w:rFonts w:asciiTheme="minorHAnsi" w:hAnsiTheme="minorHAnsi" w:cstheme="minorHAnsi"/>
        </w:rPr>
        <w:t xml:space="preserve"> supply constraints</w:t>
      </w:r>
      <w:r w:rsidRPr="00C928D8">
        <w:rPr>
          <w:rFonts w:asciiTheme="minorHAnsi" w:hAnsiTheme="minorHAnsi" w:cstheme="minorHAnsi"/>
        </w:rPr>
        <w:t>, mainly due to the mobilization of reserve soldiers, are expected to increase costs for domestic manufacturers and to contribute to an increase in domestic prices.  Relative to the April forecast, the current inflation forecast has been revised upward due to a revision in the working assumptions regarding the intensity and duration of the fighting, and regarding the increases in indirect taxes that the government will implement as part of its measures to stabilize the public debt.</w:t>
      </w:r>
    </w:p>
    <w:p w14:paraId="009C84FB" w14:textId="77777777" w:rsidR="009523E0" w:rsidRPr="00C928D8" w:rsidRDefault="009523E0" w:rsidP="00C928D8">
      <w:pPr>
        <w:bidi w:val="0"/>
        <w:spacing w:line="360" w:lineRule="auto"/>
        <w:jc w:val="both"/>
        <w:rPr>
          <w:rFonts w:asciiTheme="minorHAnsi" w:hAnsiTheme="minorHAnsi" w:cstheme="minorHAnsi"/>
        </w:rPr>
      </w:pPr>
    </w:p>
    <w:p w14:paraId="0FA637A0" w14:textId="59673922" w:rsidR="007A06BA" w:rsidRPr="00C928D8" w:rsidRDefault="005C4E0D" w:rsidP="00C928D8">
      <w:pPr>
        <w:bidi w:val="0"/>
        <w:spacing w:line="360" w:lineRule="auto"/>
        <w:jc w:val="both"/>
        <w:rPr>
          <w:rFonts w:asciiTheme="minorHAnsi" w:hAnsiTheme="minorHAnsi" w:cstheme="minorHAnsi"/>
        </w:rPr>
      </w:pPr>
      <w:r w:rsidRPr="00C928D8">
        <w:rPr>
          <w:rFonts w:asciiTheme="minorHAnsi" w:hAnsiTheme="minorHAnsi" w:cstheme="minorHAnsi"/>
          <w:b/>
          <w:bCs/>
        </w:rPr>
        <w:t>The</w:t>
      </w:r>
      <w:r w:rsidR="000C3AA1" w:rsidRPr="00C928D8">
        <w:rPr>
          <w:rFonts w:asciiTheme="minorHAnsi" w:hAnsiTheme="minorHAnsi" w:cstheme="minorHAnsi"/>
          <w:b/>
          <w:bCs/>
        </w:rPr>
        <w:t xml:space="preserve"> interest rate </w:t>
      </w:r>
      <w:r w:rsidRPr="00C928D8">
        <w:rPr>
          <w:rFonts w:asciiTheme="minorHAnsi" w:hAnsiTheme="minorHAnsi" w:cstheme="minorHAnsi"/>
          <w:b/>
          <w:bCs/>
        </w:rPr>
        <w:t>is expected</w:t>
      </w:r>
      <w:r w:rsidR="000C3AA1" w:rsidRPr="00C928D8">
        <w:rPr>
          <w:rFonts w:asciiTheme="minorHAnsi" w:hAnsiTheme="minorHAnsi" w:cstheme="minorHAnsi"/>
          <w:b/>
          <w:bCs/>
        </w:rPr>
        <w:t xml:space="preserve"> </w:t>
      </w:r>
      <w:r w:rsidR="00777384" w:rsidRPr="00C928D8">
        <w:rPr>
          <w:rFonts w:asciiTheme="minorHAnsi" w:hAnsiTheme="minorHAnsi" w:cstheme="minorHAnsi"/>
          <w:b/>
          <w:bCs/>
        </w:rPr>
        <w:t xml:space="preserve">to </w:t>
      </w:r>
      <w:r w:rsidR="0025636F" w:rsidRPr="00C928D8">
        <w:rPr>
          <w:rFonts w:asciiTheme="minorHAnsi" w:hAnsiTheme="minorHAnsi" w:cstheme="minorHAnsi"/>
          <w:b/>
          <w:bCs/>
        </w:rPr>
        <w:t xml:space="preserve">be </w:t>
      </w:r>
      <w:r w:rsidR="007A06BA" w:rsidRPr="00C928D8">
        <w:rPr>
          <w:rFonts w:asciiTheme="minorHAnsi" w:hAnsiTheme="minorHAnsi" w:cstheme="minorHAnsi"/>
          <w:b/>
          <w:bCs/>
        </w:rPr>
        <w:t>4.25</w:t>
      </w:r>
      <w:r w:rsidR="00BC70AC" w:rsidRPr="00C928D8">
        <w:rPr>
          <w:rFonts w:asciiTheme="minorHAnsi" w:hAnsiTheme="minorHAnsi" w:cstheme="minorHAnsi"/>
          <w:b/>
          <w:bCs/>
        </w:rPr>
        <w:t xml:space="preserve"> per</w:t>
      </w:r>
      <w:r w:rsidR="000C3AA1" w:rsidRPr="00C928D8">
        <w:rPr>
          <w:rFonts w:asciiTheme="minorHAnsi" w:hAnsiTheme="minorHAnsi" w:cstheme="minorHAnsi"/>
          <w:b/>
          <w:bCs/>
        </w:rPr>
        <w:t xml:space="preserve">cent in </w:t>
      </w:r>
      <w:r w:rsidR="009523E0" w:rsidRPr="00C928D8">
        <w:rPr>
          <w:rFonts w:asciiTheme="minorHAnsi" w:hAnsiTheme="minorHAnsi" w:cstheme="minorHAnsi"/>
          <w:b/>
          <w:bCs/>
        </w:rPr>
        <w:t xml:space="preserve">the </w:t>
      </w:r>
      <w:r w:rsidR="001E2700" w:rsidRPr="00C928D8">
        <w:rPr>
          <w:rFonts w:asciiTheme="minorHAnsi" w:hAnsiTheme="minorHAnsi" w:cstheme="minorHAnsi"/>
          <w:b/>
          <w:bCs/>
        </w:rPr>
        <w:t>f</w:t>
      </w:r>
      <w:r w:rsidR="00BC70AC" w:rsidRPr="00C928D8">
        <w:rPr>
          <w:rFonts w:asciiTheme="minorHAnsi" w:hAnsiTheme="minorHAnsi" w:cstheme="minorHAnsi"/>
          <w:b/>
          <w:bCs/>
        </w:rPr>
        <w:t>irst</w:t>
      </w:r>
      <w:r w:rsidR="009523E0" w:rsidRPr="00C928D8">
        <w:rPr>
          <w:rFonts w:asciiTheme="minorHAnsi" w:hAnsiTheme="minorHAnsi" w:cstheme="minorHAnsi"/>
          <w:b/>
          <w:bCs/>
        </w:rPr>
        <w:t xml:space="preserve"> quarter of 202</w:t>
      </w:r>
      <w:r w:rsidR="00BC70AC" w:rsidRPr="00C928D8">
        <w:rPr>
          <w:rFonts w:asciiTheme="minorHAnsi" w:hAnsiTheme="minorHAnsi" w:cstheme="minorHAnsi"/>
          <w:b/>
          <w:bCs/>
        </w:rPr>
        <w:t>5</w:t>
      </w:r>
      <w:r w:rsidR="000C3AA1" w:rsidRPr="00C928D8">
        <w:rPr>
          <w:rFonts w:asciiTheme="minorHAnsi" w:hAnsiTheme="minorHAnsi" w:cstheme="minorHAnsi"/>
        </w:rPr>
        <w:t xml:space="preserve"> (Table </w:t>
      </w:r>
      <w:r w:rsidR="001E2700" w:rsidRPr="00C928D8">
        <w:rPr>
          <w:rFonts w:asciiTheme="minorHAnsi" w:hAnsiTheme="minorHAnsi" w:cstheme="minorHAnsi"/>
        </w:rPr>
        <w:t>2</w:t>
      </w:r>
      <w:r w:rsidR="000C3AA1" w:rsidRPr="00C928D8">
        <w:rPr>
          <w:rFonts w:asciiTheme="minorHAnsi" w:hAnsiTheme="minorHAnsi" w:cstheme="minorHAnsi"/>
        </w:rPr>
        <w:t>)</w:t>
      </w:r>
      <w:r w:rsidR="00995A4F" w:rsidRPr="00C928D8">
        <w:rPr>
          <w:rFonts w:asciiTheme="minorHAnsi" w:hAnsiTheme="minorHAnsi" w:cstheme="minorHAnsi"/>
        </w:rPr>
        <w:t xml:space="preserve">.  </w:t>
      </w:r>
      <w:r w:rsidR="007A06BA" w:rsidRPr="00C928D8">
        <w:rPr>
          <w:rFonts w:asciiTheme="minorHAnsi" w:hAnsiTheme="minorHAnsi" w:cstheme="minorHAnsi"/>
        </w:rPr>
        <w:t>Due to the revised assumption regarding the duration of the fighting, our assessment is that the risk premium, which rose due to the war, will decline more gradually than we assumed in April, so that a higher interest rate will be necessary in order to stabilize inflation.</w:t>
      </w:r>
    </w:p>
    <w:p w14:paraId="734C4D17" w14:textId="75E1D37C" w:rsidR="00682563" w:rsidRPr="00C928D8" w:rsidRDefault="00682563" w:rsidP="00C928D8">
      <w:pPr>
        <w:bidi w:val="0"/>
        <w:spacing w:line="360" w:lineRule="auto"/>
        <w:jc w:val="both"/>
        <w:rPr>
          <w:rFonts w:asciiTheme="minorHAnsi" w:hAnsiTheme="minorHAnsi" w:cstheme="minorHAnsi"/>
        </w:rPr>
      </w:pPr>
    </w:p>
    <w:p w14:paraId="513653E1" w14:textId="77777777" w:rsidR="0010114F" w:rsidRPr="00C928D8" w:rsidRDefault="0010114F" w:rsidP="00C928D8">
      <w:pPr>
        <w:bidi w:val="0"/>
        <w:spacing w:line="360" w:lineRule="auto"/>
        <w:jc w:val="both"/>
        <w:rPr>
          <w:rFonts w:asciiTheme="minorHAnsi" w:hAnsiTheme="minorHAnsi" w:cstheme="minorHAnsi"/>
        </w:rPr>
      </w:pPr>
    </w:p>
    <w:p w14:paraId="2C3CC791" w14:textId="77777777" w:rsidR="005F6371" w:rsidRPr="00C928D8" w:rsidRDefault="005F6371" w:rsidP="00C928D8">
      <w:pPr>
        <w:bidi w:val="0"/>
        <w:spacing w:line="360" w:lineRule="auto"/>
        <w:jc w:val="both"/>
        <w:rPr>
          <w:rFonts w:asciiTheme="minorHAnsi" w:hAnsiTheme="minorHAnsi" w:cstheme="minorHAnsi"/>
        </w:rPr>
      </w:pPr>
    </w:p>
    <w:tbl>
      <w:tblPr>
        <w:tblW w:w="8233" w:type="dxa"/>
        <w:tblInd w:w="93" w:type="dxa"/>
        <w:tblLook w:val="04A0" w:firstRow="1" w:lastRow="0" w:firstColumn="1" w:lastColumn="0" w:noHBand="0" w:noVBand="1"/>
      </w:tblPr>
      <w:tblGrid>
        <w:gridCol w:w="2480"/>
        <w:gridCol w:w="2094"/>
        <w:gridCol w:w="1540"/>
        <w:gridCol w:w="2119"/>
      </w:tblGrid>
      <w:tr w:rsidR="00A21D01" w:rsidRPr="00C928D8"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C928D8" w:rsidRDefault="002945D2" w:rsidP="00C928D8">
            <w:pPr>
              <w:bidi w:val="0"/>
              <w:spacing w:line="360" w:lineRule="auto"/>
              <w:rPr>
                <w:rFonts w:asciiTheme="minorHAnsi" w:hAnsiTheme="minorHAnsi" w:cstheme="minorHAnsi"/>
                <w:b/>
                <w:bCs/>
                <w:color w:val="0070C0"/>
              </w:rPr>
            </w:pPr>
            <w:r w:rsidRPr="00C928D8">
              <w:rPr>
                <w:rFonts w:asciiTheme="minorHAnsi" w:hAnsiTheme="minorHAnsi" w:cstheme="minorHAnsi"/>
                <w:color w:val="0070C0"/>
              </w:rPr>
              <w:lastRenderedPageBreak/>
              <w:br w:type="page"/>
            </w:r>
            <w:r w:rsidR="00A21D01" w:rsidRPr="00C928D8">
              <w:rPr>
                <w:rFonts w:asciiTheme="minorHAnsi" w:hAnsiTheme="minorHAnsi" w:cstheme="minorHAnsi"/>
                <w:b/>
                <w:bCs/>
                <w:color w:val="0070C0"/>
              </w:rPr>
              <w:t xml:space="preserve">Table </w:t>
            </w:r>
            <w:r w:rsidR="00E718CD" w:rsidRPr="00C928D8">
              <w:rPr>
                <w:rFonts w:asciiTheme="minorHAnsi" w:hAnsiTheme="minorHAnsi" w:cstheme="minorHAnsi"/>
                <w:b/>
                <w:bCs/>
                <w:color w:val="0070C0"/>
              </w:rPr>
              <w:t>2</w:t>
            </w:r>
          </w:p>
        </w:tc>
      </w:tr>
      <w:tr w:rsidR="00A21D01" w:rsidRPr="00C928D8"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C928D8" w:rsidRDefault="00453D2B" w:rsidP="00C928D8">
            <w:pPr>
              <w:bidi w:val="0"/>
              <w:spacing w:line="360" w:lineRule="auto"/>
              <w:rPr>
                <w:rFonts w:asciiTheme="minorHAnsi" w:hAnsiTheme="minorHAnsi" w:cstheme="minorHAnsi"/>
                <w:b/>
                <w:bCs/>
                <w:color w:val="0070C0"/>
              </w:rPr>
            </w:pPr>
            <w:r w:rsidRPr="00C928D8">
              <w:rPr>
                <w:rFonts w:asciiTheme="minorHAnsi" w:hAnsiTheme="minorHAnsi" w:cstheme="minorHAnsi"/>
                <w:b/>
                <w:bCs/>
                <w:color w:val="0070C0"/>
              </w:rPr>
              <w:t>I</w:t>
            </w:r>
            <w:r w:rsidR="00A21D01" w:rsidRPr="00C928D8">
              <w:rPr>
                <w:rFonts w:asciiTheme="minorHAnsi" w:hAnsiTheme="minorHAnsi" w:cstheme="minorHAnsi"/>
                <w:b/>
                <w:bCs/>
                <w:color w:val="0070C0"/>
              </w:rPr>
              <w:t xml:space="preserve">nflation </w:t>
            </w:r>
            <w:r w:rsidRPr="00C928D8">
              <w:rPr>
                <w:rFonts w:asciiTheme="minorHAnsi" w:hAnsiTheme="minorHAnsi" w:cstheme="minorHAnsi"/>
                <w:b/>
                <w:bCs/>
                <w:color w:val="0070C0"/>
              </w:rPr>
              <w:t xml:space="preserve">forecast </w:t>
            </w:r>
            <w:r w:rsidR="00A21D01" w:rsidRPr="00C928D8">
              <w:rPr>
                <w:rFonts w:asciiTheme="minorHAnsi" w:hAnsiTheme="minorHAnsi" w:cstheme="minorHAnsi"/>
                <w:b/>
                <w:bCs/>
                <w:color w:val="0070C0"/>
              </w:rPr>
              <w:t>for the coming year</w:t>
            </w:r>
            <w:r w:rsidR="00D62B59" w:rsidRPr="00C928D8">
              <w:rPr>
                <w:rFonts w:asciiTheme="minorHAnsi" w:hAnsiTheme="minorHAnsi" w:cstheme="minorHAnsi"/>
                <w:b/>
                <w:bCs/>
                <w:color w:val="0070C0"/>
              </w:rPr>
              <w:t xml:space="preserve"> and interest rate forecast for one year from now</w:t>
            </w:r>
          </w:p>
        </w:tc>
      </w:tr>
      <w:tr w:rsidR="00A21D01" w:rsidRPr="00C928D8"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C928D8" w:rsidRDefault="00A21D01" w:rsidP="00C928D8">
            <w:pPr>
              <w:bidi w:val="0"/>
              <w:spacing w:line="360" w:lineRule="auto"/>
              <w:jc w:val="right"/>
              <w:rPr>
                <w:rFonts w:asciiTheme="minorHAnsi" w:hAnsiTheme="minorHAnsi" w:cstheme="minorHAnsi"/>
                <w:color w:val="0070C0"/>
                <w:sz w:val="22"/>
                <w:szCs w:val="22"/>
              </w:rPr>
            </w:pPr>
            <w:r w:rsidRPr="00C928D8">
              <w:rPr>
                <w:rFonts w:asciiTheme="minorHAnsi" w:hAnsiTheme="minorHAnsi" w:cstheme="minorHAnsi"/>
                <w:color w:val="0070C0"/>
                <w:sz w:val="22"/>
                <w:szCs w:val="22"/>
              </w:rPr>
              <w:t>(percent)</w:t>
            </w:r>
          </w:p>
        </w:tc>
      </w:tr>
      <w:tr w:rsidR="00A21D01" w:rsidRPr="00C928D8"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C928D8" w:rsidRDefault="00A21D01" w:rsidP="00C928D8">
            <w:pPr>
              <w:bidi w:val="0"/>
              <w:spacing w:line="360" w:lineRule="auto"/>
              <w:jc w:val="center"/>
              <w:rPr>
                <w:rFonts w:asciiTheme="minorHAnsi" w:hAnsiTheme="minorHAnsi" w:cstheme="minorHAnsi"/>
              </w:rPr>
            </w:pPr>
          </w:p>
        </w:tc>
        <w:tc>
          <w:tcPr>
            <w:tcW w:w="2094" w:type="dxa"/>
            <w:tcBorders>
              <w:top w:val="nil"/>
              <w:left w:val="nil"/>
              <w:bottom w:val="nil"/>
              <w:right w:val="nil"/>
            </w:tcBorders>
            <w:shd w:val="clear" w:color="000000" w:fill="FFFFFF"/>
            <w:vAlign w:val="center"/>
            <w:hideMark/>
          </w:tcPr>
          <w:p w14:paraId="1BFF4C89"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Bank of Israel Research Department</w:t>
            </w:r>
          </w:p>
        </w:tc>
        <w:tc>
          <w:tcPr>
            <w:tcW w:w="1540" w:type="dxa"/>
            <w:tcBorders>
              <w:top w:val="nil"/>
              <w:left w:val="nil"/>
              <w:bottom w:val="nil"/>
              <w:right w:val="nil"/>
            </w:tcBorders>
            <w:shd w:val="clear" w:color="000000" w:fill="FFFFFF"/>
            <w:vAlign w:val="center"/>
            <w:hideMark/>
          </w:tcPr>
          <w:p w14:paraId="2C27E03D"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Capital </w:t>
            </w:r>
            <w:proofErr w:type="spellStart"/>
            <w:r w:rsidRPr="00C928D8">
              <w:rPr>
                <w:rFonts w:asciiTheme="minorHAnsi" w:hAnsiTheme="minorHAnsi" w:cstheme="minorHAnsi"/>
              </w:rPr>
              <w:t>markets</w:t>
            </w:r>
            <w:r w:rsidR="00446B32" w:rsidRPr="00C928D8">
              <w:rPr>
                <w:rFonts w:asciiTheme="minorHAnsi" w:hAnsiTheme="minorHAnsi" w:cstheme="minorHAnsi"/>
                <w:vertAlign w:val="superscript"/>
              </w:rPr>
              <w:t>a</w:t>
            </w:r>
            <w:proofErr w:type="spellEnd"/>
          </w:p>
        </w:tc>
        <w:tc>
          <w:tcPr>
            <w:tcW w:w="2119" w:type="dxa"/>
            <w:tcBorders>
              <w:top w:val="nil"/>
              <w:left w:val="nil"/>
              <w:bottom w:val="nil"/>
              <w:right w:val="nil"/>
            </w:tcBorders>
            <w:shd w:val="clear" w:color="000000" w:fill="FFFFFF"/>
            <w:vAlign w:val="center"/>
            <w:hideMark/>
          </w:tcPr>
          <w:p w14:paraId="10D24E0B" w14:textId="77777777" w:rsidR="00A21D01" w:rsidRPr="00C928D8" w:rsidRDefault="00A21D01"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Private </w:t>
            </w:r>
            <w:proofErr w:type="spellStart"/>
            <w:r w:rsidRPr="00C928D8">
              <w:rPr>
                <w:rFonts w:asciiTheme="minorHAnsi" w:hAnsiTheme="minorHAnsi" w:cstheme="minorHAnsi"/>
              </w:rPr>
              <w:t>forecasters</w:t>
            </w:r>
            <w:r w:rsidR="00446B32" w:rsidRPr="00C928D8">
              <w:rPr>
                <w:rFonts w:asciiTheme="minorHAnsi" w:hAnsiTheme="minorHAnsi" w:cstheme="minorHAnsi"/>
                <w:vertAlign w:val="superscript"/>
              </w:rPr>
              <w:t>b</w:t>
            </w:r>
            <w:proofErr w:type="spellEnd"/>
          </w:p>
        </w:tc>
      </w:tr>
      <w:tr w:rsidR="00F53855" w:rsidRPr="00C928D8"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 xml:space="preserve">Inflation </w:t>
            </w:r>
            <w:proofErr w:type="spellStart"/>
            <w:r w:rsidRPr="00C928D8">
              <w:rPr>
                <w:rFonts w:asciiTheme="minorHAnsi" w:hAnsiTheme="minorHAnsi" w:cstheme="minorHAnsi"/>
              </w:rPr>
              <w:t>rate</w:t>
            </w:r>
            <w:r w:rsidR="00446B32" w:rsidRPr="00C928D8">
              <w:rPr>
                <w:rFonts w:asciiTheme="minorHAnsi" w:hAnsiTheme="minorHAnsi" w:cstheme="minorHAnsi"/>
                <w:vertAlign w:val="superscript"/>
              </w:rPr>
              <w:t>c</w:t>
            </w:r>
            <w:proofErr w:type="spellEnd"/>
          </w:p>
        </w:tc>
        <w:tc>
          <w:tcPr>
            <w:tcW w:w="2094" w:type="dxa"/>
            <w:tcBorders>
              <w:top w:val="single" w:sz="4" w:space="0" w:color="auto"/>
              <w:left w:val="nil"/>
              <w:bottom w:val="nil"/>
              <w:right w:val="nil"/>
            </w:tcBorders>
            <w:shd w:val="clear" w:color="auto" w:fill="auto"/>
            <w:vAlign w:val="center"/>
          </w:tcPr>
          <w:p w14:paraId="3F3A5669" w14:textId="775686D1" w:rsidR="00A2696D"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3.2</w:t>
            </w:r>
          </w:p>
        </w:tc>
        <w:tc>
          <w:tcPr>
            <w:tcW w:w="1540" w:type="dxa"/>
            <w:tcBorders>
              <w:top w:val="single" w:sz="4" w:space="0" w:color="auto"/>
              <w:left w:val="nil"/>
              <w:bottom w:val="nil"/>
              <w:right w:val="nil"/>
            </w:tcBorders>
            <w:shd w:val="clear" w:color="auto" w:fill="auto"/>
            <w:vAlign w:val="center"/>
          </w:tcPr>
          <w:p w14:paraId="3C11DB1A" w14:textId="67896E44"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2.</w:t>
            </w:r>
            <w:r w:rsidR="00003666" w:rsidRPr="00C928D8">
              <w:rPr>
                <w:rFonts w:asciiTheme="minorHAnsi" w:hAnsiTheme="minorHAnsi" w:cstheme="minorHAnsi"/>
              </w:rPr>
              <w:t>8</w:t>
            </w:r>
          </w:p>
        </w:tc>
        <w:tc>
          <w:tcPr>
            <w:tcW w:w="2119" w:type="dxa"/>
            <w:tcBorders>
              <w:top w:val="single" w:sz="4" w:space="0" w:color="auto"/>
              <w:left w:val="nil"/>
              <w:bottom w:val="nil"/>
              <w:right w:val="nil"/>
            </w:tcBorders>
            <w:shd w:val="clear" w:color="auto" w:fill="auto"/>
            <w:vAlign w:val="center"/>
          </w:tcPr>
          <w:p w14:paraId="140F4FF0" w14:textId="088C504B" w:rsidR="00F53855" w:rsidRPr="00C928D8" w:rsidRDefault="00EB3C33" w:rsidP="00C928D8">
            <w:pPr>
              <w:bidi w:val="0"/>
              <w:spacing w:line="360" w:lineRule="auto"/>
              <w:jc w:val="center"/>
              <w:rPr>
                <w:rFonts w:asciiTheme="minorHAnsi" w:hAnsiTheme="minorHAnsi" w:cstheme="minorHAnsi"/>
              </w:rPr>
            </w:pPr>
            <w:r w:rsidRPr="00C928D8">
              <w:rPr>
                <w:rFonts w:asciiTheme="minorHAnsi" w:hAnsiTheme="minorHAnsi" w:cstheme="minorHAnsi"/>
              </w:rPr>
              <w:t>2.9</w:t>
            </w:r>
            <w:r w:rsidR="00AD21E2" w:rsidRPr="00C928D8">
              <w:rPr>
                <w:rFonts w:asciiTheme="minorHAnsi" w:hAnsiTheme="minorHAnsi" w:cstheme="minorHAnsi"/>
              </w:rPr>
              <w:t xml:space="preserve"> </w:t>
            </w:r>
            <w:r w:rsidR="00A2696D" w:rsidRPr="00C928D8">
              <w:rPr>
                <w:rFonts w:asciiTheme="minorHAnsi" w:hAnsiTheme="minorHAnsi" w:cstheme="minorHAnsi"/>
              </w:rPr>
              <w:t>(</w:t>
            </w:r>
            <w:r w:rsidR="00BC70AC" w:rsidRPr="00C928D8">
              <w:rPr>
                <w:rFonts w:asciiTheme="minorHAnsi" w:hAnsiTheme="minorHAnsi" w:cstheme="minorHAnsi"/>
              </w:rPr>
              <w:t>2.</w:t>
            </w:r>
            <w:r w:rsidRPr="00C928D8">
              <w:rPr>
                <w:rFonts w:asciiTheme="minorHAnsi" w:hAnsiTheme="minorHAnsi" w:cstheme="minorHAnsi"/>
              </w:rPr>
              <w:t>2</w:t>
            </w:r>
            <w:r w:rsidR="00AD21E2" w:rsidRPr="00C928D8">
              <w:rPr>
                <w:rFonts w:asciiTheme="minorHAnsi" w:hAnsiTheme="minorHAnsi" w:cstheme="minorHAnsi"/>
              </w:rPr>
              <w:t>–</w:t>
            </w:r>
            <w:r w:rsidR="00BC70AC" w:rsidRPr="00C928D8">
              <w:rPr>
                <w:rFonts w:asciiTheme="minorHAnsi" w:hAnsiTheme="minorHAnsi" w:cstheme="minorHAnsi"/>
              </w:rPr>
              <w:t>3.</w:t>
            </w:r>
            <w:r w:rsidR="007A06BA" w:rsidRPr="00C928D8">
              <w:rPr>
                <w:rFonts w:asciiTheme="minorHAnsi" w:hAnsiTheme="minorHAnsi" w:cstheme="minorHAnsi"/>
              </w:rPr>
              <w:t>3</w:t>
            </w:r>
            <w:r w:rsidR="00AD21E2" w:rsidRPr="00C928D8">
              <w:rPr>
                <w:rFonts w:asciiTheme="minorHAnsi" w:hAnsiTheme="minorHAnsi" w:cstheme="minorHAnsi"/>
              </w:rPr>
              <w:t>)</w:t>
            </w:r>
          </w:p>
        </w:tc>
      </w:tr>
      <w:tr w:rsidR="00F53855" w:rsidRPr="00C928D8"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C928D8" w:rsidRDefault="00F53855" w:rsidP="00C928D8">
            <w:pPr>
              <w:bidi w:val="0"/>
              <w:spacing w:line="360" w:lineRule="auto"/>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C928D8" w:rsidRDefault="00F53855" w:rsidP="00C928D8">
            <w:pPr>
              <w:bidi w:val="0"/>
              <w:spacing w:line="360" w:lineRule="auto"/>
              <w:jc w:val="center"/>
              <w:rPr>
                <w:rFonts w:asciiTheme="minorHAnsi" w:hAnsiTheme="minorHAnsi" w:cstheme="minorHAnsi"/>
              </w:rPr>
            </w:pPr>
          </w:p>
        </w:tc>
        <w:tc>
          <w:tcPr>
            <w:tcW w:w="2119" w:type="dxa"/>
            <w:tcBorders>
              <w:top w:val="nil"/>
              <w:left w:val="nil"/>
              <w:bottom w:val="nil"/>
              <w:right w:val="nil"/>
            </w:tcBorders>
            <w:shd w:val="clear" w:color="auto" w:fill="auto"/>
            <w:noWrap/>
            <w:vAlign w:val="center"/>
          </w:tcPr>
          <w:p w14:paraId="246CCA88" w14:textId="77777777" w:rsidR="00F53855" w:rsidRPr="00C928D8" w:rsidRDefault="00F53855" w:rsidP="00C928D8">
            <w:pPr>
              <w:bidi w:val="0"/>
              <w:spacing w:line="360" w:lineRule="auto"/>
              <w:jc w:val="center"/>
              <w:rPr>
                <w:rFonts w:asciiTheme="minorHAnsi" w:hAnsiTheme="minorHAnsi" w:cstheme="minorHAnsi"/>
              </w:rPr>
            </w:pPr>
          </w:p>
        </w:tc>
      </w:tr>
      <w:tr w:rsidR="00F53855" w:rsidRPr="00C928D8"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Interest rate</w:t>
            </w:r>
            <w:r w:rsidR="00446B32" w:rsidRPr="00C928D8">
              <w:rPr>
                <w:rFonts w:asciiTheme="minorHAnsi" w:hAnsiTheme="minorHAnsi" w:cstheme="minorHAnsi"/>
                <w:vertAlign w:val="superscript"/>
              </w:rPr>
              <w:t>d</w:t>
            </w:r>
          </w:p>
        </w:tc>
        <w:tc>
          <w:tcPr>
            <w:tcW w:w="2094" w:type="dxa"/>
            <w:tcBorders>
              <w:top w:val="nil"/>
              <w:left w:val="nil"/>
              <w:bottom w:val="nil"/>
              <w:right w:val="nil"/>
            </w:tcBorders>
            <w:shd w:val="clear" w:color="auto" w:fill="auto"/>
            <w:vAlign w:val="center"/>
          </w:tcPr>
          <w:p w14:paraId="1DCE9413" w14:textId="2B480885"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4.25</w:t>
            </w:r>
          </w:p>
        </w:tc>
        <w:tc>
          <w:tcPr>
            <w:tcW w:w="1540" w:type="dxa"/>
            <w:tcBorders>
              <w:top w:val="nil"/>
              <w:left w:val="nil"/>
              <w:bottom w:val="nil"/>
              <w:right w:val="nil"/>
            </w:tcBorders>
            <w:shd w:val="clear" w:color="auto" w:fill="auto"/>
            <w:vAlign w:val="center"/>
          </w:tcPr>
          <w:p w14:paraId="191366EF" w14:textId="35A0120D" w:rsidR="004C2B26"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w:t>
            </w:r>
            <w:r w:rsidR="00003666" w:rsidRPr="00C928D8">
              <w:rPr>
                <w:rFonts w:asciiTheme="minorHAnsi" w:hAnsiTheme="minorHAnsi" w:cstheme="minorHAnsi"/>
              </w:rPr>
              <w:t>2</w:t>
            </w:r>
          </w:p>
        </w:tc>
        <w:tc>
          <w:tcPr>
            <w:tcW w:w="2119" w:type="dxa"/>
            <w:tcBorders>
              <w:top w:val="single" w:sz="4" w:space="0" w:color="auto"/>
              <w:left w:val="nil"/>
              <w:bottom w:val="nil"/>
              <w:right w:val="nil"/>
            </w:tcBorders>
            <w:shd w:val="clear" w:color="auto" w:fill="auto"/>
            <w:vAlign w:val="center"/>
            <w:hideMark/>
          </w:tcPr>
          <w:p w14:paraId="1860AF7D" w14:textId="58E14AF2" w:rsidR="00F53855" w:rsidRPr="00C928D8" w:rsidRDefault="007A06BA" w:rsidP="00C928D8">
            <w:pPr>
              <w:bidi w:val="0"/>
              <w:spacing w:line="360" w:lineRule="auto"/>
              <w:jc w:val="center"/>
              <w:rPr>
                <w:rFonts w:asciiTheme="minorHAnsi" w:hAnsiTheme="minorHAnsi" w:cstheme="minorHAnsi"/>
              </w:rPr>
            </w:pPr>
            <w:r w:rsidRPr="00C928D8">
              <w:rPr>
                <w:rFonts w:asciiTheme="minorHAnsi" w:hAnsiTheme="minorHAnsi" w:cstheme="minorHAnsi"/>
              </w:rPr>
              <w:t>4.</w:t>
            </w:r>
            <w:r w:rsidR="00003666" w:rsidRPr="00C928D8">
              <w:rPr>
                <w:rFonts w:asciiTheme="minorHAnsi" w:hAnsiTheme="minorHAnsi" w:cstheme="minorHAnsi"/>
              </w:rPr>
              <w:t>0</w:t>
            </w:r>
          </w:p>
        </w:tc>
      </w:tr>
      <w:tr w:rsidR="00F53855" w:rsidRPr="00C928D8" w14:paraId="67D96607" w14:textId="77777777" w:rsidTr="00211EF7">
        <w:trPr>
          <w:trHeight w:val="275"/>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C928D8" w:rsidRDefault="00F53855" w:rsidP="00C928D8">
            <w:pPr>
              <w:bidi w:val="0"/>
              <w:spacing w:line="360" w:lineRule="auto"/>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C928D8" w:rsidRDefault="00F53855" w:rsidP="00C928D8">
            <w:pPr>
              <w:bidi w:val="0"/>
              <w:spacing w:line="360" w:lineRule="auto"/>
              <w:jc w:val="center"/>
              <w:rPr>
                <w:rFonts w:asciiTheme="minorHAnsi" w:hAnsiTheme="minorHAnsi" w:cstheme="minorHAnsi"/>
              </w:rPr>
            </w:pPr>
          </w:p>
        </w:tc>
        <w:tc>
          <w:tcPr>
            <w:tcW w:w="2119" w:type="dxa"/>
            <w:tcBorders>
              <w:top w:val="nil"/>
              <w:left w:val="nil"/>
              <w:bottom w:val="single" w:sz="4" w:space="0" w:color="auto"/>
              <w:right w:val="nil"/>
            </w:tcBorders>
            <w:shd w:val="clear" w:color="auto" w:fill="auto"/>
            <w:noWrap/>
            <w:vAlign w:val="center"/>
            <w:hideMark/>
          </w:tcPr>
          <w:p w14:paraId="3643F34B" w14:textId="0313997C" w:rsidR="00F53855" w:rsidRPr="00C928D8" w:rsidRDefault="00F53855" w:rsidP="00C928D8">
            <w:pPr>
              <w:bidi w:val="0"/>
              <w:spacing w:line="360" w:lineRule="auto"/>
              <w:jc w:val="center"/>
              <w:rPr>
                <w:rFonts w:asciiTheme="minorHAnsi" w:hAnsiTheme="minorHAnsi" w:cstheme="minorHAnsi"/>
              </w:rPr>
            </w:pPr>
            <w:r w:rsidRPr="00C928D8">
              <w:rPr>
                <w:rFonts w:asciiTheme="minorHAnsi" w:hAnsiTheme="minorHAnsi" w:cstheme="minorHAnsi"/>
              </w:rPr>
              <w:t>(</w:t>
            </w:r>
            <w:r w:rsidR="00060A3E" w:rsidRPr="00C928D8">
              <w:rPr>
                <w:rFonts w:asciiTheme="minorHAnsi" w:hAnsiTheme="minorHAnsi" w:cstheme="minorHAnsi"/>
              </w:rPr>
              <w:t>3.</w:t>
            </w:r>
            <w:r w:rsidR="00003666" w:rsidRPr="00C928D8">
              <w:rPr>
                <w:rFonts w:asciiTheme="minorHAnsi" w:hAnsiTheme="minorHAnsi" w:cstheme="minorHAnsi"/>
              </w:rPr>
              <w:t>5</w:t>
            </w:r>
            <w:r w:rsidR="002D3C08" w:rsidRPr="00C928D8">
              <w:rPr>
                <w:rFonts w:asciiTheme="minorHAnsi" w:hAnsiTheme="minorHAnsi" w:cstheme="minorHAnsi"/>
              </w:rPr>
              <w:t>0</w:t>
            </w:r>
            <w:r w:rsidR="00A2696D" w:rsidRPr="00C928D8">
              <w:rPr>
                <w:rFonts w:asciiTheme="minorHAnsi" w:hAnsiTheme="minorHAnsi" w:cstheme="minorHAnsi"/>
              </w:rPr>
              <w:t>–</w:t>
            </w:r>
            <w:r w:rsidR="00995A4F" w:rsidRPr="00C928D8">
              <w:rPr>
                <w:rFonts w:asciiTheme="minorHAnsi" w:hAnsiTheme="minorHAnsi" w:cstheme="minorHAnsi"/>
              </w:rPr>
              <w:t>4.</w:t>
            </w:r>
            <w:r w:rsidR="00EB3C33" w:rsidRPr="00C928D8">
              <w:rPr>
                <w:rFonts w:asciiTheme="minorHAnsi" w:hAnsiTheme="minorHAnsi" w:cstheme="minorHAnsi"/>
              </w:rPr>
              <w:t>25</w:t>
            </w:r>
            <w:r w:rsidR="001C55F7" w:rsidRPr="00C928D8">
              <w:rPr>
                <w:rFonts w:asciiTheme="minorHAnsi" w:hAnsiTheme="minorHAnsi" w:cstheme="minorHAnsi"/>
              </w:rPr>
              <w:t>)</w:t>
            </w:r>
          </w:p>
        </w:tc>
      </w:tr>
      <w:tr w:rsidR="00A21D01" w:rsidRPr="00C928D8"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1A2BF5F5" w14:textId="6B098133" w:rsidR="00446B32" w:rsidRPr="00C928D8" w:rsidRDefault="00D62B59"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Inflation expectations are seasonally adjusted</w:t>
            </w:r>
            <w:r w:rsidR="00A53FEA" w:rsidRPr="00C928D8">
              <w:rPr>
                <w:rFonts w:asciiTheme="minorHAnsi" w:hAnsiTheme="minorHAnsi" w:cstheme="minorHAnsi"/>
                <w:sz w:val="20"/>
                <w:szCs w:val="20"/>
              </w:rPr>
              <w:t xml:space="preserve"> (</w:t>
            </w:r>
            <w:r w:rsidR="00DA623D" w:rsidRPr="00C928D8">
              <w:rPr>
                <w:rFonts w:asciiTheme="minorHAnsi" w:hAnsiTheme="minorHAnsi" w:cstheme="minorHAnsi"/>
                <w:sz w:val="20"/>
                <w:szCs w:val="20"/>
              </w:rPr>
              <w:t>a</w:t>
            </w:r>
            <w:r w:rsidR="00862770" w:rsidRPr="00C928D8">
              <w:rPr>
                <w:rFonts w:asciiTheme="minorHAnsi" w:hAnsiTheme="minorHAnsi" w:cstheme="minorHAnsi"/>
                <w:sz w:val="20"/>
                <w:szCs w:val="20"/>
              </w:rPr>
              <w:t xml:space="preserve">s of </w:t>
            </w:r>
            <w:r w:rsidR="007A06BA" w:rsidRPr="00C928D8">
              <w:rPr>
                <w:rFonts w:asciiTheme="minorHAnsi" w:hAnsiTheme="minorHAnsi" w:cstheme="minorHAnsi"/>
                <w:sz w:val="20"/>
                <w:szCs w:val="20"/>
              </w:rPr>
              <w:t xml:space="preserve">July </w:t>
            </w:r>
            <w:r w:rsidR="00EB3C33" w:rsidRPr="00C928D8">
              <w:rPr>
                <w:rFonts w:asciiTheme="minorHAnsi" w:hAnsiTheme="minorHAnsi" w:cstheme="minorHAnsi"/>
                <w:sz w:val="20"/>
                <w:szCs w:val="20"/>
              </w:rPr>
              <w:t>7</w:t>
            </w:r>
            <w:r w:rsidR="00BC70AC" w:rsidRPr="00C928D8">
              <w:rPr>
                <w:rFonts w:asciiTheme="minorHAnsi" w:hAnsiTheme="minorHAnsi" w:cstheme="minorHAnsi"/>
                <w:sz w:val="20"/>
                <w:szCs w:val="20"/>
              </w:rPr>
              <w:t>, 2024</w:t>
            </w:r>
            <w:r w:rsidR="00DA623D" w:rsidRPr="00C928D8">
              <w:rPr>
                <w:rFonts w:asciiTheme="minorHAnsi" w:hAnsiTheme="minorHAnsi" w:cstheme="minorHAnsi"/>
                <w:sz w:val="20"/>
                <w:szCs w:val="20"/>
              </w:rPr>
              <w:t>)</w:t>
            </w:r>
            <w:r w:rsidR="005650EE" w:rsidRPr="00C928D8">
              <w:rPr>
                <w:rFonts w:asciiTheme="minorHAnsi" w:hAnsiTheme="minorHAnsi" w:cstheme="minorHAnsi"/>
                <w:sz w:val="20"/>
                <w:szCs w:val="20"/>
              </w:rPr>
              <w:t>.</w:t>
            </w:r>
          </w:p>
          <w:p w14:paraId="766AF991" w14:textId="4364940D" w:rsidR="007A06BA" w:rsidRPr="00C928D8" w:rsidRDefault="007A06BA"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 xml:space="preserve">Data as of July </w:t>
            </w:r>
            <w:r w:rsidR="00EB3C33" w:rsidRPr="00C928D8">
              <w:rPr>
                <w:rFonts w:asciiTheme="minorHAnsi" w:hAnsiTheme="minorHAnsi" w:cstheme="minorHAnsi"/>
                <w:sz w:val="20"/>
                <w:szCs w:val="20"/>
              </w:rPr>
              <w:t>7</w:t>
            </w:r>
            <w:r w:rsidRPr="00C928D8">
              <w:rPr>
                <w:rFonts w:asciiTheme="minorHAnsi" w:hAnsiTheme="minorHAnsi" w:cstheme="minorHAnsi"/>
                <w:sz w:val="20"/>
                <w:szCs w:val="20"/>
              </w:rPr>
              <w:t>, 20</w:t>
            </w:r>
            <w:r w:rsidR="00EB3C33" w:rsidRPr="00C928D8">
              <w:rPr>
                <w:rFonts w:asciiTheme="minorHAnsi" w:hAnsiTheme="minorHAnsi" w:cstheme="minorHAnsi"/>
                <w:sz w:val="20"/>
                <w:szCs w:val="20"/>
              </w:rPr>
              <w:t>2</w:t>
            </w:r>
            <w:r w:rsidRPr="00C928D8">
              <w:rPr>
                <w:rFonts w:asciiTheme="minorHAnsi" w:hAnsiTheme="minorHAnsi" w:cstheme="minorHAnsi"/>
                <w:sz w:val="20"/>
                <w:szCs w:val="20"/>
              </w:rPr>
              <w:t>4.</w:t>
            </w:r>
          </w:p>
          <w:p w14:paraId="20A87786" w14:textId="1D341664" w:rsidR="007A06BA" w:rsidRPr="00C928D8" w:rsidRDefault="00A21D01"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 xml:space="preserve">Research Department: </w:t>
            </w:r>
            <w:r w:rsidR="00D40032" w:rsidRPr="00C928D8">
              <w:rPr>
                <w:rFonts w:asciiTheme="minorHAnsi" w:hAnsiTheme="minorHAnsi" w:cstheme="minorHAnsi"/>
                <w:sz w:val="20"/>
                <w:szCs w:val="20"/>
              </w:rPr>
              <w:t xml:space="preserve">the </w:t>
            </w:r>
            <w:r w:rsidR="00DA623D" w:rsidRPr="00C928D8">
              <w:rPr>
                <w:rFonts w:asciiTheme="minorHAnsi" w:hAnsiTheme="minorHAnsi" w:cstheme="minorHAnsi"/>
                <w:sz w:val="20"/>
                <w:szCs w:val="20"/>
              </w:rPr>
              <w:t>inflation rate</w:t>
            </w:r>
            <w:r w:rsidR="00C51B50" w:rsidRPr="00C928D8">
              <w:rPr>
                <w:rFonts w:asciiTheme="minorHAnsi" w:hAnsiTheme="minorHAnsi" w:cstheme="minorHAnsi"/>
                <w:sz w:val="20"/>
                <w:szCs w:val="20"/>
              </w:rPr>
              <w:t xml:space="preserve"> </w:t>
            </w:r>
            <w:r w:rsidR="00D40032" w:rsidRPr="00C928D8">
              <w:rPr>
                <w:rFonts w:asciiTheme="minorHAnsi" w:hAnsiTheme="minorHAnsi" w:cstheme="minorHAnsi"/>
                <w:sz w:val="20"/>
                <w:szCs w:val="20"/>
              </w:rPr>
              <w:t xml:space="preserve">during the four quarters ending </w:t>
            </w:r>
            <w:r w:rsidR="00C51B50" w:rsidRPr="00C928D8">
              <w:rPr>
                <w:rFonts w:asciiTheme="minorHAnsi" w:hAnsiTheme="minorHAnsi" w:cstheme="minorHAnsi"/>
                <w:sz w:val="20"/>
                <w:szCs w:val="20"/>
              </w:rPr>
              <w:t xml:space="preserve">in the </w:t>
            </w:r>
            <w:r w:rsidR="007A06BA" w:rsidRPr="00C928D8">
              <w:rPr>
                <w:rFonts w:asciiTheme="minorHAnsi" w:hAnsiTheme="minorHAnsi" w:cstheme="minorHAnsi"/>
                <w:sz w:val="20"/>
                <w:szCs w:val="20"/>
              </w:rPr>
              <w:t>second</w:t>
            </w:r>
            <w:r w:rsidR="004C2B26" w:rsidRPr="00C928D8">
              <w:rPr>
                <w:rFonts w:asciiTheme="minorHAnsi" w:hAnsiTheme="minorHAnsi" w:cstheme="minorHAnsi"/>
                <w:sz w:val="20"/>
                <w:szCs w:val="20"/>
              </w:rPr>
              <w:t xml:space="preserve"> </w:t>
            </w:r>
            <w:r w:rsidR="00C51B50" w:rsidRPr="00C928D8">
              <w:rPr>
                <w:rFonts w:asciiTheme="minorHAnsi" w:hAnsiTheme="minorHAnsi" w:cstheme="minorHAnsi"/>
                <w:sz w:val="20"/>
                <w:szCs w:val="20"/>
              </w:rPr>
              <w:t>quarter of 2</w:t>
            </w:r>
            <w:r w:rsidR="00725CB0" w:rsidRPr="00C928D8">
              <w:rPr>
                <w:rFonts w:asciiTheme="minorHAnsi" w:hAnsiTheme="minorHAnsi" w:cstheme="minorHAnsi"/>
                <w:sz w:val="20"/>
                <w:szCs w:val="20"/>
              </w:rPr>
              <w:t>02</w:t>
            </w:r>
            <w:r w:rsidR="00BC70AC" w:rsidRPr="00C928D8">
              <w:rPr>
                <w:rFonts w:asciiTheme="minorHAnsi" w:hAnsiTheme="minorHAnsi" w:cstheme="minorHAnsi"/>
                <w:sz w:val="20"/>
                <w:szCs w:val="20"/>
              </w:rPr>
              <w:t>5</w:t>
            </w:r>
            <w:r w:rsidR="007864A7" w:rsidRPr="00C928D8">
              <w:rPr>
                <w:rFonts w:asciiTheme="minorHAnsi" w:hAnsiTheme="minorHAnsi" w:cstheme="minorHAnsi"/>
                <w:sz w:val="20"/>
                <w:szCs w:val="20"/>
              </w:rPr>
              <w:t>.</w:t>
            </w:r>
            <w:r w:rsidR="00DA623D" w:rsidRPr="00C928D8">
              <w:rPr>
                <w:rFonts w:asciiTheme="minorHAnsi" w:hAnsiTheme="minorHAnsi" w:cstheme="minorHAnsi"/>
                <w:sz w:val="20"/>
                <w:szCs w:val="20"/>
              </w:rPr>
              <w:t xml:space="preserve"> </w:t>
            </w:r>
          </w:p>
        </w:tc>
      </w:tr>
      <w:tr w:rsidR="00A21D01" w:rsidRPr="00C928D8"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06250AD3" w14:textId="70BD8410" w:rsidR="007A06BA" w:rsidRPr="00C928D8" w:rsidRDefault="002945D2" w:rsidP="00C928D8">
            <w:pPr>
              <w:pStyle w:val="af3"/>
              <w:numPr>
                <w:ilvl w:val="0"/>
                <w:numId w:val="11"/>
              </w:numPr>
              <w:bidi w:val="0"/>
              <w:spacing w:line="360" w:lineRule="auto"/>
              <w:rPr>
                <w:rFonts w:asciiTheme="minorHAnsi" w:hAnsiTheme="minorHAnsi" w:cstheme="minorHAnsi"/>
                <w:sz w:val="20"/>
                <w:szCs w:val="20"/>
              </w:rPr>
            </w:pPr>
            <w:r w:rsidRPr="00C928D8">
              <w:rPr>
                <w:rFonts w:asciiTheme="minorHAnsi" w:hAnsiTheme="minorHAnsi" w:cstheme="minorHAnsi"/>
                <w:sz w:val="20"/>
                <w:szCs w:val="20"/>
              </w:rPr>
              <w:t>Research Department:</w:t>
            </w:r>
            <w:r w:rsidR="00862770" w:rsidRPr="00C928D8">
              <w:rPr>
                <w:rFonts w:asciiTheme="minorHAnsi" w:hAnsiTheme="minorHAnsi" w:cstheme="minorHAnsi"/>
                <w:sz w:val="20"/>
                <w:szCs w:val="20"/>
              </w:rPr>
              <w:t xml:space="preserve"> </w:t>
            </w:r>
            <w:r w:rsidR="00DA623D" w:rsidRPr="00C928D8">
              <w:rPr>
                <w:rFonts w:asciiTheme="minorHAnsi" w:hAnsiTheme="minorHAnsi" w:cstheme="minorHAnsi"/>
                <w:sz w:val="20"/>
                <w:szCs w:val="20"/>
              </w:rPr>
              <w:t xml:space="preserve">the </w:t>
            </w:r>
            <w:r w:rsidR="00862770" w:rsidRPr="00C928D8">
              <w:rPr>
                <w:rFonts w:asciiTheme="minorHAnsi" w:hAnsiTheme="minorHAnsi" w:cstheme="minorHAnsi"/>
                <w:sz w:val="20"/>
                <w:szCs w:val="20"/>
              </w:rPr>
              <w:t>average interest rate</w:t>
            </w:r>
            <w:r w:rsidRPr="00C928D8">
              <w:rPr>
                <w:rFonts w:asciiTheme="minorHAnsi" w:hAnsiTheme="minorHAnsi" w:cstheme="minorHAnsi"/>
                <w:sz w:val="20"/>
                <w:szCs w:val="20"/>
              </w:rPr>
              <w:t xml:space="preserve"> in the </w:t>
            </w:r>
            <w:r w:rsidR="007A06BA" w:rsidRPr="00C928D8">
              <w:rPr>
                <w:rFonts w:asciiTheme="minorHAnsi" w:hAnsiTheme="minorHAnsi" w:cstheme="minorHAnsi"/>
                <w:sz w:val="20"/>
                <w:szCs w:val="20"/>
              </w:rPr>
              <w:t>second</w:t>
            </w:r>
            <w:r w:rsidR="00725CB0" w:rsidRPr="00C928D8">
              <w:rPr>
                <w:rFonts w:asciiTheme="minorHAnsi" w:hAnsiTheme="minorHAnsi" w:cstheme="minorHAnsi"/>
                <w:sz w:val="20"/>
                <w:szCs w:val="20"/>
              </w:rPr>
              <w:t xml:space="preserve"> </w:t>
            </w:r>
            <w:r w:rsidRPr="00C928D8">
              <w:rPr>
                <w:rFonts w:asciiTheme="minorHAnsi" w:hAnsiTheme="minorHAnsi" w:cstheme="minorHAnsi"/>
                <w:sz w:val="20"/>
                <w:szCs w:val="20"/>
              </w:rPr>
              <w:t>quarter of 20</w:t>
            </w:r>
            <w:r w:rsidR="00725CB0" w:rsidRPr="00C928D8">
              <w:rPr>
                <w:rFonts w:asciiTheme="minorHAnsi" w:hAnsiTheme="minorHAnsi" w:cstheme="minorHAnsi"/>
                <w:sz w:val="20"/>
                <w:szCs w:val="20"/>
              </w:rPr>
              <w:t>2</w:t>
            </w:r>
            <w:r w:rsidR="00BC70AC" w:rsidRPr="00C928D8">
              <w:rPr>
                <w:rFonts w:asciiTheme="minorHAnsi" w:hAnsiTheme="minorHAnsi" w:cstheme="minorHAnsi"/>
                <w:sz w:val="20"/>
                <w:szCs w:val="20"/>
              </w:rPr>
              <w:t>5</w:t>
            </w:r>
            <w:r w:rsidRPr="00C928D8">
              <w:rPr>
                <w:rFonts w:asciiTheme="minorHAnsi" w:hAnsiTheme="minorHAnsi" w:cstheme="minorHAnsi"/>
                <w:sz w:val="20"/>
                <w:szCs w:val="20"/>
              </w:rPr>
              <w:t>. Expectations</w:t>
            </w:r>
            <w:r w:rsidR="00046EE6" w:rsidRPr="00C928D8">
              <w:rPr>
                <w:rFonts w:asciiTheme="minorHAnsi" w:hAnsiTheme="minorHAnsi" w:cstheme="minorHAnsi"/>
                <w:sz w:val="20"/>
                <w:szCs w:val="20"/>
              </w:rPr>
              <w:t xml:space="preserve"> derived</w:t>
            </w:r>
            <w:r w:rsidRPr="00C928D8">
              <w:rPr>
                <w:rFonts w:asciiTheme="minorHAnsi" w:hAnsiTheme="minorHAnsi" w:cstheme="minorHAnsi"/>
                <w:sz w:val="20"/>
                <w:szCs w:val="20"/>
              </w:rPr>
              <w:t xml:space="preserve"> from the capital market are b</w:t>
            </w:r>
            <w:r w:rsidR="004E71DD" w:rsidRPr="00C928D8">
              <w:rPr>
                <w:rFonts w:asciiTheme="minorHAnsi" w:hAnsiTheme="minorHAnsi" w:cstheme="minorHAnsi"/>
                <w:sz w:val="20"/>
                <w:szCs w:val="20"/>
              </w:rPr>
              <w:t>a</w:t>
            </w:r>
            <w:r w:rsidRPr="00C928D8">
              <w:rPr>
                <w:rFonts w:asciiTheme="minorHAnsi" w:hAnsiTheme="minorHAnsi" w:cstheme="minorHAnsi"/>
                <w:sz w:val="20"/>
                <w:szCs w:val="20"/>
              </w:rPr>
              <w:t xml:space="preserve">sed on the </w:t>
            </w:r>
            <w:proofErr w:type="spellStart"/>
            <w:r w:rsidR="00D45EF8" w:rsidRPr="00C928D8">
              <w:rPr>
                <w:rFonts w:asciiTheme="minorHAnsi" w:hAnsiTheme="minorHAnsi" w:cstheme="minorHAnsi"/>
                <w:sz w:val="20"/>
                <w:szCs w:val="20"/>
              </w:rPr>
              <w:t>Telbor</w:t>
            </w:r>
            <w:proofErr w:type="spellEnd"/>
            <w:r w:rsidR="00D45EF8" w:rsidRPr="00C928D8">
              <w:rPr>
                <w:rFonts w:asciiTheme="minorHAnsi" w:hAnsiTheme="minorHAnsi" w:cstheme="minorHAnsi"/>
                <w:sz w:val="20"/>
                <w:szCs w:val="20"/>
              </w:rPr>
              <w:t xml:space="preserve"> market</w:t>
            </w:r>
            <w:r w:rsidR="00DA623D" w:rsidRPr="00C928D8">
              <w:rPr>
                <w:rFonts w:asciiTheme="minorHAnsi" w:hAnsiTheme="minorHAnsi" w:cstheme="minorHAnsi"/>
                <w:sz w:val="20"/>
                <w:szCs w:val="20"/>
              </w:rPr>
              <w:t xml:space="preserve"> </w:t>
            </w:r>
            <w:r w:rsidR="00324468" w:rsidRPr="00C928D8">
              <w:rPr>
                <w:rFonts w:asciiTheme="minorHAnsi" w:hAnsiTheme="minorHAnsi" w:cstheme="minorHAnsi"/>
                <w:sz w:val="20"/>
                <w:szCs w:val="20"/>
              </w:rPr>
              <w:t>(</w:t>
            </w:r>
            <w:r w:rsidR="00862770" w:rsidRPr="00C928D8">
              <w:rPr>
                <w:rFonts w:asciiTheme="minorHAnsi" w:hAnsiTheme="minorHAnsi" w:cstheme="minorHAnsi"/>
                <w:sz w:val="20"/>
                <w:szCs w:val="20"/>
              </w:rPr>
              <w:t xml:space="preserve">as of </w:t>
            </w:r>
            <w:r w:rsidR="007A06BA" w:rsidRPr="00C928D8">
              <w:rPr>
                <w:rFonts w:asciiTheme="minorHAnsi" w:hAnsiTheme="minorHAnsi" w:cstheme="minorHAnsi"/>
                <w:sz w:val="20"/>
                <w:szCs w:val="20"/>
              </w:rPr>
              <w:t xml:space="preserve">July </w:t>
            </w:r>
            <w:r w:rsidR="00003666" w:rsidRPr="00C928D8">
              <w:rPr>
                <w:rFonts w:asciiTheme="minorHAnsi" w:hAnsiTheme="minorHAnsi" w:cstheme="minorHAnsi"/>
                <w:sz w:val="20"/>
                <w:szCs w:val="20"/>
              </w:rPr>
              <w:t>5</w:t>
            </w:r>
            <w:r w:rsidR="00BC70AC" w:rsidRPr="00C928D8">
              <w:rPr>
                <w:rFonts w:asciiTheme="minorHAnsi" w:hAnsiTheme="minorHAnsi" w:cstheme="minorHAnsi"/>
                <w:sz w:val="20"/>
                <w:szCs w:val="20"/>
              </w:rPr>
              <w:t>, 2024</w:t>
            </w:r>
            <w:r w:rsidR="00324468" w:rsidRPr="00C928D8">
              <w:rPr>
                <w:rFonts w:asciiTheme="minorHAnsi" w:hAnsiTheme="minorHAnsi" w:cstheme="minorHAnsi"/>
                <w:sz w:val="20"/>
                <w:szCs w:val="20"/>
              </w:rPr>
              <w:t>)</w:t>
            </w:r>
            <w:r w:rsidRPr="00C928D8">
              <w:rPr>
                <w:rFonts w:asciiTheme="minorHAnsi" w:hAnsiTheme="minorHAnsi" w:cstheme="minorHAnsi"/>
                <w:sz w:val="20"/>
                <w:szCs w:val="20"/>
              </w:rPr>
              <w:t>.</w:t>
            </w:r>
          </w:p>
          <w:p w14:paraId="4C84A8C4" w14:textId="77777777" w:rsidR="00FE6484" w:rsidRPr="00C928D8" w:rsidRDefault="00FE6484" w:rsidP="00C928D8">
            <w:pPr>
              <w:bidi w:val="0"/>
              <w:spacing w:line="360" w:lineRule="auto"/>
              <w:rPr>
                <w:rFonts w:asciiTheme="minorHAnsi" w:hAnsiTheme="minorHAnsi" w:cstheme="minorHAnsi"/>
                <w:sz w:val="20"/>
                <w:szCs w:val="20"/>
                <w:rtl/>
              </w:rPr>
            </w:pPr>
            <w:r w:rsidRPr="00C928D8">
              <w:rPr>
                <w:rFonts w:asciiTheme="minorHAnsi" w:hAnsiTheme="minorHAnsi" w:cstheme="minorHAnsi"/>
                <w:sz w:val="20"/>
                <w:szCs w:val="20"/>
              </w:rPr>
              <w:t>SOURCE: Bank of Israel.</w:t>
            </w:r>
          </w:p>
        </w:tc>
      </w:tr>
    </w:tbl>
    <w:p w14:paraId="1B3EA6D5" w14:textId="77777777" w:rsidR="00D211EC" w:rsidRPr="00C928D8" w:rsidRDefault="00D211EC" w:rsidP="00C928D8">
      <w:pPr>
        <w:bidi w:val="0"/>
        <w:spacing w:line="360" w:lineRule="auto"/>
        <w:jc w:val="both"/>
        <w:rPr>
          <w:rFonts w:asciiTheme="minorHAnsi" w:hAnsiTheme="minorHAnsi" w:cstheme="minorHAnsi"/>
          <w:b/>
          <w:bCs/>
        </w:rPr>
      </w:pPr>
    </w:p>
    <w:p w14:paraId="4D92FFD0" w14:textId="21188866" w:rsidR="00A21D01" w:rsidRPr="00C928D8" w:rsidRDefault="00A21D01" w:rsidP="00C928D8">
      <w:pPr>
        <w:bidi w:val="0"/>
        <w:spacing w:line="360" w:lineRule="auto"/>
        <w:jc w:val="both"/>
        <w:rPr>
          <w:rFonts w:asciiTheme="minorHAnsi" w:hAnsiTheme="minorHAnsi" w:cstheme="minorHAnsi"/>
        </w:rPr>
      </w:pPr>
    </w:p>
    <w:p w14:paraId="45356F52" w14:textId="778C9CCE" w:rsidR="007A06BA" w:rsidRPr="00C928D8" w:rsidRDefault="007A06BA" w:rsidP="00C928D8">
      <w:pPr>
        <w:bidi w:val="0"/>
        <w:spacing w:line="360" w:lineRule="auto"/>
        <w:jc w:val="both"/>
        <w:rPr>
          <w:rFonts w:asciiTheme="minorHAnsi" w:hAnsiTheme="minorHAnsi" w:cstheme="minorHAnsi"/>
        </w:rPr>
      </w:pPr>
      <w:r w:rsidRPr="00C928D8">
        <w:rPr>
          <w:rFonts w:asciiTheme="minorHAnsi" w:hAnsiTheme="minorHAnsi" w:cstheme="minorHAnsi"/>
        </w:rPr>
        <w:t xml:space="preserve">Table 2 shows that the Research Department’s inflation forecast is higher than expectations derived from the capital market </w:t>
      </w:r>
      <w:proofErr w:type="spellStart"/>
      <w:r w:rsidRPr="00C928D8">
        <w:rPr>
          <w:rFonts w:asciiTheme="minorHAnsi" w:hAnsiTheme="minorHAnsi" w:cstheme="minorHAnsi"/>
        </w:rPr>
        <w:t>and than</w:t>
      </w:r>
      <w:proofErr w:type="spellEnd"/>
      <w:r w:rsidRPr="00C928D8">
        <w:rPr>
          <w:rFonts w:asciiTheme="minorHAnsi" w:hAnsiTheme="minorHAnsi" w:cstheme="minorHAnsi"/>
        </w:rPr>
        <w:t xml:space="preserve"> the average projections of the private forecasters.  Some of this gap may be due to different assessments regarding the taxation measures that the government will take within the forecast range.  The Research Department’s interest rate forecast is similar to the forecasts derived from the capital market, and slightly higher than the average projections of the private forecasters.</w:t>
      </w:r>
    </w:p>
    <w:p w14:paraId="490C73E9" w14:textId="7DC78F74" w:rsidR="007A06BA" w:rsidRPr="00C928D8" w:rsidRDefault="007A06BA" w:rsidP="00C928D8">
      <w:pPr>
        <w:bidi w:val="0"/>
        <w:spacing w:line="360" w:lineRule="auto"/>
        <w:jc w:val="both"/>
        <w:rPr>
          <w:rFonts w:asciiTheme="minorHAnsi" w:hAnsiTheme="minorHAnsi" w:cstheme="minorHAnsi"/>
        </w:rPr>
      </w:pPr>
    </w:p>
    <w:p w14:paraId="6BD73EDD" w14:textId="77777777" w:rsidR="007A06BA" w:rsidRPr="00C928D8" w:rsidRDefault="007A06BA" w:rsidP="00C928D8">
      <w:pPr>
        <w:bidi w:val="0"/>
        <w:spacing w:line="360" w:lineRule="auto"/>
        <w:jc w:val="both"/>
        <w:rPr>
          <w:rFonts w:asciiTheme="minorHAnsi" w:hAnsiTheme="minorHAnsi" w:cstheme="minorHAnsi"/>
        </w:rPr>
      </w:pPr>
    </w:p>
    <w:p w14:paraId="1B6C9E83" w14:textId="77777777" w:rsidR="00A21D01" w:rsidRPr="00C928D8" w:rsidRDefault="006648AB" w:rsidP="00C928D8">
      <w:pPr>
        <w:numPr>
          <w:ilvl w:val="0"/>
          <w:numId w:val="9"/>
        </w:numPr>
        <w:bidi w:val="0"/>
        <w:spacing w:line="360" w:lineRule="auto"/>
        <w:ind w:left="357" w:hanging="357"/>
        <w:jc w:val="both"/>
        <w:rPr>
          <w:rFonts w:asciiTheme="minorHAnsi" w:hAnsiTheme="minorHAnsi" w:cstheme="minorHAnsi"/>
          <w:b/>
          <w:bCs/>
        </w:rPr>
      </w:pPr>
      <w:r w:rsidRPr="00C928D8">
        <w:rPr>
          <w:rFonts w:asciiTheme="minorHAnsi" w:hAnsiTheme="minorHAnsi" w:cstheme="minorHAnsi"/>
          <w:b/>
          <w:bCs/>
        </w:rPr>
        <w:t>Main r</w:t>
      </w:r>
      <w:r w:rsidR="00A21D01" w:rsidRPr="00C928D8">
        <w:rPr>
          <w:rFonts w:asciiTheme="minorHAnsi" w:hAnsiTheme="minorHAnsi" w:cstheme="minorHAnsi"/>
          <w:b/>
          <w:bCs/>
        </w:rPr>
        <w:t xml:space="preserve">isks </w:t>
      </w:r>
      <w:r w:rsidR="00202CCB" w:rsidRPr="00C928D8">
        <w:rPr>
          <w:rFonts w:asciiTheme="minorHAnsi" w:hAnsiTheme="minorHAnsi" w:cstheme="minorHAnsi"/>
          <w:b/>
          <w:bCs/>
        </w:rPr>
        <w:t xml:space="preserve">to </w:t>
      </w:r>
      <w:r w:rsidR="00A21D01" w:rsidRPr="00C928D8">
        <w:rPr>
          <w:rFonts w:asciiTheme="minorHAnsi" w:hAnsiTheme="minorHAnsi" w:cstheme="minorHAnsi"/>
          <w:b/>
          <w:bCs/>
        </w:rPr>
        <w:t>the forecast</w:t>
      </w:r>
    </w:p>
    <w:p w14:paraId="3109DA29" w14:textId="77777777" w:rsidR="00FF22EB" w:rsidRPr="00C928D8" w:rsidRDefault="00FF22EB" w:rsidP="00C928D8">
      <w:pPr>
        <w:bidi w:val="0"/>
        <w:spacing w:line="360" w:lineRule="auto"/>
        <w:jc w:val="both"/>
        <w:rPr>
          <w:rFonts w:asciiTheme="minorHAnsi" w:hAnsiTheme="minorHAnsi" w:cstheme="minorHAnsi"/>
        </w:rPr>
      </w:pPr>
    </w:p>
    <w:p w14:paraId="6B21BDD7" w14:textId="318055D2" w:rsidR="004B2862" w:rsidRPr="00C928D8" w:rsidRDefault="00995A4F" w:rsidP="00C928D8">
      <w:pPr>
        <w:bidi w:val="0"/>
        <w:spacing w:line="360" w:lineRule="auto"/>
        <w:jc w:val="both"/>
        <w:rPr>
          <w:rFonts w:asciiTheme="minorHAnsi" w:hAnsiTheme="minorHAnsi" w:cstheme="minorHAnsi"/>
        </w:rPr>
      </w:pPr>
      <w:r w:rsidRPr="00C928D8">
        <w:rPr>
          <w:rFonts w:asciiTheme="minorHAnsi" w:hAnsiTheme="minorHAnsi" w:cstheme="minorHAnsi"/>
        </w:rPr>
        <w:t>The forecast</w:t>
      </w:r>
      <w:r w:rsidR="00F36C49" w:rsidRPr="00C928D8">
        <w:rPr>
          <w:rFonts w:asciiTheme="minorHAnsi" w:hAnsiTheme="minorHAnsi" w:cstheme="minorHAnsi"/>
        </w:rPr>
        <w:t xml:space="preserve"> </w:t>
      </w:r>
      <w:r w:rsidR="00AF330E" w:rsidRPr="00C928D8">
        <w:rPr>
          <w:rFonts w:asciiTheme="minorHAnsi" w:hAnsiTheme="minorHAnsi" w:cstheme="minorHAnsi"/>
        </w:rPr>
        <w:t xml:space="preserve">is based on the assumption that </w:t>
      </w:r>
      <w:r w:rsidR="00F36C49" w:rsidRPr="00C928D8">
        <w:rPr>
          <w:rFonts w:asciiTheme="minorHAnsi" w:hAnsiTheme="minorHAnsi" w:cstheme="minorHAnsi"/>
        </w:rPr>
        <w:t xml:space="preserve">the </w:t>
      </w:r>
      <w:r w:rsidR="004B2862" w:rsidRPr="00C928D8">
        <w:rPr>
          <w:rFonts w:asciiTheme="minorHAnsi" w:hAnsiTheme="minorHAnsi" w:cstheme="minorHAnsi"/>
        </w:rPr>
        <w:t>direct economic impact</w:t>
      </w:r>
      <w:r w:rsidR="00660ADD" w:rsidRPr="00C928D8">
        <w:rPr>
          <w:rFonts w:asciiTheme="minorHAnsi" w:hAnsiTheme="minorHAnsi" w:cstheme="minorHAnsi"/>
        </w:rPr>
        <w:t xml:space="preserve"> </w:t>
      </w:r>
      <w:r w:rsidR="005F1F9D" w:rsidRPr="00C928D8">
        <w:rPr>
          <w:rFonts w:asciiTheme="minorHAnsi" w:hAnsiTheme="minorHAnsi" w:cstheme="minorHAnsi"/>
        </w:rPr>
        <w:t xml:space="preserve">of </w:t>
      </w:r>
      <w:r w:rsidR="00AF330E" w:rsidRPr="00C928D8">
        <w:rPr>
          <w:rFonts w:asciiTheme="minorHAnsi" w:hAnsiTheme="minorHAnsi" w:cstheme="minorHAnsi"/>
        </w:rPr>
        <w:t>the war</w:t>
      </w:r>
      <w:r w:rsidR="00D372F5" w:rsidRPr="00C928D8" w:rsidDel="00D372F5">
        <w:rPr>
          <w:rFonts w:asciiTheme="minorHAnsi" w:hAnsiTheme="minorHAnsi" w:cstheme="minorHAnsi"/>
        </w:rPr>
        <w:t xml:space="preserve"> </w:t>
      </w:r>
      <w:r w:rsidR="00D372F5" w:rsidRPr="00C928D8">
        <w:rPr>
          <w:rFonts w:asciiTheme="minorHAnsi" w:hAnsiTheme="minorHAnsi" w:cstheme="minorHAnsi"/>
        </w:rPr>
        <w:t>will</w:t>
      </w:r>
      <w:r w:rsidR="005F1F9D" w:rsidRPr="00C928D8">
        <w:rPr>
          <w:rFonts w:asciiTheme="minorHAnsi" w:hAnsiTheme="minorHAnsi" w:cstheme="minorHAnsi"/>
        </w:rPr>
        <w:t xml:space="preserve"> </w:t>
      </w:r>
      <w:r w:rsidR="002D3C08" w:rsidRPr="00C928D8">
        <w:rPr>
          <w:rFonts w:asciiTheme="minorHAnsi" w:hAnsiTheme="minorHAnsi" w:cstheme="minorHAnsi"/>
        </w:rPr>
        <w:t xml:space="preserve">continue </w:t>
      </w:r>
      <w:r w:rsidR="004B2862" w:rsidRPr="00C928D8">
        <w:rPr>
          <w:rFonts w:asciiTheme="minorHAnsi" w:hAnsiTheme="minorHAnsi" w:cstheme="minorHAnsi"/>
        </w:rPr>
        <w:t>until the beginning of 2025.</w:t>
      </w:r>
      <w:r w:rsidR="005F1F9D" w:rsidRPr="00C928D8">
        <w:rPr>
          <w:rFonts w:asciiTheme="minorHAnsi" w:hAnsiTheme="minorHAnsi" w:cstheme="minorHAnsi"/>
        </w:rPr>
        <w:t xml:space="preserve"> </w:t>
      </w:r>
      <w:r w:rsidR="00AF330E" w:rsidRPr="00C928D8">
        <w:rPr>
          <w:rFonts w:asciiTheme="minorHAnsi" w:hAnsiTheme="minorHAnsi" w:cstheme="minorHAnsi"/>
        </w:rPr>
        <w:t>Various developments that may affect th</w:t>
      </w:r>
      <w:r w:rsidR="005F1F9D" w:rsidRPr="00C928D8">
        <w:rPr>
          <w:rFonts w:asciiTheme="minorHAnsi" w:hAnsiTheme="minorHAnsi" w:cstheme="minorHAnsi"/>
        </w:rPr>
        <w:t>e duration</w:t>
      </w:r>
      <w:r w:rsidR="004E6580" w:rsidRPr="00C928D8">
        <w:rPr>
          <w:rFonts w:asciiTheme="minorHAnsi" w:hAnsiTheme="minorHAnsi" w:cstheme="minorHAnsi"/>
        </w:rPr>
        <w:t xml:space="preserve"> and severity</w:t>
      </w:r>
      <w:r w:rsidR="005F1F9D" w:rsidRPr="00C928D8">
        <w:rPr>
          <w:rFonts w:asciiTheme="minorHAnsi" w:hAnsiTheme="minorHAnsi" w:cstheme="minorHAnsi"/>
        </w:rPr>
        <w:t xml:space="preserve"> of the war </w:t>
      </w:r>
      <w:r w:rsidR="00BC70AC" w:rsidRPr="00C928D8">
        <w:rPr>
          <w:rFonts w:asciiTheme="minorHAnsi" w:hAnsiTheme="minorHAnsi" w:cstheme="minorHAnsi"/>
        </w:rPr>
        <w:t>may,</w:t>
      </w:r>
      <w:r w:rsidR="005F1F9D" w:rsidRPr="00C928D8">
        <w:rPr>
          <w:rFonts w:asciiTheme="minorHAnsi" w:hAnsiTheme="minorHAnsi" w:cstheme="minorHAnsi"/>
        </w:rPr>
        <w:t xml:space="preserve"> </w:t>
      </w:r>
      <w:r w:rsidR="00BC70AC" w:rsidRPr="00C928D8">
        <w:rPr>
          <w:rFonts w:asciiTheme="minorHAnsi" w:hAnsiTheme="minorHAnsi" w:cstheme="minorHAnsi"/>
        </w:rPr>
        <w:t>of course,</w:t>
      </w:r>
      <w:r w:rsidR="005F1F9D" w:rsidRPr="00C928D8">
        <w:rPr>
          <w:rFonts w:asciiTheme="minorHAnsi" w:hAnsiTheme="minorHAnsi" w:cstheme="minorHAnsi"/>
        </w:rPr>
        <w:t xml:space="preserve"> </w:t>
      </w:r>
      <w:r w:rsidR="00F36C49" w:rsidRPr="00C928D8">
        <w:rPr>
          <w:rFonts w:asciiTheme="minorHAnsi" w:hAnsiTheme="minorHAnsi" w:cstheme="minorHAnsi"/>
        </w:rPr>
        <w:t>have a material impact on</w:t>
      </w:r>
      <w:r w:rsidR="005F1F9D" w:rsidRPr="00C928D8">
        <w:rPr>
          <w:rFonts w:asciiTheme="minorHAnsi" w:hAnsiTheme="minorHAnsi" w:cstheme="minorHAnsi"/>
        </w:rPr>
        <w:t xml:space="preserve"> economic developments.</w:t>
      </w:r>
      <w:r w:rsidR="002D3C08" w:rsidRPr="00C928D8">
        <w:rPr>
          <w:rFonts w:asciiTheme="minorHAnsi" w:hAnsiTheme="minorHAnsi" w:cstheme="minorHAnsi"/>
        </w:rPr>
        <w:t xml:space="preserve"> </w:t>
      </w:r>
      <w:r w:rsidR="00AF330E" w:rsidRPr="00C928D8">
        <w:rPr>
          <w:rFonts w:asciiTheme="minorHAnsi" w:hAnsiTheme="minorHAnsi" w:cstheme="minorHAnsi"/>
        </w:rPr>
        <w:t xml:space="preserve">In </w:t>
      </w:r>
      <w:r w:rsidR="00AF330E" w:rsidRPr="00C928D8">
        <w:rPr>
          <w:rFonts w:asciiTheme="minorHAnsi" w:hAnsiTheme="minorHAnsi" w:cstheme="minorHAnsi"/>
        </w:rPr>
        <w:lastRenderedPageBreak/>
        <w:t xml:space="preserve">particular, a </w:t>
      </w:r>
      <w:r w:rsidR="004B2862" w:rsidRPr="00C928D8">
        <w:rPr>
          <w:rFonts w:asciiTheme="minorHAnsi" w:hAnsiTheme="minorHAnsi" w:cstheme="minorHAnsi"/>
        </w:rPr>
        <w:t>longer-than-expected</w:t>
      </w:r>
      <w:r w:rsidR="00AF330E" w:rsidRPr="00C928D8">
        <w:rPr>
          <w:rFonts w:asciiTheme="minorHAnsi" w:hAnsiTheme="minorHAnsi" w:cstheme="minorHAnsi"/>
        </w:rPr>
        <w:t xml:space="preserve"> war </w:t>
      </w:r>
      <w:r w:rsidR="004B2862" w:rsidRPr="00C928D8">
        <w:rPr>
          <w:rFonts w:asciiTheme="minorHAnsi" w:hAnsiTheme="minorHAnsi" w:cstheme="minorHAnsi"/>
        </w:rPr>
        <w:t>is exp</w:t>
      </w:r>
      <w:r w:rsidR="00AF330E" w:rsidRPr="00C928D8">
        <w:rPr>
          <w:rFonts w:asciiTheme="minorHAnsi" w:hAnsiTheme="minorHAnsi" w:cstheme="minorHAnsi"/>
        </w:rPr>
        <w:t xml:space="preserve">ected </w:t>
      </w:r>
      <w:r w:rsidR="000463A7" w:rsidRPr="00C928D8">
        <w:rPr>
          <w:rFonts w:asciiTheme="minorHAnsi" w:hAnsiTheme="minorHAnsi" w:cstheme="minorHAnsi"/>
        </w:rPr>
        <w:t xml:space="preserve">to </w:t>
      </w:r>
      <w:r w:rsidR="004B2862" w:rsidRPr="00C928D8">
        <w:rPr>
          <w:rFonts w:asciiTheme="minorHAnsi" w:hAnsiTheme="minorHAnsi" w:cstheme="minorHAnsi"/>
        </w:rPr>
        <w:t xml:space="preserve">weigh down on economic activity.  The channels of this potential impact include longer interruptions to the supply of labor, partly in view of the mobilization of reserve soldiers that will be required, a further increase in the risk premium, a decline in domestic demand for consumption and investments, and impaired sentiment toward Israel that will lead to a decline in demand for Israeli exports and in investments from abroad.  If the fighting expands, these effects may be more serious and lead to a material negative macroeconomic impact. </w:t>
      </w:r>
      <w:r w:rsidR="00AF330E" w:rsidRPr="00C928D8">
        <w:rPr>
          <w:rFonts w:asciiTheme="minorHAnsi" w:hAnsiTheme="minorHAnsi" w:cstheme="minorHAnsi"/>
        </w:rPr>
        <w:t xml:space="preserve"> </w:t>
      </w:r>
      <w:r w:rsidR="004B2862" w:rsidRPr="00C928D8">
        <w:rPr>
          <w:rFonts w:asciiTheme="minorHAnsi" w:hAnsiTheme="minorHAnsi" w:cstheme="minorHAnsi"/>
        </w:rPr>
        <w:t xml:space="preserve">In particular, a broad war in the north, due to which activity in broad areas in Israel will be limited for a number of weeks with a likelihood of damage to infrastructure, </w:t>
      </w:r>
      <w:r w:rsidR="00003666" w:rsidRPr="00C928D8">
        <w:rPr>
          <w:rFonts w:asciiTheme="minorHAnsi" w:hAnsiTheme="minorHAnsi" w:cstheme="minorHAnsi"/>
        </w:rPr>
        <w:t xml:space="preserve">is expected to </w:t>
      </w:r>
      <w:r w:rsidR="004B2862" w:rsidRPr="00C928D8">
        <w:rPr>
          <w:rFonts w:asciiTheme="minorHAnsi" w:hAnsiTheme="minorHAnsi" w:cstheme="minorHAnsi"/>
        </w:rPr>
        <w:t>materially worse</w:t>
      </w:r>
      <w:r w:rsidR="00003666" w:rsidRPr="00C928D8">
        <w:rPr>
          <w:rFonts w:asciiTheme="minorHAnsi" w:hAnsiTheme="minorHAnsi" w:cstheme="minorHAnsi"/>
        </w:rPr>
        <w:t>n</w:t>
      </w:r>
      <w:r w:rsidR="004B2862" w:rsidRPr="00C928D8">
        <w:rPr>
          <w:rFonts w:asciiTheme="minorHAnsi" w:hAnsiTheme="minorHAnsi" w:cstheme="minorHAnsi"/>
        </w:rPr>
        <w:t xml:space="preserve"> economic activity and delete a few percent from annual growth.  Its cost will also necessitate a reassessment of the volume of adjustments needed in the budget and in taxes.  All of these will also affect the development of inflation, the deficit, and government debt.</w:t>
      </w:r>
    </w:p>
    <w:p w14:paraId="5C797B2E" w14:textId="3B777F75" w:rsidR="004B2862" w:rsidRPr="00C928D8" w:rsidRDefault="004B2862" w:rsidP="00C928D8">
      <w:pPr>
        <w:bidi w:val="0"/>
        <w:spacing w:line="360" w:lineRule="auto"/>
        <w:jc w:val="both"/>
        <w:rPr>
          <w:rFonts w:asciiTheme="minorHAnsi" w:hAnsiTheme="minorHAnsi" w:cstheme="minorHAnsi"/>
        </w:rPr>
      </w:pPr>
    </w:p>
    <w:p w14:paraId="4A753BFA" w14:textId="13A7E403" w:rsidR="00DF033B" w:rsidRPr="00C928D8" w:rsidRDefault="00BC70AC" w:rsidP="00C928D8">
      <w:pPr>
        <w:bidi w:val="0"/>
        <w:spacing w:line="360" w:lineRule="auto"/>
        <w:jc w:val="both"/>
        <w:rPr>
          <w:rFonts w:asciiTheme="minorHAnsi" w:hAnsiTheme="minorHAnsi" w:cstheme="minorHAnsi"/>
        </w:rPr>
      </w:pPr>
      <w:r w:rsidRPr="00C928D8">
        <w:rPr>
          <w:rFonts w:asciiTheme="minorHAnsi" w:hAnsiTheme="minorHAnsi" w:cstheme="minorHAnsi"/>
        </w:rPr>
        <w:t>Another risk</w:t>
      </w:r>
      <w:r w:rsidR="004B2862" w:rsidRPr="00C928D8">
        <w:rPr>
          <w:rFonts w:asciiTheme="minorHAnsi" w:hAnsiTheme="minorHAnsi" w:cstheme="minorHAnsi"/>
        </w:rPr>
        <w:t xml:space="preserve"> is that the government may only partially </w:t>
      </w:r>
      <w:r w:rsidR="00003666" w:rsidRPr="00C928D8">
        <w:rPr>
          <w:rFonts w:asciiTheme="minorHAnsi" w:hAnsiTheme="minorHAnsi" w:cstheme="minorHAnsi"/>
        </w:rPr>
        <w:t>make the</w:t>
      </w:r>
      <w:r w:rsidR="004B2862" w:rsidRPr="00C928D8">
        <w:rPr>
          <w:rFonts w:asciiTheme="minorHAnsi" w:hAnsiTheme="minorHAnsi" w:cstheme="minorHAnsi"/>
        </w:rPr>
        <w:t xml:space="preserve"> fiscal adjustments</w:t>
      </w:r>
      <w:r w:rsidRPr="00C928D8">
        <w:rPr>
          <w:rFonts w:asciiTheme="minorHAnsi" w:hAnsiTheme="minorHAnsi" w:cstheme="minorHAnsi"/>
        </w:rPr>
        <w:t xml:space="preserve"> </w:t>
      </w:r>
      <w:r w:rsidR="004B2862" w:rsidRPr="00C928D8">
        <w:rPr>
          <w:rFonts w:asciiTheme="minorHAnsi" w:hAnsiTheme="minorHAnsi" w:cstheme="minorHAnsi"/>
        </w:rPr>
        <w:t xml:space="preserve">necessary to prevent an excess increase in the deficit, or that approval of the budget </w:t>
      </w:r>
      <w:r w:rsidR="00003666" w:rsidRPr="00C928D8">
        <w:rPr>
          <w:rFonts w:asciiTheme="minorHAnsi" w:hAnsiTheme="minorHAnsi" w:cstheme="minorHAnsi"/>
        </w:rPr>
        <w:t xml:space="preserve">may be delayed </w:t>
      </w:r>
      <w:r w:rsidR="004B2862" w:rsidRPr="00C928D8">
        <w:rPr>
          <w:rFonts w:asciiTheme="minorHAnsi" w:hAnsiTheme="minorHAnsi" w:cstheme="minorHAnsi"/>
        </w:rPr>
        <w:t>into 2025, alongside a possible further increase in war expenses and in permanent expenses.</w:t>
      </w:r>
      <w:r w:rsidR="00DF033B" w:rsidRPr="00C928D8">
        <w:rPr>
          <w:rFonts w:asciiTheme="minorHAnsi" w:hAnsiTheme="minorHAnsi" w:cstheme="minorHAnsi"/>
        </w:rPr>
        <w:t xml:space="preserve">  These may lead to a further increase in Israel’s risk premium as a result of the markets’ perception </w:t>
      </w:r>
      <w:r w:rsidR="00003666" w:rsidRPr="00C928D8">
        <w:rPr>
          <w:rFonts w:asciiTheme="minorHAnsi" w:hAnsiTheme="minorHAnsi" w:cstheme="minorHAnsi"/>
        </w:rPr>
        <w:t xml:space="preserve">and concern </w:t>
      </w:r>
      <w:r w:rsidR="00DF033B" w:rsidRPr="00C928D8">
        <w:rPr>
          <w:rFonts w:asciiTheme="minorHAnsi" w:hAnsiTheme="minorHAnsi" w:cstheme="minorHAnsi"/>
        </w:rPr>
        <w:t>that the debt to GDP ratio is in a divergent path.  Such a situation may lead to an impact to the economy’s growth path, a weakening of the shekel, and increasing inflationary pressure, which would also be reflected in higher interest rates.</w:t>
      </w:r>
    </w:p>
    <w:p w14:paraId="7A43E955" w14:textId="77777777" w:rsidR="00DF033B" w:rsidRPr="00C928D8" w:rsidRDefault="00DF033B" w:rsidP="00C928D8">
      <w:pPr>
        <w:bidi w:val="0"/>
        <w:spacing w:line="360" w:lineRule="auto"/>
        <w:jc w:val="both"/>
        <w:rPr>
          <w:rFonts w:asciiTheme="minorHAnsi" w:hAnsiTheme="minorHAnsi" w:cstheme="minorHAnsi"/>
        </w:rPr>
      </w:pPr>
    </w:p>
    <w:p w14:paraId="6203372D" w14:textId="29EBD660" w:rsidR="00C8406C" w:rsidRPr="00C928D8" w:rsidRDefault="00BC70AC" w:rsidP="00C928D8">
      <w:pPr>
        <w:bidi w:val="0"/>
        <w:spacing w:line="360" w:lineRule="auto"/>
        <w:jc w:val="both"/>
        <w:rPr>
          <w:rFonts w:asciiTheme="minorHAnsi" w:hAnsiTheme="minorHAnsi" w:cstheme="minorHAnsi"/>
        </w:rPr>
      </w:pPr>
      <w:r w:rsidRPr="00C928D8">
        <w:rPr>
          <w:rFonts w:asciiTheme="minorHAnsi" w:hAnsiTheme="minorHAnsi" w:cstheme="minorHAnsi"/>
        </w:rPr>
        <w:t>In view of these risks, our assessment is that the balance of risks relating to the growth forecast tends downward, while in relation to the inflation and deficit forecasts, it tends upward.</w:t>
      </w:r>
    </w:p>
    <w:sectPr w:rsidR="00C8406C" w:rsidRPr="00C928D8" w:rsidSect="006B2402">
      <w:footerReference w:type="default" r:id="rId12"/>
      <w:footerReference w:type="first" r:id="rId13"/>
      <w:pgSz w:w="11906" w:h="16838"/>
      <w:pgMar w:top="1134" w:right="1416" w:bottom="1276"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9ABA4" w14:textId="77777777" w:rsidR="00D16E48" w:rsidRDefault="00D16E48" w:rsidP="00AD16FC">
      <w:r>
        <w:separator/>
      </w:r>
    </w:p>
  </w:endnote>
  <w:endnote w:type="continuationSeparator" w:id="0">
    <w:p w14:paraId="4AB8CE57" w14:textId="77777777" w:rsidR="00D16E48" w:rsidRDefault="00D16E48"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6FAB" w14:textId="77777777" w:rsidR="00A16ACA" w:rsidRDefault="00A16ACA" w:rsidP="00A5432B">
    <w:pPr>
      <w:pStyle w:val="a5"/>
      <w:bidi w:val="0"/>
    </w:pPr>
    <w:r>
      <w:t>Bank of Israel — Research Department Macroeconomic Staff Forecast</w:t>
    </w:r>
    <w:r w:rsidR="004A4BD6">
      <w:t xml:space="preserve">, </w:t>
    </w:r>
    <w:r w:rsidR="00A5432B">
      <w:rPr>
        <w:rFonts w:hint="cs"/>
      </w:rPr>
      <w:t>A</w:t>
    </w:r>
    <w:r w:rsidR="00A5432B">
      <w:t>pril</w:t>
    </w:r>
    <w:r w:rsidR="004A4BD6">
      <w:t xml:space="preserve"> 202</w:t>
    </w:r>
    <w:r w:rsidR="00247644">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06CFEE22" w:rsidR="00AE0ADC" w:rsidRDefault="00AE0ADC" w:rsidP="00062FE3">
    <w:pPr>
      <w:pStyle w:val="a5"/>
      <w:bidi w:val="0"/>
    </w:pPr>
    <w:r>
      <w:t xml:space="preserve">Bank of Israel — Research Department Macroeconomic Staff Forecast, </w:t>
    </w:r>
    <w:r w:rsidR="00062FE3">
      <w:t>July</w:t>
    </w:r>
    <w:r w:rsidR="00247644">
      <w:t xml:space="preserve"> </w:t>
    </w:r>
    <w:r w:rsidR="00E96831">
      <w:t>202</w:t>
    </w:r>
    <w:r w:rsidR="00247644">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8CCA" w14:textId="77777777" w:rsidR="00D16E48" w:rsidRDefault="00D16E48" w:rsidP="00AD16FC">
      <w:r>
        <w:separator/>
      </w:r>
    </w:p>
  </w:footnote>
  <w:footnote w:type="continuationSeparator" w:id="0">
    <w:p w14:paraId="0E293440" w14:textId="77777777" w:rsidR="00D16E48" w:rsidRDefault="00D16E48" w:rsidP="00AD16FC">
      <w:r>
        <w:continuationSeparator/>
      </w:r>
    </w:p>
  </w:footnote>
  <w:footnote w:id="1">
    <w:p w14:paraId="7F2E1BD5" w14:textId="45E04C07" w:rsidR="00A30AC5" w:rsidRPr="00F31BDD" w:rsidRDefault="00A30AC5" w:rsidP="00062FE3">
      <w:pPr>
        <w:pStyle w:val="aa"/>
        <w:bidi w:val="0"/>
        <w:jc w:val="both"/>
        <w:rPr>
          <w:rtl/>
        </w:rPr>
      </w:pPr>
      <w:r>
        <w:rPr>
          <w:rStyle w:val="ac"/>
        </w:rPr>
        <w:footnoteRef/>
      </w:r>
      <w:r>
        <w:rPr>
          <w:rtl/>
        </w:rPr>
        <w:t xml:space="preserve"> </w:t>
      </w:r>
      <w:r>
        <w:t xml:space="preserve"> The forecast was presented to the Bank of Israel Monetary Committee on </w:t>
      </w:r>
      <w:r w:rsidR="00062FE3">
        <w:t>July</w:t>
      </w:r>
      <w:r w:rsidR="00B525D0">
        <w:t xml:space="preserve"> 7,</w:t>
      </w:r>
      <w:r>
        <w:t xml:space="preserve"> </w:t>
      </w:r>
      <w:r w:rsidR="009733B5">
        <w:t>202</w:t>
      </w:r>
      <w:r w:rsidR="00B525D0">
        <w:t>4</w:t>
      </w:r>
      <w:r>
        <w:t xml:space="preserve">, prior to the </w:t>
      </w:r>
      <w:r w:rsidRPr="00F31BDD">
        <w:t xml:space="preserve">decision on the interest rate made on </w:t>
      </w:r>
      <w:r w:rsidR="00062FE3">
        <w:t>July</w:t>
      </w:r>
      <w:r w:rsidR="00B525D0">
        <w:t xml:space="preserve"> 8</w:t>
      </w:r>
      <w:r w:rsidR="00F31BDD" w:rsidRPr="00F31BDD">
        <w:t>, 2024</w:t>
      </w:r>
      <w:r w:rsidR="00D81515" w:rsidRPr="00F31BDD">
        <w:t>.</w:t>
      </w:r>
    </w:p>
  </w:footnote>
  <w:footnote w:id="2">
    <w:p w14:paraId="26EEC4A0" w14:textId="77777777" w:rsidR="004675C1" w:rsidRDefault="004675C1" w:rsidP="00D41588">
      <w:pPr>
        <w:bidi w:val="0"/>
        <w:jc w:val="both"/>
      </w:pPr>
      <w:r w:rsidRPr="00F31BDD">
        <w:rPr>
          <w:rStyle w:val="ac"/>
          <w:sz w:val="20"/>
          <w:szCs w:val="20"/>
        </w:rPr>
        <w:footnoteRef/>
      </w:r>
      <w:r w:rsidRPr="00F31BDD">
        <w:rPr>
          <w:sz w:val="20"/>
          <w:szCs w:val="20"/>
        </w:rPr>
        <w:t xml:space="preserve"> </w:t>
      </w:r>
      <w:r w:rsidR="00F31BDD" w:rsidRPr="00F31BDD">
        <w:rPr>
          <w:sz w:val="20"/>
          <w:szCs w:val="20"/>
        </w:rPr>
        <w:t xml:space="preserve">An explanation of the macroeconomic forecasts formulated by the bank of Israel Research Department, as well as a review of the models on which they are based, appear in the Bank of Israel’s Inflation Report 31 (second quarter of 2010), Section 3c. </w:t>
      </w:r>
      <w:r w:rsidRPr="00F31BDD">
        <w:rPr>
          <w:sz w:val="20"/>
          <w:szCs w:val="20"/>
        </w:rPr>
        <w:t>A Discussion Paper on the DSGE model is available on the Bank of Israel website, under the title: “MOISE</w:t>
      </w:r>
      <w:r w:rsidRPr="00237ACD">
        <w:rPr>
          <w:sz w:val="20"/>
          <w:szCs w:val="20"/>
        </w:rPr>
        <w:t>: A DSGE Model for the Israeli Econom</w:t>
      </w:r>
      <w:r>
        <w:rPr>
          <w:sz w:val="20"/>
          <w:szCs w:val="20"/>
        </w:rPr>
        <w:t>y,” Discussion Paper No. 2012.06</w:t>
      </w:r>
      <w:r w:rsidRPr="00237ACD">
        <w:rPr>
          <w:sz w:val="20"/>
          <w:szCs w:val="20"/>
        </w:rPr>
        <w:t>.</w:t>
      </w:r>
    </w:p>
  </w:footnote>
  <w:footnote w:id="3">
    <w:p w14:paraId="6D1BC755" w14:textId="66AB429D" w:rsidR="001C0AC9" w:rsidRDefault="001C0AC9" w:rsidP="001C0AC9">
      <w:pPr>
        <w:pStyle w:val="aa"/>
        <w:bidi w:val="0"/>
      </w:pPr>
      <w:r>
        <w:rPr>
          <w:rStyle w:val="ac"/>
        </w:rPr>
        <w:footnoteRef/>
      </w:r>
      <w:r>
        <w:rPr>
          <w:rtl/>
        </w:rPr>
        <w:t xml:space="preserve"> </w:t>
      </w:r>
      <w:r>
        <w:t>In addition to the unemployed, the broad unemployment rate includes those who were temporarily absent from their jobs for economic reasons (including furloughed workers).  It does not include workers who were absent from their jobs due to reserve military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62AB"/>
    <w:rsid w:val="00006C8A"/>
    <w:rsid w:val="00007CCB"/>
    <w:rsid w:val="00012A9C"/>
    <w:rsid w:val="00012DBD"/>
    <w:rsid w:val="00014365"/>
    <w:rsid w:val="00015BD8"/>
    <w:rsid w:val="0001708B"/>
    <w:rsid w:val="000212CE"/>
    <w:rsid w:val="00021A8C"/>
    <w:rsid w:val="0002620A"/>
    <w:rsid w:val="000268BA"/>
    <w:rsid w:val="00030DCE"/>
    <w:rsid w:val="00036F1B"/>
    <w:rsid w:val="000379D4"/>
    <w:rsid w:val="0004151F"/>
    <w:rsid w:val="0004160A"/>
    <w:rsid w:val="0004176B"/>
    <w:rsid w:val="00044F2F"/>
    <w:rsid w:val="00045015"/>
    <w:rsid w:val="000463A7"/>
    <w:rsid w:val="00046EE6"/>
    <w:rsid w:val="000502B3"/>
    <w:rsid w:val="00050365"/>
    <w:rsid w:val="0005428E"/>
    <w:rsid w:val="00060A3E"/>
    <w:rsid w:val="00060B61"/>
    <w:rsid w:val="00060F00"/>
    <w:rsid w:val="00061D28"/>
    <w:rsid w:val="00062FE3"/>
    <w:rsid w:val="00064736"/>
    <w:rsid w:val="0006649E"/>
    <w:rsid w:val="00075533"/>
    <w:rsid w:val="00077136"/>
    <w:rsid w:val="00080851"/>
    <w:rsid w:val="000821AD"/>
    <w:rsid w:val="00083E17"/>
    <w:rsid w:val="00087BFF"/>
    <w:rsid w:val="000905F1"/>
    <w:rsid w:val="00090662"/>
    <w:rsid w:val="00090AA3"/>
    <w:rsid w:val="00091EE0"/>
    <w:rsid w:val="00094471"/>
    <w:rsid w:val="00095B99"/>
    <w:rsid w:val="00095D99"/>
    <w:rsid w:val="0009681A"/>
    <w:rsid w:val="000975CA"/>
    <w:rsid w:val="00097B7A"/>
    <w:rsid w:val="000A0CDA"/>
    <w:rsid w:val="000A3230"/>
    <w:rsid w:val="000A5761"/>
    <w:rsid w:val="000A776C"/>
    <w:rsid w:val="000B2298"/>
    <w:rsid w:val="000B2D7E"/>
    <w:rsid w:val="000B4DDD"/>
    <w:rsid w:val="000B566D"/>
    <w:rsid w:val="000C0CAD"/>
    <w:rsid w:val="000C3AA1"/>
    <w:rsid w:val="000C4899"/>
    <w:rsid w:val="000C62F4"/>
    <w:rsid w:val="000C73AF"/>
    <w:rsid w:val="000C7FAC"/>
    <w:rsid w:val="000D5367"/>
    <w:rsid w:val="000D5A6B"/>
    <w:rsid w:val="000E0ABD"/>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51EC6"/>
    <w:rsid w:val="00153D2D"/>
    <w:rsid w:val="0016240A"/>
    <w:rsid w:val="001626C6"/>
    <w:rsid w:val="0016380B"/>
    <w:rsid w:val="001643BB"/>
    <w:rsid w:val="001723D2"/>
    <w:rsid w:val="00172E4F"/>
    <w:rsid w:val="00176F0B"/>
    <w:rsid w:val="0018085C"/>
    <w:rsid w:val="00184744"/>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2700"/>
    <w:rsid w:val="001E52BF"/>
    <w:rsid w:val="001E5C9F"/>
    <w:rsid w:val="001F2F2F"/>
    <w:rsid w:val="001F390D"/>
    <w:rsid w:val="001F57FB"/>
    <w:rsid w:val="00200E9B"/>
    <w:rsid w:val="00202CCB"/>
    <w:rsid w:val="00205E52"/>
    <w:rsid w:val="00206BD3"/>
    <w:rsid w:val="00207522"/>
    <w:rsid w:val="00207CCA"/>
    <w:rsid w:val="0021167C"/>
    <w:rsid w:val="00211EF7"/>
    <w:rsid w:val="00213E62"/>
    <w:rsid w:val="002142E4"/>
    <w:rsid w:val="00221B38"/>
    <w:rsid w:val="00225FAA"/>
    <w:rsid w:val="002260C5"/>
    <w:rsid w:val="002300C8"/>
    <w:rsid w:val="00233A26"/>
    <w:rsid w:val="002345E4"/>
    <w:rsid w:val="00234A33"/>
    <w:rsid w:val="00235170"/>
    <w:rsid w:val="0023631B"/>
    <w:rsid w:val="002363D1"/>
    <w:rsid w:val="00236603"/>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3C4C"/>
    <w:rsid w:val="00275A36"/>
    <w:rsid w:val="00282853"/>
    <w:rsid w:val="002857E1"/>
    <w:rsid w:val="00291398"/>
    <w:rsid w:val="002945D2"/>
    <w:rsid w:val="00296525"/>
    <w:rsid w:val="002966D2"/>
    <w:rsid w:val="002A1839"/>
    <w:rsid w:val="002A3BC1"/>
    <w:rsid w:val="002A4261"/>
    <w:rsid w:val="002A4B84"/>
    <w:rsid w:val="002B1C60"/>
    <w:rsid w:val="002B2C54"/>
    <w:rsid w:val="002B3EAC"/>
    <w:rsid w:val="002C0AF6"/>
    <w:rsid w:val="002C2B40"/>
    <w:rsid w:val="002C67C7"/>
    <w:rsid w:val="002C74F7"/>
    <w:rsid w:val="002D152A"/>
    <w:rsid w:val="002D3C08"/>
    <w:rsid w:val="002D50CF"/>
    <w:rsid w:val="002D581C"/>
    <w:rsid w:val="002D6565"/>
    <w:rsid w:val="002E1A22"/>
    <w:rsid w:val="002E2BE2"/>
    <w:rsid w:val="002E37F1"/>
    <w:rsid w:val="002E3EE1"/>
    <w:rsid w:val="002E5ED3"/>
    <w:rsid w:val="002E616F"/>
    <w:rsid w:val="002F0472"/>
    <w:rsid w:val="002F70E9"/>
    <w:rsid w:val="0030038B"/>
    <w:rsid w:val="00300699"/>
    <w:rsid w:val="00302E2F"/>
    <w:rsid w:val="00303FDE"/>
    <w:rsid w:val="00304398"/>
    <w:rsid w:val="00304BF1"/>
    <w:rsid w:val="003071BC"/>
    <w:rsid w:val="00307FE2"/>
    <w:rsid w:val="0031335E"/>
    <w:rsid w:val="00314260"/>
    <w:rsid w:val="00314D4E"/>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71244"/>
    <w:rsid w:val="003723AE"/>
    <w:rsid w:val="00374016"/>
    <w:rsid w:val="0037682D"/>
    <w:rsid w:val="00382474"/>
    <w:rsid w:val="0038300A"/>
    <w:rsid w:val="00391040"/>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8B6"/>
    <w:rsid w:val="003E266A"/>
    <w:rsid w:val="003E5DCB"/>
    <w:rsid w:val="003F0CAA"/>
    <w:rsid w:val="003F1F24"/>
    <w:rsid w:val="003F33D5"/>
    <w:rsid w:val="003F40AA"/>
    <w:rsid w:val="003F5174"/>
    <w:rsid w:val="00404ACD"/>
    <w:rsid w:val="00407E88"/>
    <w:rsid w:val="00410736"/>
    <w:rsid w:val="00413594"/>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0E7A"/>
    <w:rsid w:val="004A4413"/>
    <w:rsid w:val="004A4BD6"/>
    <w:rsid w:val="004A6595"/>
    <w:rsid w:val="004A7A34"/>
    <w:rsid w:val="004B16A2"/>
    <w:rsid w:val="004B178F"/>
    <w:rsid w:val="004B2862"/>
    <w:rsid w:val="004B3835"/>
    <w:rsid w:val="004B39F5"/>
    <w:rsid w:val="004B415E"/>
    <w:rsid w:val="004B687A"/>
    <w:rsid w:val="004C06F2"/>
    <w:rsid w:val="004C2B26"/>
    <w:rsid w:val="004C3E8E"/>
    <w:rsid w:val="004C4648"/>
    <w:rsid w:val="004C64DB"/>
    <w:rsid w:val="004C6D8F"/>
    <w:rsid w:val="004C77DF"/>
    <w:rsid w:val="004D3688"/>
    <w:rsid w:val="004D4B4E"/>
    <w:rsid w:val="004D5A93"/>
    <w:rsid w:val="004E0BC8"/>
    <w:rsid w:val="004E1A6E"/>
    <w:rsid w:val="004E439A"/>
    <w:rsid w:val="004E4EDE"/>
    <w:rsid w:val="004E6580"/>
    <w:rsid w:val="004E71DD"/>
    <w:rsid w:val="004F5B5B"/>
    <w:rsid w:val="004F6E9A"/>
    <w:rsid w:val="004F6FA6"/>
    <w:rsid w:val="004F745B"/>
    <w:rsid w:val="004F764E"/>
    <w:rsid w:val="00500C71"/>
    <w:rsid w:val="00501059"/>
    <w:rsid w:val="00502A88"/>
    <w:rsid w:val="005049F9"/>
    <w:rsid w:val="005079F6"/>
    <w:rsid w:val="00511532"/>
    <w:rsid w:val="005138D9"/>
    <w:rsid w:val="00513EBA"/>
    <w:rsid w:val="005145B3"/>
    <w:rsid w:val="00514812"/>
    <w:rsid w:val="00517AA1"/>
    <w:rsid w:val="00522485"/>
    <w:rsid w:val="005259C8"/>
    <w:rsid w:val="00526A3D"/>
    <w:rsid w:val="00527802"/>
    <w:rsid w:val="00530763"/>
    <w:rsid w:val="00532260"/>
    <w:rsid w:val="005338C6"/>
    <w:rsid w:val="005353CA"/>
    <w:rsid w:val="005371B8"/>
    <w:rsid w:val="00537D44"/>
    <w:rsid w:val="00541457"/>
    <w:rsid w:val="00541F01"/>
    <w:rsid w:val="005430AC"/>
    <w:rsid w:val="005462CC"/>
    <w:rsid w:val="005464BF"/>
    <w:rsid w:val="00550958"/>
    <w:rsid w:val="00550DB9"/>
    <w:rsid w:val="005537E5"/>
    <w:rsid w:val="00553BFE"/>
    <w:rsid w:val="005608BA"/>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26F"/>
    <w:rsid w:val="0059707C"/>
    <w:rsid w:val="005A37A5"/>
    <w:rsid w:val="005A3805"/>
    <w:rsid w:val="005A4028"/>
    <w:rsid w:val="005A6809"/>
    <w:rsid w:val="005A7EDF"/>
    <w:rsid w:val="005B2620"/>
    <w:rsid w:val="005B6C8C"/>
    <w:rsid w:val="005B7FE0"/>
    <w:rsid w:val="005C2BD4"/>
    <w:rsid w:val="005C4E0D"/>
    <w:rsid w:val="005C5507"/>
    <w:rsid w:val="005C636E"/>
    <w:rsid w:val="005C7192"/>
    <w:rsid w:val="005C76FE"/>
    <w:rsid w:val="005D1848"/>
    <w:rsid w:val="005D38C9"/>
    <w:rsid w:val="005D5BC7"/>
    <w:rsid w:val="005D6EBF"/>
    <w:rsid w:val="005D773A"/>
    <w:rsid w:val="005D7D3B"/>
    <w:rsid w:val="005E0237"/>
    <w:rsid w:val="005E18E9"/>
    <w:rsid w:val="005E6AD1"/>
    <w:rsid w:val="005F1F9D"/>
    <w:rsid w:val="005F2B24"/>
    <w:rsid w:val="005F6371"/>
    <w:rsid w:val="005F638E"/>
    <w:rsid w:val="005F6830"/>
    <w:rsid w:val="006001D0"/>
    <w:rsid w:val="0060705B"/>
    <w:rsid w:val="006100B7"/>
    <w:rsid w:val="0061045E"/>
    <w:rsid w:val="00611D9B"/>
    <w:rsid w:val="006120B8"/>
    <w:rsid w:val="00614BA6"/>
    <w:rsid w:val="00621127"/>
    <w:rsid w:val="006220D7"/>
    <w:rsid w:val="006264EC"/>
    <w:rsid w:val="00631795"/>
    <w:rsid w:val="00632EEB"/>
    <w:rsid w:val="00637B9C"/>
    <w:rsid w:val="006418B2"/>
    <w:rsid w:val="00641EA5"/>
    <w:rsid w:val="006476B5"/>
    <w:rsid w:val="00651E7C"/>
    <w:rsid w:val="0065321D"/>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FE0"/>
    <w:rsid w:val="00680EDD"/>
    <w:rsid w:val="0068229E"/>
    <w:rsid w:val="00682563"/>
    <w:rsid w:val="006866C5"/>
    <w:rsid w:val="00686EBE"/>
    <w:rsid w:val="00690F17"/>
    <w:rsid w:val="0069716E"/>
    <w:rsid w:val="00697916"/>
    <w:rsid w:val="006979F4"/>
    <w:rsid w:val="006A1A74"/>
    <w:rsid w:val="006A647D"/>
    <w:rsid w:val="006A6BC6"/>
    <w:rsid w:val="006A71E3"/>
    <w:rsid w:val="006A7E98"/>
    <w:rsid w:val="006B2402"/>
    <w:rsid w:val="006B2670"/>
    <w:rsid w:val="006B2EE9"/>
    <w:rsid w:val="006B64B8"/>
    <w:rsid w:val="006B6F51"/>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5AB2"/>
    <w:rsid w:val="00716661"/>
    <w:rsid w:val="00717133"/>
    <w:rsid w:val="007179F2"/>
    <w:rsid w:val="00725CB0"/>
    <w:rsid w:val="00732673"/>
    <w:rsid w:val="00733360"/>
    <w:rsid w:val="00734E01"/>
    <w:rsid w:val="00735B53"/>
    <w:rsid w:val="00736708"/>
    <w:rsid w:val="00736C6C"/>
    <w:rsid w:val="00737CE5"/>
    <w:rsid w:val="00740773"/>
    <w:rsid w:val="007456D1"/>
    <w:rsid w:val="00746090"/>
    <w:rsid w:val="00756CD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3087"/>
    <w:rsid w:val="007B40F4"/>
    <w:rsid w:val="007B4AFB"/>
    <w:rsid w:val="007B7F32"/>
    <w:rsid w:val="007C0339"/>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F13"/>
    <w:rsid w:val="00862770"/>
    <w:rsid w:val="0086369E"/>
    <w:rsid w:val="00863B19"/>
    <w:rsid w:val="00864D44"/>
    <w:rsid w:val="0086708B"/>
    <w:rsid w:val="00870412"/>
    <w:rsid w:val="00870695"/>
    <w:rsid w:val="008707BC"/>
    <w:rsid w:val="0087184F"/>
    <w:rsid w:val="00871E07"/>
    <w:rsid w:val="00871E54"/>
    <w:rsid w:val="00876B2F"/>
    <w:rsid w:val="008823BA"/>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5126"/>
    <w:rsid w:val="008E5631"/>
    <w:rsid w:val="008E6FFD"/>
    <w:rsid w:val="008F2323"/>
    <w:rsid w:val="008F34C7"/>
    <w:rsid w:val="008F5935"/>
    <w:rsid w:val="008F5DD7"/>
    <w:rsid w:val="008F7582"/>
    <w:rsid w:val="00900D37"/>
    <w:rsid w:val="00905330"/>
    <w:rsid w:val="009120C7"/>
    <w:rsid w:val="00912F53"/>
    <w:rsid w:val="0091354C"/>
    <w:rsid w:val="00914404"/>
    <w:rsid w:val="00915695"/>
    <w:rsid w:val="00917EB4"/>
    <w:rsid w:val="00921594"/>
    <w:rsid w:val="0092271E"/>
    <w:rsid w:val="00922843"/>
    <w:rsid w:val="00924F7B"/>
    <w:rsid w:val="00931604"/>
    <w:rsid w:val="009335C7"/>
    <w:rsid w:val="009336FC"/>
    <w:rsid w:val="00937DAA"/>
    <w:rsid w:val="00942F47"/>
    <w:rsid w:val="00944B53"/>
    <w:rsid w:val="00947E8A"/>
    <w:rsid w:val="009523E0"/>
    <w:rsid w:val="009532A5"/>
    <w:rsid w:val="00955DCC"/>
    <w:rsid w:val="009561DE"/>
    <w:rsid w:val="00957029"/>
    <w:rsid w:val="009571F6"/>
    <w:rsid w:val="0096005F"/>
    <w:rsid w:val="0096107D"/>
    <w:rsid w:val="009638C2"/>
    <w:rsid w:val="00964BF9"/>
    <w:rsid w:val="00966BA2"/>
    <w:rsid w:val="00966BA9"/>
    <w:rsid w:val="00967A8C"/>
    <w:rsid w:val="00970D63"/>
    <w:rsid w:val="009733B5"/>
    <w:rsid w:val="00974091"/>
    <w:rsid w:val="0097503F"/>
    <w:rsid w:val="009816FB"/>
    <w:rsid w:val="00982F32"/>
    <w:rsid w:val="00986A17"/>
    <w:rsid w:val="00987A72"/>
    <w:rsid w:val="00987DC0"/>
    <w:rsid w:val="00990177"/>
    <w:rsid w:val="00990197"/>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68E3"/>
    <w:rsid w:val="00A16ACA"/>
    <w:rsid w:val="00A21D01"/>
    <w:rsid w:val="00A22607"/>
    <w:rsid w:val="00A22DC8"/>
    <w:rsid w:val="00A23F35"/>
    <w:rsid w:val="00A259DD"/>
    <w:rsid w:val="00A2696D"/>
    <w:rsid w:val="00A30AC5"/>
    <w:rsid w:val="00A31317"/>
    <w:rsid w:val="00A3378A"/>
    <w:rsid w:val="00A346A5"/>
    <w:rsid w:val="00A379B9"/>
    <w:rsid w:val="00A43FBA"/>
    <w:rsid w:val="00A43FFF"/>
    <w:rsid w:val="00A47365"/>
    <w:rsid w:val="00A50C95"/>
    <w:rsid w:val="00A51500"/>
    <w:rsid w:val="00A51FEB"/>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F330E"/>
    <w:rsid w:val="00AF4517"/>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806EB"/>
    <w:rsid w:val="00B8089B"/>
    <w:rsid w:val="00B82756"/>
    <w:rsid w:val="00B836CA"/>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8D8"/>
    <w:rsid w:val="00C92943"/>
    <w:rsid w:val="00C953AC"/>
    <w:rsid w:val="00C95533"/>
    <w:rsid w:val="00CA6D37"/>
    <w:rsid w:val="00CA7733"/>
    <w:rsid w:val="00CA7CFC"/>
    <w:rsid w:val="00CB0155"/>
    <w:rsid w:val="00CB178B"/>
    <w:rsid w:val="00CB1B47"/>
    <w:rsid w:val="00CB2CB0"/>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669B"/>
    <w:rsid w:val="00CF7B7C"/>
    <w:rsid w:val="00CF7D39"/>
    <w:rsid w:val="00D04735"/>
    <w:rsid w:val="00D061FC"/>
    <w:rsid w:val="00D06D1C"/>
    <w:rsid w:val="00D103A1"/>
    <w:rsid w:val="00D166DB"/>
    <w:rsid w:val="00D16DFB"/>
    <w:rsid w:val="00D16E48"/>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2547"/>
    <w:rsid w:val="00D74481"/>
    <w:rsid w:val="00D7448E"/>
    <w:rsid w:val="00D747B2"/>
    <w:rsid w:val="00D75696"/>
    <w:rsid w:val="00D75E63"/>
    <w:rsid w:val="00D7728C"/>
    <w:rsid w:val="00D809BE"/>
    <w:rsid w:val="00D81515"/>
    <w:rsid w:val="00D860B7"/>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6B0F"/>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81591"/>
    <w:rsid w:val="00E81B6C"/>
    <w:rsid w:val="00E828BF"/>
    <w:rsid w:val="00E84BF6"/>
    <w:rsid w:val="00E911EA"/>
    <w:rsid w:val="00E913EE"/>
    <w:rsid w:val="00E932DD"/>
    <w:rsid w:val="00E96831"/>
    <w:rsid w:val="00EA4733"/>
    <w:rsid w:val="00EA5E1C"/>
    <w:rsid w:val="00EB0375"/>
    <w:rsid w:val="00EB1D08"/>
    <w:rsid w:val="00EB1E9F"/>
    <w:rsid w:val="00EB31FC"/>
    <w:rsid w:val="00EB3C33"/>
    <w:rsid w:val="00EB4EC6"/>
    <w:rsid w:val="00EC0AF4"/>
    <w:rsid w:val="00EC21CC"/>
    <w:rsid w:val="00EC3622"/>
    <w:rsid w:val="00EC4006"/>
    <w:rsid w:val="00EC42C6"/>
    <w:rsid w:val="00EC685B"/>
    <w:rsid w:val="00ED3F52"/>
    <w:rsid w:val="00ED4E9B"/>
    <w:rsid w:val="00ED6FEF"/>
    <w:rsid w:val="00ED7711"/>
    <w:rsid w:val="00EE082A"/>
    <w:rsid w:val="00EE0A32"/>
    <w:rsid w:val="00EE1F2F"/>
    <w:rsid w:val="00EE57B7"/>
    <w:rsid w:val="00EE5A6D"/>
    <w:rsid w:val="00EF49FC"/>
    <w:rsid w:val="00EF70C1"/>
    <w:rsid w:val="00F0702B"/>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80D"/>
    <w:rsid w:val="00F65F58"/>
    <w:rsid w:val="00F70963"/>
    <w:rsid w:val="00F71387"/>
    <w:rsid w:val="00F71723"/>
    <w:rsid w:val="00F71FEA"/>
    <w:rsid w:val="00F73566"/>
    <w:rsid w:val="00F735B1"/>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3D9A"/>
    <w:rsid w:val="00F969CD"/>
    <w:rsid w:val="00F974D9"/>
    <w:rsid w:val="00F97DDA"/>
    <w:rsid w:val="00FA046B"/>
    <w:rsid w:val="00FA25F5"/>
    <w:rsid w:val="00FA5315"/>
    <w:rsid w:val="00FA56BE"/>
    <w:rsid w:val="00FB517F"/>
    <w:rsid w:val="00FC01F7"/>
    <w:rsid w:val="00FC352C"/>
    <w:rsid w:val="00FC78B5"/>
    <w:rsid w:val="00FD18B0"/>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2.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57AAB-9898-4DE2-BDAA-17A292961A9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12A875-5842-4461-8551-7AA2A280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13705</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2024-07-09T10:34:00Z</dcterms:created>
  <dcterms:modified xsi:type="dcterms:W3CDTF">2024-07-09T10:34:00Z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