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B9" w:rsidRDefault="00262DB9" w:rsidP="00262DB9">
      <w:pPr>
        <w:jc w:val="both"/>
        <w:rPr>
          <w:rFonts w:ascii="David" w:hAnsi="David" w:cs="David"/>
          <w:sz w:val="28"/>
          <w:szCs w:val="28"/>
          <w:rtl/>
        </w:rPr>
      </w:pPr>
    </w:p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262DB9" w:rsidRPr="001D3673" w:rsidTr="00007347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B9" w:rsidRPr="001D3673" w:rsidRDefault="00262DB9" w:rsidP="00007347">
            <w:pPr>
              <w:spacing w:line="480" w:lineRule="auto"/>
              <w:ind w:left="97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1D3673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1D3673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1D3673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1D3673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262DB9" w:rsidRPr="001D3673" w:rsidRDefault="00262DB9" w:rsidP="00007347">
            <w:pPr>
              <w:spacing w:line="480" w:lineRule="auto"/>
              <w:ind w:left="97" w:right="-101"/>
              <w:jc w:val="center"/>
              <w:rPr>
                <w:sz w:val="24"/>
                <w:szCs w:val="24"/>
              </w:rPr>
            </w:pPr>
            <w:r w:rsidRPr="001D3673">
              <w:rPr>
                <w:rFonts w:cs="David"/>
                <w:sz w:val="24"/>
                <w:szCs w:val="24"/>
                <w:rtl/>
              </w:rPr>
              <w:t>דו</w:t>
            </w:r>
            <w:r w:rsidRPr="001D3673">
              <w:rPr>
                <w:rFonts w:cs="David" w:hint="cs"/>
                <w:sz w:val="24"/>
                <w:szCs w:val="24"/>
                <w:rtl/>
              </w:rPr>
              <w:t>בר</w:t>
            </w:r>
            <w:r w:rsidRPr="001D3673">
              <w:rPr>
                <w:rFonts w:cs="David"/>
                <w:sz w:val="24"/>
                <w:szCs w:val="24"/>
                <w:rtl/>
              </w:rPr>
              <w:t>ות</w:t>
            </w:r>
            <w:r w:rsidRPr="001D3673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62DB9" w:rsidRPr="001D3673" w:rsidRDefault="00262DB9" w:rsidP="00007347">
            <w:pPr>
              <w:jc w:val="center"/>
              <w:rPr>
                <w:sz w:val="24"/>
                <w:szCs w:val="24"/>
              </w:rPr>
            </w:pPr>
            <w:r w:rsidRPr="001D3673">
              <w:rPr>
                <w:noProof/>
                <w:sz w:val="24"/>
                <w:szCs w:val="24"/>
              </w:rPr>
              <w:drawing>
                <wp:inline distT="0" distB="0" distL="0" distR="0" wp14:anchorId="60CD266F" wp14:editId="3948527B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B9" w:rsidRPr="001D3673" w:rsidRDefault="00262DB9" w:rsidP="00007347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1D3673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1D3673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>
              <w:rPr>
                <w:rFonts w:cs="David" w:hint="cs"/>
                <w:sz w:val="24"/>
                <w:szCs w:val="24"/>
                <w:rtl/>
              </w:rPr>
              <w:t>ח' בשבט</w:t>
            </w:r>
            <w:r w:rsidRPr="001D3673">
              <w:rPr>
                <w:rFonts w:cs="David"/>
                <w:sz w:val="24"/>
                <w:szCs w:val="24"/>
                <w:rtl/>
              </w:rPr>
              <w:t>, תש</w:t>
            </w:r>
            <w:r>
              <w:rPr>
                <w:rFonts w:cs="David" w:hint="cs"/>
                <w:sz w:val="24"/>
                <w:szCs w:val="24"/>
                <w:rtl/>
              </w:rPr>
              <w:t>פ</w:t>
            </w:r>
            <w:r w:rsidRPr="001D3673">
              <w:rPr>
                <w:rFonts w:cs="David" w:hint="cs"/>
                <w:sz w:val="24"/>
                <w:szCs w:val="24"/>
                <w:rtl/>
              </w:rPr>
              <w:t>"</w:t>
            </w:r>
            <w:r>
              <w:rPr>
                <w:rFonts w:cs="David" w:hint="cs"/>
                <w:sz w:val="24"/>
                <w:szCs w:val="24"/>
                <w:rtl/>
              </w:rPr>
              <w:t>ג</w:t>
            </w:r>
          </w:p>
          <w:p w:rsidR="00262DB9" w:rsidRPr="001D3673" w:rsidRDefault="00262DB9" w:rsidP="00007347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30 בינואר 2023</w:t>
            </w:r>
          </w:p>
        </w:tc>
      </w:tr>
    </w:tbl>
    <w:p w:rsidR="00262DB9" w:rsidRPr="00262DB9" w:rsidRDefault="00262DB9" w:rsidP="00262DB9">
      <w:pPr>
        <w:spacing w:line="360" w:lineRule="auto"/>
        <w:rPr>
          <w:rFonts w:asciiTheme="minorBidi" w:hAnsiTheme="minorBidi" w:cs="David"/>
          <w:color w:val="000000" w:themeColor="text1"/>
          <w:sz w:val="24"/>
          <w:szCs w:val="24"/>
          <w:rtl/>
        </w:rPr>
      </w:pPr>
      <w:r w:rsidRPr="0083233A">
        <w:rPr>
          <w:rFonts w:asciiTheme="minorBidi" w:hAnsiTheme="minorBidi" w:cs="David"/>
          <w:color w:val="000000" w:themeColor="text1"/>
          <w:sz w:val="24"/>
          <w:szCs w:val="24"/>
          <w:rtl/>
        </w:rPr>
        <w:t>הודעה לעיתונות:</w:t>
      </w:r>
    </w:p>
    <w:p w:rsidR="00E02D1F" w:rsidRPr="00262DB9" w:rsidRDefault="001D776F" w:rsidP="00262DB9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262DB9">
        <w:rPr>
          <w:rFonts w:ascii="David" w:hAnsi="David" w:cs="David" w:hint="cs"/>
          <w:b/>
          <w:bCs/>
          <w:sz w:val="28"/>
          <w:szCs w:val="28"/>
          <w:rtl/>
        </w:rPr>
        <w:t>דברי המפקח על הבנקים</w:t>
      </w:r>
      <w:r w:rsidR="0067576C" w:rsidRPr="00262DB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62DB9">
        <w:rPr>
          <w:rFonts w:ascii="David" w:hAnsi="David" w:cs="David" w:hint="cs"/>
          <w:b/>
          <w:bCs/>
          <w:sz w:val="28"/>
          <w:szCs w:val="28"/>
          <w:rtl/>
        </w:rPr>
        <w:t>בו</w:t>
      </w:r>
      <w:r w:rsidR="0067576C" w:rsidRPr="00262DB9">
        <w:rPr>
          <w:rFonts w:ascii="David" w:hAnsi="David" w:cs="David"/>
          <w:b/>
          <w:bCs/>
          <w:sz w:val="28"/>
          <w:szCs w:val="28"/>
          <w:rtl/>
        </w:rPr>
        <w:t>ועדת הכספים</w:t>
      </w:r>
      <w:r w:rsidRPr="00262DB9">
        <w:rPr>
          <w:rFonts w:ascii="David" w:hAnsi="David" w:cs="David" w:hint="cs"/>
          <w:b/>
          <w:bCs/>
          <w:sz w:val="28"/>
          <w:szCs w:val="28"/>
          <w:rtl/>
        </w:rPr>
        <w:t xml:space="preserve"> בנושא</w:t>
      </w:r>
      <w:r w:rsidR="0067576C" w:rsidRPr="00262DB9">
        <w:rPr>
          <w:rFonts w:ascii="David" w:hAnsi="David" w:cs="David"/>
          <w:b/>
          <w:bCs/>
          <w:sz w:val="28"/>
          <w:szCs w:val="28"/>
          <w:rtl/>
        </w:rPr>
        <w:t xml:space="preserve"> בנק בעל היקף פעילות רחב</w:t>
      </w:r>
    </w:p>
    <w:p w:rsidR="003B242C" w:rsidRDefault="003B242C" w:rsidP="00013F6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1D776F" w:rsidRPr="00262DB9" w:rsidRDefault="001D776F" w:rsidP="00013F6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  <w:r w:rsidRPr="00262DB9">
        <w:rPr>
          <w:rFonts w:ascii="David" w:hAnsi="David" w:cs="David" w:hint="cs"/>
          <w:sz w:val="24"/>
          <w:szCs w:val="24"/>
          <w:rtl/>
        </w:rPr>
        <w:t>ה</w:t>
      </w:r>
      <w:r w:rsidRPr="00262DB9">
        <w:rPr>
          <w:rFonts w:ascii="David" w:hAnsi="David" w:cs="David"/>
          <w:sz w:val="24"/>
          <w:szCs w:val="24"/>
          <w:rtl/>
        </w:rPr>
        <w:t xml:space="preserve">מפקח על הבנקים, מר יאיר אבידן הציג היום בפני ועדת </w:t>
      </w:r>
      <w:r w:rsidRPr="00262DB9">
        <w:rPr>
          <w:rFonts w:ascii="David" w:hAnsi="David" w:cs="David" w:hint="cs"/>
          <w:sz w:val="24"/>
          <w:szCs w:val="24"/>
          <w:rtl/>
        </w:rPr>
        <w:t>הכספים</w:t>
      </w:r>
      <w:r w:rsidRPr="00262DB9">
        <w:rPr>
          <w:rFonts w:ascii="David" w:hAnsi="David" w:cs="David"/>
          <w:sz w:val="24"/>
          <w:szCs w:val="24"/>
          <w:rtl/>
        </w:rPr>
        <w:t xml:space="preserve"> של הכנסת את </w:t>
      </w:r>
      <w:r w:rsidRPr="00262DB9">
        <w:rPr>
          <w:rFonts w:ascii="David" w:hAnsi="David" w:cs="David" w:hint="cs"/>
          <w:sz w:val="24"/>
          <w:szCs w:val="24"/>
          <w:rtl/>
        </w:rPr>
        <w:t xml:space="preserve">עמדתו בנושא </w:t>
      </w:r>
      <w:r w:rsidR="00013F67" w:rsidRPr="00262DB9">
        <w:rPr>
          <w:rFonts w:ascii="David" w:hAnsi="David" w:cs="David" w:hint="cs"/>
          <w:sz w:val="24"/>
          <w:szCs w:val="24"/>
          <w:rtl/>
        </w:rPr>
        <w:t>בנק בעל היקף פעילות רחב</w:t>
      </w:r>
      <w:r w:rsidRPr="00262DB9">
        <w:rPr>
          <w:rFonts w:ascii="David" w:hAnsi="David" w:cs="David" w:hint="cs"/>
          <w:sz w:val="24"/>
          <w:szCs w:val="24"/>
          <w:rtl/>
        </w:rPr>
        <w:t>.</w:t>
      </w:r>
    </w:p>
    <w:p w:rsidR="00013F67" w:rsidRPr="00262DB9" w:rsidRDefault="001D776F" w:rsidP="00013F6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62DB9">
        <w:rPr>
          <w:rFonts w:ascii="David" w:hAnsi="David" w:cs="David" w:hint="cs"/>
          <w:sz w:val="24"/>
          <w:szCs w:val="24"/>
          <w:rtl/>
        </w:rPr>
        <w:t xml:space="preserve">המפקח הדגיש כי </w:t>
      </w:r>
      <w:r w:rsidR="00013F67" w:rsidRPr="00262DB9">
        <w:rPr>
          <w:rFonts w:ascii="David" w:hAnsi="David" w:cs="David" w:hint="cs"/>
          <w:sz w:val="24"/>
          <w:szCs w:val="24"/>
          <w:rtl/>
        </w:rPr>
        <w:t xml:space="preserve">לדעתו הניתוח הכלכלי אינו מציג </w:t>
      </w:r>
      <w:r w:rsidR="00013F67" w:rsidRPr="00262DB9">
        <w:rPr>
          <w:rFonts w:ascii="David" w:hAnsi="David" w:cs="David"/>
          <w:sz w:val="24"/>
          <w:szCs w:val="24"/>
          <w:rtl/>
        </w:rPr>
        <w:t>מידע מובהק, תומך ומבוסס בכדי</w:t>
      </w:r>
      <w:r w:rsidR="00013F67"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="00013F67" w:rsidRPr="00262DB9">
        <w:rPr>
          <w:rFonts w:ascii="David" w:hAnsi="David" w:cs="David"/>
          <w:sz w:val="24"/>
          <w:szCs w:val="24"/>
          <w:rtl/>
        </w:rPr>
        <w:t>להצדיק בעת הזו את שינוי ההגדרה של בנק בעל היקף פעילות רחב</w:t>
      </w:r>
      <w:r w:rsidR="00013F67" w:rsidRPr="00262DB9">
        <w:rPr>
          <w:rFonts w:ascii="David" w:hAnsi="David" w:cs="David" w:hint="cs"/>
          <w:sz w:val="24"/>
          <w:szCs w:val="24"/>
          <w:rtl/>
        </w:rPr>
        <w:t>.</w:t>
      </w:r>
      <w:r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="00013F67" w:rsidRPr="00262DB9">
        <w:rPr>
          <w:rFonts w:ascii="David" w:hAnsi="David" w:cs="David" w:hint="cs"/>
          <w:sz w:val="24"/>
          <w:szCs w:val="24"/>
          <w:rtl/>
        </w:rPr>
        <w:t xml:space="preserve">לדעת המפקח </w:t>
      </w:r>
      <w:r w:rsidRPr="00262DB9">
        <w:rPr>
          <w:rFonts w:ascii="David" w:hAnsi="David" w:cs="David" w:hint="cs"/>
          <w:sz w:val="24"/>
          <w:szCs w:val="24"/>
          <w:rtl/>
        </w:rPr>
        <w:t>צריכה להיות מובהקות ותקפות חזקה על מנת לקבל החלטה כל כך משמעותית</w:t>
      </w:r>
      <w:r w:rsidR="00013F67" w:rsidRPr="00262DB9">
        <w:rPr>
          <w:rFonts w:ascii="David" w:hAnsi="David" w:cs="David" w:hint="cs"/>
          <w:sz w:val="24"/>
          <w:szCs w:val="24"/>
          <w:rtl/>
        </w:rPr>
        <w:t xml:space="preserve"> ובלתי הפיכה</w:t>
      </w:r>
      <w:r w:rsidR="00447F36" w:rsidRPr="00262DB9">
        <w:rPr>
          <w:rFonts w:ascii="David" w:hAnsi="David" w:cs="David" w:hint="cs"/>
          <w:sz w:val="24"/>
          <w:szCs w:val="24"/>
          <w:rtl/>
        </w:rPr>
        <w:t>, אגב פגיעה בזכות הקניין</w:t>
      </w:r>
      <w:r w:rsidRPr="00262DB9">
        <w:rPr>
          <w:rFonts w:ascii="David" w:hAnsi="David" w:cs="David" w:hint="cs"/>
          <w:sz w:val="24"/>
          <w:szCs w:val="24"/>
          <w:rtl/>
        </w:rPr>
        <w:t>.</w:t>
      </w:r>
    </w:p>
    <w:p w:rsidR="00013F67" w:rsidRPr="00262DB9" w:rsidRDefault="00013F67" w:rsidP="00ED6D8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62DB9">
        <w:rPr>
          <w:rFonts w:ascii="David" w:hAnsi="David" w:cs="David" w:hint="cs"/>
          <w:sz w:val="24"/>
          <w:szCs w:val="24"/>
          <w:rtl/>
        </w:rPr>
        <w:t xml:space="preserve">לפיכך ציין המפקח כי </w:t>
      </w:r>
      <w:r w:rsidR="00ED6D84" w:rsidRPr="00262DB9">
        <w:rPr>
          <w:rFonts w:ascii="David" w:hAnsi="David" w:cs="David" w:hint="cs"/>
          <w:sz w:val="24"/>
          <w:szCs w:val="24"/>
          <w:rtl/>
        </w:rPr>
        <w:t xml:space="preserve">לדעתו </w:t>
      </w:r>
      <w:r w:rsidRPr="00262DB9">
        <w:rPr>
          <w:rFonts w:ascii="David" w:hAnsi="David" w:cs="David" w:hint="cs"/>
          <w:sz w:val="24"/>
          <w:szCs w:val="24"/>
          <w:rtl/>
        </w:rPr>
        <w:t>אין</w:t>
      </w:r>
      <w:r w:rsidRPr="00262DB9">
        <w:rPr>
          <w:rFonts w:ascii="David" w:hAnsi="David" w:cs="David"/>
          <w:sz w:val="24"/>
          <w:szCs w:val="24"/>
          <w:rtl/>
        </w:rPr>
        <w:t xml:space="preserve"> זה המועד הראוי והנכון לשנות את ההגדרה של בנק בעל היקף פעילות רחב</w:t>
      </w:r>
      <w:r w:rsidRPr="00262DB9">
        <w:rPr>
          <w:rFonts w:ascii="David" w:hAnsi="David" w:cs="David" w:hint="cs"/>
          <w:sz w:val="24"/>
          <w:szCs w:val="24"/>
          <w:rtl/>
        </w:rPr>
        <w:t>,</w:t>
      </w:r>
      <w:r w:rsidRPr="00262DB9">
        <w:rPr>
          <w:rFonts w:ascii="David" w:hAnsi="David" w:cs="David"/>
          <w:sz w:val="24"/>
          <w:szCs w:val="24"/>
          <w:rtl/>
        </w:rPr>
        <w:t xml:space="preserve"> על ההשלכות</w:t>
      </w:r>
      <w:r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>הפוטנציאליות של המלצה זו</w:t>
      </w:r>
      <w:r w:rsidRPr="00262DB9">
        <w:rPr>
          <w:rFonts w:ascii="David" w:hAnsi="David" w:cs="David" w:hint="cs"/>
          <w:sz w:val="24"/>
          <w:szCs w:val="24"/>
          <w:rtl/>
        </w:rPr>
        <w:t>, ו</w:t>
      </w:r>
      <w:r w:rsidRPr="00262DB9">
        <w:rPr>
          <w:rFonts w:ascii="David" w:hAnsi="David" w:cs="David"/>
          <w:sz w:val="24"/>
          <w:szCs w:val="24"/>
          <w:rtl/>
        </w:rPr>
        <w:t>הארכה של 3 שנים לחלון הזמן לקבלת ההחלטה הינה גישה מידתית וראויה</w:t>
      </w:r>
      <w:r w:rsidRPr="00262DB9">
        <w:rPr>
          <w:rFonts w:ascii="David" w:hAnsi="David" w:cs="David" w:hint="cs"/>
          <w:sz w:val="24"/>
          <w:szCs w:val="24"/>
          <w:rtl/>
        </w:rPr>
        <w:t>. תקופת זמן זו</w:t>
      </w:r>
      <w:r w:rsidRPr="00262DB9">
        <w:rPr>
          <w:rFonts w:ascii="David" w:hAnsi="David" w:cs="David"/>
          <w:sz w:val="24"/>
          <w:szCs w:val="24"/>
          <w:rtl/>
        </w:rPr>
        <w:t xml:space="preserve"> תאפשר </w:t>
      </w:r>
      <w:r w:rsidRPr="00262DB9">
        <w:rPr>
          <w:rFonts w:ascii="David" w:hAnsi="David" w:cs="David" w:hint="cs"/>
          <w:sz w:val="24"/>
          <w:szCs w:val="24"/>
          <w:rtl/>
        </w:rPr>
        <w:t xml:space="preserve">את </w:t>
      </w:r>
      <w:r w:rsidRPr="00262DB9">
        <w:rPr>
          <w:rFonts w:ascii="David" w:hAnsi="David" w:cs="David"/>
          <w:sz w:val="24"/>
          <w:szCs w:val="24"/>
          <w:rtl/>
        </w:rPr>
        <w:t>הבשלת הרפורמות ותנאי השוק והערכה מושכלת יותר</w:t>
      </w:r>
      <w:r w:rsidRPr="00262DB9">
        <w:rPr>
          <w:rFonts w:ascii="David" w:hAnsi="David" w:cs="David" w:hint="cs"/>
          <w:sz w:val="24"/>
          <w:szCs w:val="24"/>
          <w:rtl/>
        </w:rPr>
        <w:t xml:space="preserve"> ביחס להשפעתם</w:t>
      </w:r>
      <w:r w:rsidR="00ED6D84" w:rsidRPr="00262DB9">
        <w:rPr>
          <w:rFonts w:ascii="David" w:hAnsi="David" w:cs="David" w:hint="cs"/>
          <w:sz w:val="24"/>
          <w:szCs w:val="24"/>
          <w:rtl/>
        </w:rPr>
        <w:t xml:space="preserve"> על סביבת התחרות</w:t>
      </w:r>
      <w:r w:rsidRPr="00262DB9">
        <w:rPr>
          <w:rFonts w:ascii="David" w:hAnsi="David" w:cs="David"/>
          <w:sz w:val="24"/>
          <w:szCs w:val="24"/>
          <w:rtl/>
        </w:rPr>
        <w:t>.</w:t>
      </w:r>
    </w:p>
    <w:p w:rsidR="00ED6D84" w:rsidRPr="00262DB9" w:rsidRDefault="00ED6D84" w:rsidP="00ED6D84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62DB9">
        <w:rPr>
          <w:rFonts w:ascii="David" w:hAnsi="David" w:cs="David" w:hint="cs"/>
          <w:sz w:val="24"/>
          <w:szCs w:val="24"/>
          <w:rtl/>
        </w:rPr>
        <w:t xml:space="preserve">עוד המליץ המפקח כי </w:t>
      </w:r>
      <w:r w:rsidRPr="00262DB9">
        <w:rPr>
          <w:rFonts w:ascii="David" w:hAnsi="David" w:cs="David"/>
          <w:sz w:val="24"/>
          <w:szCs w:val="24"/>
          <w:rtl/>
        </w:rPr>
        <w:t>ככל ש</w:t>
      </w:r>
      <w:r w:rsidRPr="00262DB9">
        <w:rPr>
          <w:rFonts w:ascii="David" w:hAnsi="David" w:cs="David" w:hint="cs"/>
          <w:sz w:val="24"/>
          <w:szCs w:val="24"/>
          <w:rtl/>
        </w:rPr>
        <w:t xml:space="preserve">דחיית חלון הזמן לקבלת ההחלטה </w:t>
      </w:r>
      <w:r w:rsidRPr="00262DB9">
        <w:rPr>
          <w:rFonts w:ascii="David" w:hAnsi="David" w:cs="David"/>
          <w:sz w:val="24"/>
          <w:szCs w:val="24"/>
          <w:rtl/>
        </w:rPr>
        <w:t>אי</w:t>
      </w:r>
      <w:r w:rsidRPr="00262DB9">
        <w:rPr>
          <w:rFonts w:ascii="David" w:hAnsi="David" w:cs="David" w:hint="cs"/>
          <w:sz w:val="24"/>
          <w:szCs w:val="24"/>
          <w:rtl/>
        </w:rPr>
        <w:t>ננה</w:t>
      </w:r>
      <w:r w:rsidRPr="00262DB9">
        <w:rPr>
          <w:rFonts w:ascii="David" w:hAnsi="David" w:cs="David"/>
          <w:sz w:val="24"/>
          <w:szCs w:val="24"/>
          <w:rtl/>
        </w:rPr>
        <w:t xml:space="preserve"> במנדט הוועדה</w:t>
      </w:r>
      <w:r w:rsidRPr="00262DB9">
        <w:rPr>
          <w:rFonts w:ascii="David" w:hAnsi="David" w:cs="David" w:hint="cs"/>
          <w:sz w:val="24"/>
          <w:szCs w:val="24"/>
          <w:rtl/>
        </w:rPr>
        <w:t>,</w:t>
      </w:r>
      <w:r w:rsidRPr="00262DB9">
        <w:rPr>
          <w:rFonts w:ascii="David" w:hAnsi="David" w:cs="David"/>
          <w:sz w:val="24"/>
          <w:szCs w:val="24"/>
          <w:rtl/>
        </w:rPr>
        <w:t xml:space="preserve"> </w:t>
      </w:r>
      <w:r w:rsidRPr="00262DB9">
        <w:rPr>
          <w:rFonts w:ascii="David" w:hAnsi="David" w:cs="David" w:hint="cs"/>
          <w:sz w:val="24"/>
          <w:szCs w:val="24"/>
          <w:rtl/>
        </w:rPr>
        <w:t xml:space="preserve">אין </w:t>
      </w:r>
      <w:r w:rsidRPr="00262DB9">
        <w:rPr>
          <w:rFonts w:ascii="David" w:hAnsi="David" w:cs="David"/>
          <w:sz w:val="24"/>
          <w:szCs w:val="24"/>
          <w:rtl/>
        </w:rPr>
        <w:t xml:space="preserve">לשנות </w:t>
      </w:r>
      <w:r w:rsidRPr="00262DB9">
        <w:rPr>
          <w:rFonts w:ascii="David" w:hAnsi="David" w:cs="David" w:hint="cs"/>
          <w:sz w:val="24"/>
          <w:szCs w:val="24"/>
          <w:rtl/>
        </w:rPr>
        <w:t xml:space="preserve">במועד זה </w:t>
      </w:r>
      <w:r w:rsidRPr="00262DB9">
        <w:rPr>
          <w:rFonts w:ascii="David" w:hAnsi="David" w:cs="David"/>
          <w:sz w:val="24"/>
          <w:szCs w:val="24"/>
          <w:rtl/>
        </w:rPr>
        <w:t>את ההגדרה של בנק בעל היקף פעילות רחב</w:t>
      </w:r>
      <w:r w:rsidRPr="00262DB9">
        <w:rPr>
          <w:rFonts w:ascii="David" w:hAnsi="David" w:cs="David" w:hint="cs"/>
          <w:sz w:val="24"/>
          <w:szCs w:val="24"/>
          <w:rtl/>
        </w:rPr>
        <w:t>.</w:t>
      </w:r>
    </w:p>
    <w:p w:rsidR="001D776F" w:rsidRPr="00262DB9" w:rsidRDefault="001D776F" w:rsidP="00013F6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1D776F" w:rsidRPr="00262DB9" w:rsidRDefault="00773406" w:rsidP="0077340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62DB9">
        <w:rPr>
          <w:rFonts w:ascii="David" w:hAnsi="David" w:cs="David" w:hint="cs"/>
          <w:sz w:val="24"/>
          <w:szCs w:val="24"/>
          <w:rtl/>
        </w:rPr>
        <w:t>בתאריך 8 בדצמבר 2022 של</w:t>
      </w:r>
      <w:r w:rsidR="00BE7C8B" w:rsidRPr="00262DB9">
        <w:rPr>
          <w:rFonts w:ascii="David" w:hAnsi="David" w:cs="David" w:hint="cs"/>
          <w:sz w:val="24"/>
          <w:szCs w:val="24"/>
          <w:rtl/>
        </w:rPr>
        <w:t>ח</w:t>
      </w:r>
      <w:r w:rsidRPr="00262DB9">
        <w:rPr>
          <w:rFonts w:ascii="David" w:hAnsi="David" w:cs="David" w:hint="cs"/>
          <w:sz w:val="24"/>
          <w:szCs w:val="24"/>
          <w:rtl/>
        </w:rPr>
        <w:t xml:space="preserve"> המפקח </w:t>
      </w:r>
      <w:r w:rsidR="001D776F" w:rsidRPr="00262DB9">
        <w:rPr>
          <w:rFonts w:ascii="David" w:hAnsi="David" w:cs="David" w:hint="cs"/>
          <w:sz w:val="24"/>
          <w:szCs w:val="24"/>
          <w:rtl/>
        </w:rPr>
        <w:t>לוועדה</w:t>
      </w:r>
      <w:r w:rsidR="00DE5EE9"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 w:hint="cs"/>
          <w:sz w:val="24"/>
          <w:szCs w:val="24"/>
          <w:rtl/>
        </w:rPr>
        <w:t>מכתב</w:t>
      </w:r>
      <w:r w:rsidR="00B7378C" w:rsidRPr="00262DB9">
        <w:rPr>
          <w:rFonts w:ascii="David" w:hAnsi="David" w:cs="David" w:hint="cs"/>
          <w:sz w:val="24"/>
          <w:szCs w:val="24"/>
          <w:rtl/>
        </w:rPr>
        <w:t xml:space="preserve"> בו הציג את עמדתו כדעת מיעוט ביחס לעמדת יתר חברי הוועדה</w:t>
      </w:r>
      <w:r w:rsidR="006945B2" w:rsidRPr="00262DB9">
        <w:rPr>
          <w:rFonts w:ascii="David" w:hAnsi="David" w:cs="David" w:hint="cs"/>
          <w:sz w:val="24"/>
          <w:szCs w:val="24"/>
          <w:rtl/>
        </w:rPr>
        <w:t xml:space="preserve">. המכתב כולל </w:t>
      </w:r>
      <w:r w:rsidRPr="00262DB9">
        <w:rPr>
          <w:rFonts w:ascii="David" w:hAnsi="David" w:cs="David" w:hint="cs"/>
          <w:sz w:val="24"/>
          <w:szCs w:val="24"/>
          <w:rtl/>
        </w:rPr>
        <w:t>נימוקים בעד ונגד שינוי הגדרת בנק בעל היקף פעילות רחב וכן את המלצתו הסופית המוצגת לעיל</w:t>
      </w:r>
      <w:r w:rsidR="001D776F" w:rsidRPr="00262DB9">
        <w:rPr>
          <w:rFonts w:ascii="David" w:hAnsi="David" w:cs="David" w:hint="cs"/>
          <w:sz w:val="24"/>
          <w:szCs w:val="24"/>
          <w:rtl/>
        </w:rPr>
        <w:t xml:space="preserve"> (מצורף קישור)</w:t>
      </w:r>
      <w:r w:rsidRPr="00262DB9">
        <w:rPr>
          <w:rFonts w:ascii="David" w:hAnsi="David" w:cs="David" w:hint="cs"/>
          <w:sz w:val="24"/>
          <w:szCs w:val="24"/>
          <w:rtl/>
        </w:rPr>
        <w:t>.</w:t>
      </w:r>
      <w:r w:rsidR="001D776F" w:rsidRPr="00262DB9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773406" w:rsidRPr="00262DB9" w:rsidRDefault="00773406" w:rsidP="00447F36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62DB9">
        <w:rPr>
          <w:rFonts w:ascii="David" w:hAnsi="David" w:cs="David" w:hint="cs"/>
          <w:sz w:val="24"/>
          <w:szCs w:val="24"/>
          <w:rtl/>
        </w:rPr>
        <w:t>להלן נימוקי</w:t>
      </w:r>
      <w:r w:rsidR="00447F36" w:rsidRPr="00262DB9">
        <w:rPr>
          <w:rFonts w:ascii="David" w:hAnsi="David" w:cs="David" w:hint="cs"/>
          <w:sz w:val="24"/>
          <w:szCs w:val="24"/>
          <w:rtl/>
        </w:rPr>
        <w:t xml:space="preserve"> הנגד</w:t>
      </w:r>
      <w:r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="00BE7C8B" w:rsidRPr="00262DB9">
        <w:rPr>
          <w:rFonts w:ascii="David" w:hAnsi="David" w:cs="David" w:hint="cs"/>
          <w:sz w:val="24"/>
          <w:szCs w:val="24"/>
          <w:rtl/>
        </w:rPr>
        <w:t>ה</w:t>
      </w:r>
      <w:r w:rsidRPr="00262DB9">
        <w:rPr>
          <w:rFonts w:ascii="David" w:hAnsi="David" w:cs="David" w:hint="cs"/>
          <w:sz w:val="24"/>
          <w:szCs w:val="24"/>
          <w:rtl/>
        </w:rPr>
        <w:t>נבחרים שהוצגו היום בוועדת הכספים:</w:t>
      </w:r>
    </w:p>
    <w:p w:rsidR="001D776F" w:rsidRPr="00262DB9" w:rsidRDefault="001D776F" w:rsidP="00013F67">
      <w:pPr>
        <w:pStyle w:val="a7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62DB9">
        <w:rPr>
          <w:rFonts w:ascii="David" w:hAnsi="David" w:cs="David"/>
          <w:b/>
          <w:bCs/>
          <w:sz w:val="24"/>
          <w:szCs w:val="24"/>
          <w:rtl/>
        </w:rPr>
        <w:t>אינדיקציות שוקיות</w:t>
      </w:r>
      <w:r w:rsidRPr="00262DB9">
        <w:rPr>
          <w:rFonts w:ascii="David" w:hAnsi="David" w:cs="David"/>
          <w:sz w:val="24"/>
          <w:szCs w:val="24"/>
          <w:rtl/>
        </w:rPr>
        <w:t xml:space="preserve"> – אין אינדיקציות חדות ומובהקות מבחינת ההתפתחות במצב התחרות בשוק</w:t>
      </w:r>
      <w:r w:rsidR="00DE5EE9"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>האשראי</w:t>
      </w:r>
      <w:r w:rsidR="00DE5EE9" w:rsidRPr="00262DB9">
        <w:rPr>
          <w:rFonts w:ascii="David" w:hAnsi="David" w:cs="David" w:hint="cs"/>
          <w:sz w:val="24"/>
          <w:szCs w:val="24"/>
          <w:rtl/>
        </w:rPr>
        <w:t xml:space="preserve"> (</w:t>
      </w:r>
      <w:r w:rsidRPr="00262DB9">
        <w:rPr>
          <w:rFonts w:ascii="David" w:hAnsi="David" w:cs="David"/>
          <w:sz w:val="24"/>
          <w:szCs w:val="24"/>
          <w:rtl/>
        </w:rPr>
        <w:t xml:space="preserve">פעילות </w:t>
      </w:r>
      <w:r w:rsidR="00DE5EE9" w:rsidRPr="00262DB9">
        <w:rPr>
          <w:rFonts w:ascii="David" w:hAnsi="David" w:cs="David"/>
          <w:sz w:val="24"/>
          <w:szCs w:val="24"/>
          <w:rtl/>
        </w:rPr>
        <w:t>הבנקים הגדולים, בנקים בינוניים,</w:t>
      </w:r>
      <w:r w:rsidR="00DE5EE9"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>חברות כרטיסי אשראי שהופרדו, נתחי שוק</w:t>
      </w:r>
      <w:r w:rsidR="00DE5EE9"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>והמחרה</w:t>
      </w:r>
      <w:r w:rsidR="00DE5EE9" w:rsidRPr="00262DB9">
        <w:rPr>
          <w:rFonts w:ascii="David" w:hAnsi="David" w:cs="David" w:hint="cs"/>
          <w:sz w:val="24"/>
          <w:szCs w:val="24"/>
          <w:rtl/>
        </w:rPr>
        <w:t>)</w:t>
      </w:r>
      <w:r w:rsidRPr="00262DB9">
        <w:rPr>
          <w:rFonts w:ascii="David" w:hAnsi="David" w:cs="David"/>
          <w:sz w:val="24"/>
          <w:szCs w:val="24"/>
          <w:rtl/>
        </w:rPr>
        <w:t xml:space="preserve"> על בסיסן יש מקום להמליץ על שינוי ההגדרה של בנק בעל היקף פעילות רחב. הגם שיש</w:t>
      </w:r>
      <w:r w:rsidR="00DE5EE9"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>לבחון את התמורות בשוק האשראי כמכלול, השפעת חברות כרטיסי האשראי על היקף הפעילות</w:t>
      </w:r>
      <w:r w:rsidR="00DE5EE9"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>והתחרות בשוק האשראי איננה משמעותית, ובוודאי שאין בהן בכדי לשנות את תנאי התחרות</w:t>
      </w:r>
      <w:r w:rsidR="00DE5EE9"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>המתקיימים על נתחי השוק ומרכיבי השוק הרלוונטיים הנוספים.</w:t>
      </w:r>
    </w:p>
    <w:p w:rsidR="00DE5EE9" w:rsidRPr="00262DB9" w:rsidRDefault="00DE5EE9" w:rsidP="00013F67">
      <w:pPr>
        <w:pStyle w:val="a7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62DB9">
        <w:rPr>
          <w:rFonts w:ascii="David" w:hAnsi="David" w:cs="David"/>
          <w:b/>
          <w:bCs/>
          <w:sz w:val="24"/>
          <w:szCs w:val="24"/>
          <w:rtl/>
        </w:rPr>
        <w:t>מאפייני התקופה ומשך הזמן ממועד החקיקה</w:t>
      </w:r>
      <w:r w:rsidRPr="00262DB9">
        <w:rPr>
          <w:rFonts w:ascii="David" w:hAnsi="David" w:cs="David"/>
          <w:sz w:val="24"/>
          <w:szCs w:val="24"/>
          <w:rtl/>
        </w:rPr>
        <w:t xml:space="preserve"> – יש לתת תשומת לב רבה לתקופה הקצרה יחסית</w:t>
      </w:r>
      <w:r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>שעברה ממועד ההפרדה של חברות כרטיסי האשראי על מאפייני ההפרדה, כמו גם, מאפייני תקופת</w:t>
      </w:r>
      <w:r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>הקורונה שהשפיעו משמעותית על הפעילות המשקית הכוללת, ובהגדרה, גם על פעילות החברות</w:t>
      </w:r>
      <w:r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 xml:space="preserve">המופרדות, בשעה שאלה צריכות להתמודד הן עם ההפרדה ובמקביל עם </w:t>
      </w:r>
      <w:r w:rsidRPr="00262DB9">
        <w:rPr>
          <w:rFonts w:ascii="David" w:hAnsi="David" w:cs="David"/>
          <w:sz w:val="24"/>
          <w:szCs w:val="24"/>
          <w:rtl/>
        </w:rPr>
        <w:lastRenderedPageBreak/>
        <w:t>משבר הקורונה על</w:t>
      </w:r>
      <w:r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>השלכותיו המשמעותיות. היבטים אלה יש בהם בכדי להוות אינדיקציה לכך שהשוק טרם התייצב</w:t>
      </w:r>
      <w:r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>במתכונתו התחרותית והיציבה במונחי הטווח הארוך.</w:t>
      </w:r>
      <w:r w:rsidRPr="00262DB9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447F36" w:rsidRPr="00262DB9" w:rsidRDefault="00447F36" w:rsidP="00447F36">
      <w:pPr>
        <w:pStyle w:val="a7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62DB9">
        <w:rPr>
          <w:rFonts w:ascii="David" w:hAnsi="David" w:cs="David" w:hint="cs"/>
          <w:b/>
          <w:bCs/>
          <w:sz w:val="24"/>
          <w:szCs w:val="24"/>
          <w:rtl/>
        </w:rPr>
        <w:t xml:space="preserve">החלטה ללא דרך חזרה </w:t>
      </w:r>
      <w:r w:rsidRPr="00262DB9">
        <w:rPr>
          <w:rFonts w:ascii="David" w:hAnsi="David" w:cs="David" w:hint="cs"/>
          <w:sz w:val="24"/>
          <w:szCs w:val="24"/>
          <w:rtl/>
        </w:rPr>
        <w:t>-</w:t>
      </w:r>
      <w:r w:rsidRPr="00262DB9">
        <w:rPr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>בהינתן שהקרקע להחלטה פוזיטיבית וחד משמעית לביצוע שינוי בהגדרה</w:t>
      </w:r>
      <w:r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>של בנק בעל היקף פעילות גדול איננה מוצקה, לצד משמעות ההחלטה שהינה ללא דרך חזרה</w:t>
      </w:r>
      <w:r w:rsidRPr="00262DB9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Pr="00262DB9">
        <w:rPr>
          <w:rFonts w:ascii="David" w:hAnsi="David" w:cs="David"/>
          <w:sz w:val="24"/>
          <w:szCs w:val="24"/>
          <w:rtl/>
        </w:rPr>
        <w:t>אמיתית</w:t>
      </w:r>
      <w:proofErr w:type="spellEnd"/>
      <w:r w:rsidRPr="00262DB9">
        <w:rPr>
          <w:rFonts w:ascii="David" w:hAnsi="David" w:cs="David"/>
          <w:sz w:val="24"/>
          <w:szCs w:val="24"/>
          <w:rtl/>
        </w:rPr>
        <w:t>, ראוי לבחון את מידתיות וסבירות ההחלטה בתנאי אי וודאות אלה, לצד הפגיעה</w:t>
      </w:r>
      <w:r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>המשמעותית בזכויות ובקניין של קבוצת דיסקונט. בהחלט ראוי לשקול ולבחון, במועד ובתנאים</w:t>
      </w:r>
      <w:r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>הקיימים, קיומה של דרך פחות פוגענית, לפחות במונחי הטווח הקצר-בינוני, כדוגמת הארכת חלון</w:t>
      </w:r>
      <w:r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>הזמן לקבלת ההחלטה בדבר הצורך בשינוי הגדרת גודלו של בנק.</w:t>
      </w:r>
    </w:p>
    <w:p w:rsidR="00DE5EE9" w:rsidRPr="00262DB9" w:rsidRDefault="00DE5EE9" w:rsidP="00013F67">
      <w:pPr>
        <w:pStyle w:val="a7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62DB9">
        <w:rPr>
          <w:rFonts w:ascii="David" w:hAnsi="David" w:cs="David"/>
          <w:b/>
          <w:bCs/>
          <w:sz w:val="24"/>
          <w:szCs w:val="24"/>
          <w:rtl/>
        </w:rPr>
        <w:t>קיים קושי להצביע על תועלת משקית ישירה המצדיקה את ההפרדה</w:t>
      </w:r>
      <w:r w:rsidRPr="00262DB9">
        <w:rPr>
          <w:rFonts w:ascii="David" w:hAnsi="David" w:cs="David"/>
          <w:sz w:val="24"/>
          <w:szCs w:val="24"/>
          <w:rtl/>
        </w:rPr>
        <w:t xml:space="preserve"> – בחינת שוק האשראי הכולל</w:t>
      </w:r>
      <w:r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 xml:space="preserve">בכלל ובהתעמקות בהשפעות של הפרדת לאומי קארד </w:t>
      </w:r>
      <w:r w:rsidRPr="00262DB9">
        <w:rPr>
          <w:rFonts w:ascii="David" w:hAnsi="David" w:cs="David" w:hint="cs"/>
          <w:sz w:val="24"/>
          <w:szCs w:val="24"/>
          <w:rtl/>
        </w:rPr>
        <w:t>(</w:t>
      </w:r>
      <w:r w:rsidRPr="00262DB9">
        <w:rPr>
          <w:rFonts w:ascii="David" w:hAnsi="David" w:cs="David"/>
          <w:sz w:val="24"/>
          <w:szCs w:val="24"/>
          <w:rtl/>
        </w:rPr>
        <w:t>מקס</w:t>
      </w:r>
      <w:r w:rsidRPr="00262DB9">
        <w:rPr>
          <w:rFonts w:ascii="David" w:hAnsi="David" w:cs="David" w:hint="cs"/>
          <w:sz w:val="24"/>
          <w:szCs w:val="24"/>
          <w:rtl/>
        </w:rPr>
        <w:t>)</w:t>
      </w:r>
      <w:r w:rsidRPr="00262DB9">
        <w:rPr>
          <w:rFonts w:ascii="David" w:hAnsi="David" w:cs="David"/>
          <w:sz w:val="24"/>
          <w:szCs w:val="24"/>
          <w:rtl/>
        </w:rPr>
        <w:t xml:space="preserve"> וישראכרט, ניתן להבחין בשונות מאוד</w:t>
      </w:r>
      <w:r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>גבוהה בין שתי החברות אשר מגיעה ממקורות שונים – מאפייני הפרידה מחברה האם, מבנה בעלות</w:t>
      </w:r>
      <w:r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>והאסטרטגיה העסקית שנגזר ממנו, התמחות קודמת, התממשות כשלי אשראי ועוד. על בסיס</w:t>
      </w:r>
      <w:r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>תצפיות אלה, קיים קושי ואי וודאות גדולה בכדי להעריך את ההשפעות המשקיות שיקומו מהפרדת</w:t>
      </w:r>
      <w:r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>כאל, ככל שיקומו, ובוודאי את שיעורן.</w:t>
      </w:r>
    </w:p>
    <w:p w:rsidR="00DE5EE9" w:rsidRPr="00262DB9" w:rsidRDefault="00DE5EE9" w:rsidP="00013F67">
      <w:pPr>
        <w:pStyle w:val="a7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62DB9">
        <w:rPr>
          <w:rFonts w:ascii="David" w:hAnsi="David" w:cs="David"/>
          <w:b/>
          <w:bCs/>
          <w:sz w:val="24"/>
          <w:szCs w:val="24"/>
          <w:rtl/>
        </w:rPr>
        <w:t>תבחין החקיקה</w:t>
      </w:r>
      <w:r w:rsidRPr="00262DB9">
        <w:rPr>
          <w:rFonts w:ascii="David" w:hAnsi="David" w:cs="David"/>
          <w:sz w:val="24"/>
          <w:szCs w:val="24"/>
          <w:rtl/>
        </w:rPr>
        <w:t xml:space="preserve"> – במסגרת החקיקה נקבע תבחין, גם אם, קיימת ביקורת מסוימת על היותו</w:t>
      </w:r>
      <w:r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>ה"מסביר העיקרי", יש לציין במסגרת זו את העמידה הברורה של קבוצת דיסקונט בתבחין, עובדה</w:t>
      </w:r>
      <w:r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>שיש בכדי לתמוך בפעילותה הפרו תחרותית של קבוצת דיסקונט ובוודאי מדד שיש בו בכדי לתמוך</w:t>
      </w:r>
      <w:r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>שלא לשנות את ההגדרה של בנק בעל היקף פעילות רחב.</w:t>
      </w:r>
    </w:p>
    <w:p w:rsidR="00DE5EE9" w:rsidRPr="00262DB9" w:rsidRDefault="00DE5EE9" w:rsidP="00013F67">
      <w:pPr>
        <w:pStyle w:val="a7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62DB9">
        <w:rPr>
          <w:rFonts w:ascii="David" w:hAnsi="David" w:cs="David"/>
          <w:b/>
          <w:bCs/>
          <w:sz w:val="24"/>
          <w:szCs w:val="24"/>
          <w:rtl/>
        </w:rPr>
        <w:t>הפרדה צפויה להביא לאבדן יעילות</w:t>
      </w:r>
      <w:r w:rsidRPr="00262DB9">
        <w:rPr>
          <w:rFonts w:ascii="David" w:hAnsi="David" w:cs="David"/>
          <w:sz w:val="24"/>
          <w:szCs w:val="24"/>
          <w:rtl/>
        </w:rPr>
        <w:t xml:space="preserve"> – הפרדה צפויה לגרום לאובדן הסינרגיה ולאובדן יתרונות לגודל</w:t>
      </w:r>
      <w:r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>הגלומים בהיבט הקבוצתי שיש בהם בכדי לאבד יתרונות תחרותיים קיימים ופוטנציאלים בשווקים</w:t>
      </w:r>
      <w:r w:rsidRPr="00262DB9">
        <w:rPr>
          <w:rFonts w:ascii="David" w:hAnsi="David" w:cs="David" w:hint="cs"/>
          <w:sz w:val="24"/>
          <w:szCs w:val="24"/>
          <w:rtl/>
        </w:rPr>
        <w:t xml:space="preserve"> </w:t>
      </w:r>
      <w:r w:rsidRPr="00262DB9">
        <w:rPr>
          <w:rFonts w:ascii="David" w:hAnsi="David" w:cs="David"/>
          <w:sz w:val="24"/>
          <w:szCs w:val="24"/>
          <w:rtl/>
        </w:rPr>
        <w:t>הקיימים והמתפתחים בעולמות הפיננסיים.</w:t>
      </w:r>
    </w:p>
    <w:p w:rsidR="00DE5EE9" w:rsidRPr="00262DB9" w:rsidRDefault="00DE5EE9" w:rsidP="00013F67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1D776F" w:rsidRPr="001D776F" w:rsidRDefault="0097681B" w:rsidP="0097681B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hyperlink r:id="rId9" w:history="1">
        <w:r w:rsidR="001D776F" w:rsidRPr="00262DB9">
          <w:rPr>
            <w:rStyle w:val="Hyperlink"/>
            <w:rFonts w:ascii="David" w:hAnsi="David" w:cs="David" w:hint="cs"/>
            <w:sz w:val="24"/>
            <w:szCs w:val="24"/>
            <w:rtl/>
          </w:rPr>
          <w:t>מצורפת המצגת אותה הציג המפקח בדיון</w:t>
        </w:r>
      </w:hyperlink>
      <w:r w:rsidR="001D776F" w:rsidRPr="001D776F">
        <w:rPr>
          <w:rFonts w:ascii="David" w:hAnsi="David" w:cs="David" w:hint="cs"/>
          <w:sz w:val="28"/>
          <w:szCs w:val="28"/>
          <w:rtl/>
        </w:rPr>
        <w:t xml:space="preserve"> </w:t>
      </w:r>
    </w:p>
    <w:sectPr w:rsidR="001D776F" w:rsidRPr="001D776F" w:rsidSect="00611D44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FA" w:rsidRDefault="00A15DFA" w:rsidP="00C7574F">
      <w:pPr>
        <w:spacing w:after="0" w:line="240" w:lineRule="auto"/>
      </w:pPr>
      <w:r>
        <w:separator/>
      </w:r>
    </w:p>
  </w:endnote>
  <w:endnote w:type="continuationSeparator" w:id="0">
    <w:p w:rsidR="00A15DFA" w:rsidRDefault="00A15DFA" w:rsidP="00C7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70226744"/>
      <w:docPartObj>
        <w:docPartGallery w:val="Page Numbers (Bottom of Page)"/>
        <w:docPartUnique/>
      </w:docPartObj>
    </w:sdtPr>
    <w:sdtEndPr/>
    <w:sdtContent>
      <w:p w:rsidR="00C7574F" w:rsidRDefault="00C7574F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3B242C" w:rsidRPr="003B242C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C7574F" w:rsidRDefault="00C757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FA" w:rsidRDefault="00A15DFA" w:rsidP="00C7574F">
      <w:pPr>
        <w:spacing w:after="0" w:line="240" w:lineRule="auto"/>
      </w:pPr>
      <w:r>
        <w:separator/>
      </w:r>
    </w:p>
  </w:footnote>
  <w:footnote w:type="continuationSeparator" w:id="0">
    <w:p w:rsidR="00A15DFA" w:rsidRDefault="00A15DFA" w:rsidP="00C75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757F"/>
    <w:multiLevelType w:val="hybridMultilevel"/>
    <w:tmpl w:val="C3144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80F7A"/>
    <w:multiLevelType w:val="hybridMultilevel"/>
    <w:tmpl w:val="269ECF2A"/>
    <w:lvl w:ilvl="0" w:tplc="BA642776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62A50"/>
    <w:multiLevelType w:val="hybridMultilevel"/>
    <w:tmpl w:val="FC8E9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782ED9"/>
    <w:multiLevelType w:val="hybridMultilevel"/>
    <w:tmpl w:val="EBDAC1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AF41A7"/>
    <w:multiLevelType w:val="hybridMultilevel"/>
    <w:tmpl w:val="EBDAC1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6C"/>
    <w:rsid w:val="000041E2"/>
    <w:rsid w:val="00013F67"/>
    <w:rsid w:val="000C10CD"/>
    <w:rsid w:val="000D4F68"/>
    <w:rsid w:val="000E348E"/>
    <w:rsid w:val="001035CB"/>
    <w:rsid w:val="001133D1"/>
    <w:rsid w:val="00123EF3"/>
    <w:rsid w:val="00152C24"/>
    <w:rsid w:val="00192C7F"/>
    <w:rsid w:val="001A1575"/>
    <w:rsid w:val="001D776F"/>
    <w:rsid w:val="001E0700"/>
    <w:rsid w:val="001F0D23"/>
    <w:rsid w:val="00225928"/>
    <w:rsid w:val="00237DBB"/>
    <w:rsid w:val="00262DB9"/>
    <w:rsid w:val="002B0857"/>
    <w:rsid w:val="002B5CCA"/>
    <w:rsid w:val="002D6440"/>
    <w:rsid w:val="002F28CA"/>
    <w:rsid w:val="002F5C2F"/>
    <w:rsid w:val="00333E60"/>
    <w:rsid w:val="00383F10"/>
    <w:rsid w:val="003876AE"/>
    <w:rsid w:val="003B242C"/>
    <w:rsid w:val="003C3CD9"/>
    <w:rsid w:val="004069F4"/>
    <w:rsid w:val="004100E3"/>
    <w:rsid w:val="00447F36"/>
    <w:rsid w:val="00451F25"/>
    <w:rsid w:val="00454135"/>
    <w:rsid w:val="00527397"/>
    <w:rsid w:val="0054605B"/>
    <w:rsid w:val="00563400"/>
    <w:rsid w:val="005B1C49"/>
    <w:rsid w:val="005C5135"/>
    <w:rsid w:val="005C79C7"/>
    <w:rsid w:val="005E189F"/>
    <w:rsid w:val="00611D44"/>
    <w:rsid w:val="0067576C"/>
    <w:rsid w:val="006945B2"/>
    <w:rsid w:val="00694B9E"/>
    <w:rsid w:val="006D7A30"/>
    <w:rsid w:val="00720F27"/>
    <w:rsid w:val="007700E4"/>
    <w:rsid w:val="00771A04"/>
    <w:rsid w:val="00773406"/>
    <w:rsid w:val="007C2DED"/>
    <w:rsid w:val="007D5BDE"/>
    <w:rsid w:val="00857451"/>
    <w:rsid w:val="00870712"/>
    <w:rsid w:val="0088097C"/>
    <w:rsid w:val="00893099"/>
    <w:rsid w:val="00916BCB"/>
    <w:rsid w:val="009233F8"/>
    <w:rsid w:val="009335EC"/>
    <w:rsid w:val="0097681B"/>
    <w:rsid w:val="00981F5F"/>
    <w:rsid w:val="009C25DD"/>
    <w:rsid w:val="009E0527"/>
    <w:rsid w:val="00A15DFA"/>
    <w:rsid w:val="00A20470"/>
    <w:rsid w:val="00A3144C"/>
    <w:rsid w:val="00A72D32"/>
    <w:rsid w:val="00AC4E4C"/>
    <w:rsid w:val="00AF28A8"/>
    <w:rsid w:val="00B7378C"/>
    <w:rsid w:val="00B90B7D"/>
    <w:rsid w:val="00BE7C8B"/>
    <w:rsid w:val="00BF1EB5"/>
    <w:rsid w:val="00C225A2"/>
    <w:rsid w:val="00C36F0E"/>
    <w:rsid w:val="00C7574F"/>
    <w:rsid w:val="00CD4349"/>
    <w:rsid w:val="00CE1AE9"/>
    <w:rsid w:val="00D7269C"/>
    <w:rsid w:val="00D80EF7"/>
    <w:rsid w:val="00D8797F"/>
    <w:rsid w:val="00DA0F50"/>
    <w:rsid w:val="00DE5EE9"/>
    <w:rsid w:val="00E02D1F"/>
    <w:rsid w:val="00E042B6"/>
    <w:rsid w:val="00E66510"/>
    <w:rsid w:val="00E94A23"/>
    <w:rsid w:val="00EC5385"/>
    <w:rsid w:val="00ED30F8"/>
    <w:rsid w:val="00ED6D84"/>
    <w:rsid w:val="00F3132B"/>
    <w:rsid w:val="00F6068E"/>
    <w:rsid w:val="00F83096"/>
    <w:rsid w:val="00FB2182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C3D1"/>
  <w15:chartTrackingRefBased/>
  <w15:docId w15:val="{38EA34C6-44B9-4BE0-B6B9-80DA5452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7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7574F"/>
  </w:style>
  <w:style w:type="paragraph" w:styleId="a5">
    <w:name w:val="footer"/>
    <w:basedOn w:val="a"/>
    <w:link w:val="a6"/>
    <w:uiPriority w:val="99"/>
    <w:unhideWhenUsed/>
    <w:rsid w:val="00C757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7574F"/>
  </w:style>
  <w:style w:type="paragraph" w:styleId="a7">
    <w:name w:val="List Paragraph"/>
    <w:basedOn w:val="a"/>
    <w:uiPriority w:val="34"/>
    <w:qFormat/>
    <w:rsid w:val="002B08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7340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773406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976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U70D\Desktop\&#1502;&#1510;&#1490;&#1514;%20&#1500;&#1493;&#1493;&#1506;&#1491;&#1514;%20&#1492;&#1499;&#1505;&#1508;&#1497;&#1501;%20&#1489;&#1504;&#1493;&#1513;&#1488;%20&#1489;&#1504;&#1511;%20&#1489;&#1506;&#1500;%20&#1492;&#1497;&#1511;&#1507;%20&#1508;&#1506;&#1497;&#1500;&#1493;&#1514;%20&#1512;&#1495;&#1489;%20-%20&#1497;&#1504;&#1493;&#1488;&#1512;%202023%20(002)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263CB-EF72-4D5E-BF50-3F516596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יאיר אבידן</dc:creator>
  <cp:keywords/>
  <dc:description/>
  <cp:lastModifiedBy>לירון דהן</cp:lastModifiedBy>
  <cp:revision>9</cp:revision>
  <dcterms:created xsi:type="dcterms:W3CDTF">2023-01-30T11:14:00Z</dcterms:created>
  <dcterms:modified xsi:type="dcterms:W3CDTF">2023-01-30T11:15:00Z</dcterms:modified>
</cp:coreProperties>
</file>